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0"/>
        <w:jc w:val="center"/>
      </w:pPr>
      <w:r>
        <w:drawing>
          <wp:inline xmlns:a="http://schemas.openxmlformats.org/drawingml/2006/main" xmlns:pic="http://schemas.openxmlformats.org/drawingml/2006/picture">
            <wp:extent cx="3200400" cy="21336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pmo-logo-full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133600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/>
    <w:p>
      <w:pPr>
        <w:jc w:val="center"/>
      </w:pPr>
      <w:r>
        <w:rPr>
          <w:b/>
          <w:color w:val="0A1628"/>
          <w:sz w:val="56"/>
        </w:rPr>
        <w:t>Portfolio Roadmap</w:t>
      </w:r>
    </w:p>
    <w:p>
      <w:pPr>
        <w:spacing w:before="0" w:after="120"/>
        <w:pBdr>
          <w:bottom w:val="single" w:sz="18" w:space="1" w:color="F47920"/>
        </w:pBdr>
      </w:pPr>
    </w:p>
    <w:p>
      <w:pPr>
        <w:jc w:val="center"/>
      </w:pPr>
      <w:r>
        <w:rPr>
          <w:i/>
          <w:color w:val="1B3A6B"/>
          <w:sz w:val="28"/>
        </w:rPr>
        <w:t>Visualizing the Sequencing and Timing of Portfolio Components</w:t>
      </w:r>
    </w:p>
    <w:p/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Organization: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[Organization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Name: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[Portfolio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Document Version: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v1.0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Prepared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[Author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Reviewed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[Reviewer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Approved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[Approver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Date: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Classification: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Confidential / Internal Use</w:t>
            </w:r>
          </w:p>
        </w:tc>
      </w:tr>
    </w:tbl>
    <w:p/>
    <w:p>
      <w:r>
        <w:br w:type="page"/>
      </w:r>
    </w:p>
    <w:p>
      <w:pPr>
        <w:spacing w:before="280" w:after="80"/>
      </w:pPr>
      <w:r>
        <w:rPr>
          <w:b/>
          <w:color w:val="0A1628"/>
          <w:sz w:val="28"/>
        </w:rPr>
        <w:t>Revision History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Version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Date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Author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 of Changes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1.0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[DD/MM/YYYY]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[Author]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Initial draft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Table of Contents</w:t>
      </w:r>
    </w:p>
    <w:p>
      <w:pPr>
        <w:spacing w:before="0" w:after="120"/>
        <w:pBdr>
          <w:bottom w:val="single" w:sz="12" w:space="1" w:color="F47920"/>
        </w:pBdr>
      </w:pPr>
    </w:p>
    <w:p>
      <w:r>
        <w:rPr>
          <w:i/>
          <w:color w:val="999999"/>
          <w:sz w:val="20"/>
        </w:rPr>
        <w:t>[Update Table of Contents: References → Update Table → Update Entire Table]</w:t>
      </w:r>
    </w:p>
    <w:p>
      <w:r>
        <w:br w:type="page"/>
      </w:r>
    </w:p>
    <w:p>
      <w:pPr>
        <w:spacing w:before="280" w:after="80"/>
      </w:pPr>
      <w:r>
        <w:rPr>
          <w:b/>
          <w:color w:val="0A1628"/>
          <w:sz w:val="28"/>
        </w:rPr>
        <w:t>1. Roadmap Purpose and Scope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Describe the purpose of this roadmap document, the portfolio it covers, and the planning horizon it represents. The Portfolio Roadmap is a high-level, time-phased view of portfolio component sequencing and interdependencies.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Name: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[Portfolio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Planning Horizon: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[Start Date] to [End Date]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Roadmap Version: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v1.0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Last Updated: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Manager: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[Name]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2. Strategic Themes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Portfolio components are grouped under strategic themes to show how the roadmap collectively delivers organizational strategy. Each theme represents a cluster of related investments.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Theme ID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Strategic Theme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Linked Strategic Goal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T-01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[Theme 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[Description]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[Strategic Goal]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T-02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[Theme Name]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[Description]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[Strategic Goal]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T-03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[Theme 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[Description]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[Strategic Goal]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3. Portfolio Component Inventory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>
        <w:tc>
          <w:tcPr>
            <w:tcW w:type="dxa" w:w="10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ID</w:t>
            </w:r>
          </w:p>
        </w:tc>
        <w:tc>
          <w:tcPr>
            <w:tcW w:type="dxa" w:w="10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 Name</w:t>
            </w:r>
          </w:p>
        </w:tc>
        <w:tc>
          <w:tcPr>
            <w:tcW w:type="dxa" w:w="10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Type</w:t>
            </w:r>
          </w:p>
        </w:tc>
        <w:tc>
          <w:tcPr>
            <w:tcW w:type="dxa" w:w="10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Theme</w:t>
            </w:r>
          </w:p>
        </w:tc>
        <w:tc>
          <w:tcPr>
            <w:tcW w:type="dxa" w:w="10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Priority</w:t>
            </w:r>
          </w:p>
        </w:tc>
        <w:tc>
          <w:tcPr>
            <w:tcW w:type="dxa" w:w="10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Start</w:t>
            </w:r>
          </w:p>
        </w:tc>
        <w:tc>
          <w:tcPr>
            <w:tcW w:type="dxa" w:w="10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End</w:t>
            </w:r>
          </w:p>
        </w:tc>
        <w:tc>
          <w:tcPr>
            <w:tcW w:type="dxa" w:w="10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Budget</w:t>
            </w:r>
          </w:p>
        </w:tc>
        <w:tc>
          <w:tcPr>
            <w:tcW w:type="dxa" w:w="10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Status</w:t>
            </w:r>
          </w:p>
        </w:tc>
      </w:tr>
      <w:tr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C-001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Program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T-01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[Q/Y]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[Q/Y]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Active</w:t>
            </w:r>
          </w:p>
        </w:tc>
      </w:tr>
      <w:tr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C-002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Project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T-01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[Q/Y]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[Q/Y]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Planned</w:t>
            </w:r>
          </w:p>
        </w:tc>
      </w:tr>
      <w:tr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C-003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Project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T-02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[Q/Y]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[Q/Y]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040"/>
            <w:shd w:val="clear" w:color="auto" w:fill="FFFFFF"/>
          </w:tcPr>
          <w:p>
            <w:r>
              <w:rPr>
                <w:color w:val="1A1A2E"/>
                <w:sz w:val="20"/>
              </w:rPr>
              <w:t>Planned</w:t>
            </w:r>
          </w:p>
        </w:tc>
      </w:tr>
      <w:tr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C-004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Operation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T-03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Low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[Q/Y]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040"/>
            <w:shd w:val="clear" w:color="auto" w:fill="F0F4FA"/>
          </w:tcPr>
          <w:p>
            <w:r>
              <w:rPr>
                <w:color w:val="1A1A2E"/>
                <w:sz w:val="20"/>
              </w:rPr>
              <w:t>Active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4. Roadmap Timeline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The table below provides a high-level Gantt-style view of portfolio component timing. For a visual Gantt chart, refer to the attached roadmap diagram or the portfolio management tool.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936"/>
        <w:gridCol w:w="936"/>
        <w:gridCol w:w="936"/>
        <w:gridCol w:w="936"/>
        <w:gridCol w:w="936"/>
        <w:gridCol w:w="936"/>
        <w:gridCol w:w="936"/>
        <w:gridCol w:w="936"/>
        <w:gridCol w:w="936"/>
        <w:gridCol w:w="936"/>
      </w:tblGrid>
      <w:tr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Theme</w:t>
            </w:r>
          </w:p>
        </w:tc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1 Q1</w:t>
            </w:r>
          </w:p>
        </w:tc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1 Q2</w:t>
            </w:r>
          </w:p>
        </w:tc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1 Q3</w:t>
            </w:r>
          </w:p>
        </w:tc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1 Q4</w:t>
            </w:r>
          </w:p>
        </w:tc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2 Q1</w:t>
            </w:r>
          </w:p>
        </w:tc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2 Q2</w:t>
            </w:r>
          </w:p>
        </w:tc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2 Q3</w:t>
            </w:r>
          </w:p>
        </w:tc>
        <w:tc>
          <w:tcPr>
            <w:tcW w:type="dxa" w:w="936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2 Q4</w:t>
            </w:r>
          </w:p>
        </w:tc>
      </w:tr>
      <w:tr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[C-001]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T-01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▶ Start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Close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[C-002]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T-01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▶ Start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Close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[C-003]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T-02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▶ Start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Exec.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  <w:t>Close</w:t>
            </w:r>
          </w:p>
        </w:tc>
        <w:tc>
          <w:tcPr>
            <w:tcW w:type="dxa" w:w="936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[C-004]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T-03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936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5. Key Milestones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560"/>
        <w:gridCol w:w="1560"/>
        <w:gridCol w:w="1560"/>
        <w:gridCol w:w="1560"/>
        <w:gridCol w:w="1560"/>
        <w:gridCol w:w="1560"/>
      </w:tblGrid>
      <w:tr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Milestone ID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Milestone Description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Target Date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Owner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Status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M-001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[Milestone]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Not Started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M-002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[Milestone]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Not Started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M-003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[Milestone]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Not Started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M-004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[Milestone]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Not Started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M-005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[Milestone]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Not Started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6. Component Dependencies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The dependency map identifies finish-to-start, start-to-start, and other dependency relationships between portfolio components that must be managed to avoid schedule conflicts.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Predecessor Component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Successor Component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Dependency Type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Lag / Lead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[C-001]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[C-002]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Finish-to-Start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0 days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[Notes]</w:t>
            </w:r>
          </w:p>
        </w:tc>
      </w:tr>
      <w:tr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[C-002]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[C-003]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Finish-to-Start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+30 days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[Notes]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[C-001]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[C-004]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Start-to-Start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0 days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[Notes]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7. Resource Demand Forecast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This section provides a high-level view of resource demand across the portfolio timeline to support capacity planning and resource allocation decisions.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337"/>
        <w:gridCol w:w="1337"/>
        <w:gridCol w:w="1337"/>
        <w:gridCol w:w="1337"/>
        <w:gridCol w:w="1337"/>
        <w:gridCol w:w="1337"/>
        <w:gridCol w:w="1337"/>
      </w:tblGrid>
      <w:tr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Resource Type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1 Q1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1 Q2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1 Q3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1 Q4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2 Q1</w:t>
            </w:r>
          </w:p>
        </w:tc>
        <w:tc>
          <w:tcPr>
            <w:tcW w:type="dxa" w:w="1337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Year 2 Q2</w:t>
            </w:r>
          </w:p>
        </w:tc>
      </w:tr>
      <w:tr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FTE — Project Managers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</w:tr>
      <w:tr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FTE — Technical Staff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[#]</w:t>
            </w:r>
          </w:p>
        </w:tc>
      </w:tr>
      <w:tr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FTE — Business Analysts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  <w:tc>
          <w:tcPr>
            <w:tcW w:type="dxa" w:w="1337"/>
            <w:shd w:val="clear" w:color="auto" w:fill="FFFFFF"/>
          </w:tcPr>
          <w:p>
            <w:r>
              <w:rPr>
                <w:color w:val="1A1A2E"/>
                <w:sz w:val="20"/>
              </w:rPr>
              <w:t>[#]</w:t>
            </w:r>
          </w:p>
        </w:tc>
      </w:tr>
      <w:tr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Budget Required ($)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337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8. Roadmap Assumptions and Constraints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8.1 Assumptions</w:t>
      </w:r>
    </w:p>
    <w:p>
      <w:pPr>
        <w:spacing w:after="160"/>
      </w:pPr>
      <w:r>
        <w:rPr>
          <w:i/>
          <w:color w:val="999999"/>
          <w:sz w:val="20"/>
        </w:rPr>
        <w:t>List the assumptions underpinning the roadmap schedule (e.g., funding approval by [date], resource availability, technology delivery).</w:t>
      </w:r>
    </w:p>
    <w:p>
      <w:pPr>
        <w:spacing w:before="280" w:after="80"/>
      </w:pPr>
      <w:r>
        <w:rPr>
          <w:b/>
          <w:color w:val="1B3A6B"/>
          <w:sz w:val="24"/>
        </w:rPr>
        <w:t>8.2 Constraints</w:t>
      </w:r>
    </w:p>
    <w:p>
      <w:pPr>
        <w:spacing w:after="160"/>
      </w:pPr>
      <w:r>
        <w:rPr>
          <w:i/>
          <w:color w:val="999999"/>
          <w:sz w:val="20"/>
        </w:rPr>
        <w:t>List constraints that affect roadmap timing (e.g., regulatory deadlines, fiscal year boundaries, external dependencies).</w:t>
      </w:r>
    </w:p>
    <w:p>
      <w:pPr>
        <w:spacing w:before="280" w:after="80"/>
      </w:pPr>
      <w:r>
        <w:rPr>
          <w:b/>
          <w:color w:val="0A1628"/>
          <w:sz w:val="28"/>
        </w:rPr>
        <w:t>9. Roadmap Review and Update Schedule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Review Frequency: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Quarterly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Next Scheduled Review: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Review Owner: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[Portfolio Manager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Distribution List: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[Steering Committee, Component Managers, Sponsors]</w:t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1417" w:right="1440" w:bottom="1417" w:left="144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1B3A6B"/>
        <w:sz w:val="16"/>
      </w:rPr>
      <w:t xml:space="preserve">3PMO — Portfolio Roadmap  |  www.3pmo.ca  |  © 2025 3PMO. All rights reserved.   Page </w:t>
    </w:r>
    <w:r>
      <w:fldChar w:fldCharType="begin"/>
      <w:instrText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drawing>
        <wp:inline xmlns:a="http://schemas.openxmlformats.org/drawingml/2006/main" xmlns:pic="http://schemas.openxmlformats.org/drawingml/2006/picture">
          <wp:extent cx="2194560" cy="1463040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3pmo-logo-full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94560" cy="1463040"/>
                  </a:xfrm>
                  <a:prstGeom prst="rect"/>
                </pic:spPr>
              </pic:pic>
            </a:graphicData>
          </a:graphic>
        </wp:inline>
      </w:drawing>
    </w:r>
  </w:p>
  <w:p>
    <w:pPr>
      <w:jc w:val="right"/>
    </w:pPr>
    <w:r>
      <w:rPr>
        <w:b/>
        <w:color w:val="1B3A6B"/>
        <w:sz w:val="18"/>
      </w:rPr>
      <w:t>www.3pmo.ca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e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