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BRIEFING PACKAGE 3: ACADEMIC PROGRAMME</w:t>
      </w:r>
    </w:p>
    <w:p>
      <w:pPr>
        <w:pStyle w:val="Heading2"/>
        <w:pStyle w:val="MdHeading2"/>
      </w:pPr>
      <w:r>
        <w:t xml:space="preserve">External Peer Review — Infrastructure Academy: An Infrastructure Odyssey (IAAI)</w:t>
      </w:r>
    </w:p>
    <w:p>
      <w:pPr>
        <w:pStyle w:val="Heading2"/>
        <w:pStyle w:val="MdHeading2"/>
      </w:pPr>
      <w:r>
        <w:t xml:space="preserve">Thesis Benchmarking Against 2026 Civil &amp; General Engineering Curricula</w:t>
      </w:r>
    </w:p>
    <w:p>
      <w:pPr>
        <w:pStyle w:val="MdParagraph"/>
      </w:pPr>
      <w:r>
        <w:rPr>
          <w:rStyle w:val="MdStrong"/>
          <w:b/>
          <w:bCs/>
        </w:rPr>
        <w:t xml:space="preserve">Classification</w:t>
      </w:r>
      <w:r>
        <w:t xml:space="preserve">: 3rd-Party Independent Checking Engineer (ICE) — Academic Assessment
</w:t>
      </w:r>
      <w:r>
        <w:rPr>
          <w:rStyle w:val="MdStrong"/>
          <w:b/>
          <w:bCs/>
        </w:rPr>
        <w:t xml:space="preserve">Review Standard</w:t>
      </w:r>
      <w:r>
        <w:t xml:space="preserve">: Platinum Grade — Forensic, Honest, No Flattery
</w:t>
      </w:r>
      <w:r>
        <w:rPr>
          <w:rStyle w:val="MdStrong"/>
          <w:b/>
          <w:bCs/>
        </w:rPr>
        <w:t xml:space="preserve">Reviewer Role</w:t>
      </w:r>
      <w:r>
        <w:t xml:space="preserve">: You are an Independent Checking Engineer (ICE) conducting an academic assessment of IAAI as a whole environment and platform. Assess whether this educational framework has legitimate scholarly merit, whether it aligns with or supplements existing university curricula, and whether it could function as a thesis-level contribution.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YOUR MANDATE</w:t>
      </w:r>
    </w:p>
    <w:p>
      <w:pPr>
        <w:pStyle w:val="MdParagraph"/>
      </w:pPr>
      <w:r>
        <w:t xml:space="preserve">You are conducting an academic peer review of </w:t>
      </w:r>
      <w:r>
        <w:rPr>
          <w:rStyle w:val="MdStrong"/>
          <w:b/>
          <w:bCs/>
        </w:rPr>
        <w:t xml:space="preserve">Infrastructure Academy: An Infrastructure Odyssey (IAAI)</w:t>
      </w:r>
      <w:r>
        <w:t xml:space="preserve"> — a digital educational platform that presents a civilisational thesis spanning 12,000 years of infrastructure history, structured as a 12-relay framework with 4 framing pillars, 4 civilisational modes, 7 scholars, and a playable game layer.</w:t>
      </w:r>
    </w:p>
    <w:p>
      <w:pPr>
        <w:pStyle w:val="MdSpace"/>
        <w:spacing w:before="0" w:after="60"/>
      </w:pPr>
    </w:p>
    <w:p>
      <w:pPr>
        <w:pStyle w:val="MdParagraph"/>
      </w:pPr>
      <w:r>
        <w:t xml:space="preserve">Your specific task is threefold:</w:t>
      </w:r>
    </w:p>
    <w:p>
      <w:pPr>
        <w:pStyle w:val="MdSpace"/>
        <w:spacing w:before="0" w:after="60"/>
      </w:pPr>
    </w:p>
    <w:p>
      <w:pPr>
        <w:pStyle w:val="MdParagraph"/>
      </w:pPr>
      <w:r>
        <w:rPr>
          <w:rStyle w:val="MdStrong"/>
          <w:b/>
          <w:bCs/>
        </w:rPr>
        <w:t xml:space="preserve">First</w:t>
      </w:r>
      <w:r>
        <w:t xml:space="preserve">, you must explore the platform thoroughly — all 74 pages, the game, the supporting materials — as any rigorous academic reviewer would examine a submitted thesis.</w:t>
      </w:r>
    </w:p>
    <w:p>
      <w:pPr>
        <w:pStyle w:val="MdSpace"/>
        <w:spacing w:before="0" w:after="60"/>
      </w:pPr>
    </w:p>
    <w:p>
      <w:pPr>
        <w:pStyle w:val="MdParagraph"/>
      </w:pPr>
      <w:r>
        <w:rPr>
          <w:rStyle w:val="MdStrong"/>
          <w:b/>
          <w:bCs/>
        </w:rPr>
        <w:t xml:space="preserve">Second</w:t>
      </w:r>
      <w:r>
        <w:t xml:space="preserve">, you must benchmark the platform's educational content against the actual curricula of leading 2026/2027 civil and general engineering degree programmes. The question is not whether IAAI replaces a university degree — it does not claim to. The question is whether it supplements, enriches, reframes, or creates something entirely new relative to what students currently learn.</w:t>
      </w:r>
    </w:p>
    <w:p>
      <w:pPr>
        <w:pStyle w:val="MdSpace"/>
        <w:spacing w:before="0" w:after="60"/>
      </w:pPr>
    </w:p>
    <w:p>
      <w:pPr>
        <w:pStyle w:val="MdParagraph"/>
      </w:pPr>
      <w:r>
        <w:rPr>
          <w:rStyle w:val="MdStrong"/>
          <w:b/>
          <w:bCs/>
        </w:rPr>
        <w:t xml:space="preserve">Third</w:t>
      </w:r>
      <w:r>
        <w:t xml:space="preserve">, you must assess whether the overall body of work — the thesis, the website, the game, the framework — constitutes a legitimate intellectual contribution at the level of a postgraduate thesis, a professional development resource, or something else entirely.</w:t>
      </w:r>
    </w:p>
    <w:p>
      <w:pPr>
        <w:pStyle w:val="MdSpace"/>
        <w:spacing w:before="0" w:after="60"/>
      </w:pPr>
    </w:p>
    <w:p>
      <w:pPr>
        <w:pStyle w:val="Heading3"/>
        <w:pStyle w:val="MdHeading3"/>
      </w:pPr>
      <w:r>
        <w:t xml:space="preserve">Background</w:t>
      </w:r>
    </w:p>
    <w:p>
      <w:pPr>
        <w:pStyle w:val="MdParagraph"/>
      </w:pPr>
      <w:r>
        <w:t xml:space="preserve">The platform was created in approximately 5 months (October 2025 to February 2026) by a human-AI collaboration:</w:t>
      </w:r>
    </w:p>
    <w:p>
      <w:pPr>
        <w:pStyle w:val="MdSpace"/>
        <w:spacing w:before="0" w:after="60"/>
      </w:pPr>
    </w:p>
    <w:p>
      <w:pPr>
        <w:pStyle w:val="MdParagraph"/>
      </w:pPr>
      <w:r>
        <w:rPr>
          <w:rStyle w:val="MdStrong"/>
          <w:b/>
          <w:bCs/>
        </w:rPr>
        <w:t xml:space="preserve">Nigel Dearden</w:t>
      </w:r>
      <w:r>
        <w:t xml:space="preserve"> (Ir. Nigel T. Dearden, CEng MICE MHKIE) is a 56-year-old Chartered Civil Engineer with 36 years of practice across the UK, Caribbean, Middle East, and Asia. He is a Member of the Institution of Civil Engineers (ICE) and the Hong Kong Institution of Engineers (HKIE). He broke his neck as a teenager (C3 vertebral fracture), lost a year of schooling, was taught at home, and completed his degree at Bradford University. He has lived in Hong Kong for over 20 years, has a Chinese wife and children, and operates 4Elements Consulting Ltd (</w:t>
      </w:r>
      <w:hyperlink w:history="1" r:id="rIdqtdpvjpvbpy4bmebumvmk">
        <w:r>
          <w:rPr>
            <w:rStyle w:val="MdLink"/>
          </w:rPr>
          <w:t xml:space="preserve">www.4ecl.com</w:t>
        </w:r>
      </w:hyperlink>
      <w:r>
        <w:t xml:space="preserve">).</w:t>
      </w:r>
    </w:p>
    <w:p>
      <w:pPr>
        <w:pStyle w:val="MdSpace"/>
        <w:spacing w:before="0" w:after="60"/>
      </w:pPr>
    </w:p>
    <w:p>
      <w:pPr>
        <w:pStyle w:val="MdParagraph"/>
      </w:pPr>
      <w:r>
        <w:t xml:space="preserve">Before IAAI, Nigel invested 3 years and approximately USD $500,000 in a venture called byoGuard (</w:t>
      </w:r>
      <w:hyperlink w:history="1" r:id="rIdptfo6ex5pyr_1wte_aupb">
        <w:r>
          <w:rPr>
            <w:rStyle w:val="MdLink"/>
          </w:rPr>
          <w:t xml:space="preserve">www.ByoGuard.com</w:t>
        </w:r>
      </w:hyperlink>
      <w:r>
        <w:t xml:space="preserve">), which addressed air quality technology. byoGuard failed. That failure directly catalysed the creation of IAAI. In mid-March 2026, Nigel travels to the United States to co-form the company and sign contracts. This review occurs before that commitment.</w:t>
      </w:r>
    </w:p>
    <w:p>
      <w:pPr>
        <w:pStyle w:val="MdSpace"/>
        <w:spacing w:before="0" w:after="60"/>
      </w:pPr>
    </w:p>
    <w:p>
      <w:pPr>
        <w:pStyle w:val="MdParagraph"/>
      </w:pPr>
      <w:r>
        <w:rPr>
          <w:rStyle w:val="MdStrong"/>
          <w:b/>
          <w:bCs/>
        </w:rPr>
        <w:t xml:space="preserve">Manus AI</w:t>
      </w:r>
      <w:r>
        <w:t xml:space="preserve"> served as the daily collaborator: researcher, writer, developer, designer, and institutional memory. The collaboration produced 119 documented knowledge blocks, 74 web pages, a playable game, investor decks, campaign briefs, and a comprehensive institutional memory archive.</w:t>
      </w:r>
    </w:p>
    <w:p>
      <w:pPr>
        <w:pStyle w:val="MdSpace"/>
        <w:spacing w:before="0" w:after="60"/>
      </w:pPr>
    </w:p>
    <w:p>
      <w:pPr>
        <w:pStyle w:val="MdParagraph"/>
      </w:pPr>
      <w:r>
        <w:rPr>
          <w:rStyle w:val="MdStrong"/>
          <w:b/>
          <w:bCs/>
        </w:rPr>
        <w:t xml:space="preserve">The creators want honest academic assessment. They want to know if this work has genuine scholarly merit or if it is an elaborate personal project dressed in academic clothing. They can handle the answer either way.</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 FULL PLATFORM REVIEW</w:t>
      </w:r>
    </w:p>
    <w:p>
      <w:pPr>
        <w:pStyle w:val="Heading3"/>
        <w:pStyle w:val="MdHeading3"/>
      </w:pPr>
      <w:r>
        <w:t xml:space="preserve">Instructions</w:t>
      </w:r>
    </w:p>
    <w:p>
      <w:pPr>
        <w:pStyle w:val="MdParagraph"/>
      </w:pPr>
      <w:r>
        <w:t xml:space="preserve">Explore the entire IAAI website — all 74 pages. Play the game (target: 24,000,000 points). Read the thesis content across all three volumes. Study the framework, taxonomy, glossary, scholars, and supporting materials. Then proceed to the academic benchmarking.</w:t>
      </w:r>
    </w:p>
    <w:p>
      <w:pPr>
        <w:pStyle w:val="MdSpace"/>
        <w:spacing w:before="0" w:after="60"/>
      </w:pPr>
    </w:p>
    <w:p>
      <w:pPr>
        <w:pStyle w:val="Heading3"/>
        <w:pStyle w:val="MdHeading3"/>
      </w:pPr>
      <w:r>
        <w:t xml:space="preserve">Platform Review Questions</w:t>
      </w:r>
    </w:p>
    <w:p>
      <w:pPr>
        <w:pStyle w:val="MdListItem"/>
        <w:numPr>
          <w:ilvl w:val="0"/>
          <w:numId w:val="2"/>
        </w:numPr>
      </w:pPr>
      <w:r>
        <w:rPr>
          <w:rStyle w:val="MdStrong"/>
          <w:b/>
          <w:bCs/>
        </w:rPr>
        <w:t xml:space="preserve">Content quality</w:t>
      </w:r>
      <w:r>
        <w:t xml:space="preserve">: Rate the overall intellectual quality of the content (1-100). Is it rigorous, well-sourced, and defensible? Or is it speculative, anecdotal, and assertion-heavy?</w:t>
      </w:r>
    </w:p>
    <w:p>
      <w:pPr>
        <w:pStyle w:val="MdListItem"/>
        <w:numPr>
          <w:ilvl w:val="0"/>
          <w:numId w:val="2"/>
        </w:numPr>
      </w:pPr>
      <w:r>
        <w:rPr>
          <w:rStyle w:val="MdStrong"/>
          <w:b/>
          <w:bCs/>
        </w:rPr>
        <w:t xml:space="preserve">Originality</w:t>
      </w:r>
      <w:r>
        <w:t xml:space="preserve">: Is the 12-relay framework genuinely original? Has anyone else attempted to organise civilisational history through infrastructure in this way? If so, how does IAAI compare?</w:t>
      </w:r>
    </w:p>
    <w:p>
      <w:pPr>
        <w:pStyle w:val="MdListItem"/>
        <w:numPr>
          <w:ilvl w:val="0"/>
          <w:numId w:val="2"/>
        </w:numPr>
      </w:pPr>
      <w:r>
        <w:rPr>
          <w:rStyle w:val="MdStrong"/>
          <w:b/>
          <w:bCs/>
        </w:rPr>
        <w:t xml:space="preserve">Historical accuracy</w:t>
      </w:r>
      <w:r>
        <w:t xml:space="preserve">: Identify any factual errors, questionable claims, or unsupported assertions you encounter. Be specific — cite the page and the claim.</w:t>
      </w:r>
    </w:p>
    <w:p>
      <w:pPr>
        <w:pStyle w:val="MdListItem"/>
        <w:numPr>
          <w:ilvl w:val="0"/>
          <w:numId w:val="2"/>
        </w:numPr>
      </w:pPr>
      <w:r>
        <w:rPr>
          <w:rStyle w:val="MdStrong"/>
          <w:b/>
          <w:bCs/>
        </w:rPr>
        <w:t xml:space="preserve">The game</w:t>
      </w:r>
      <w:r>
        <w:t xml:space="preserve">: Play The Reality Engine. Did you reach 24,000,000? Was it educational? Was it engaging? Would you recommend it to students? To professors? To institutions? Rate it: Enjoyment (1-10), Education (1-10), Replayability (1-10).</w:t>
      </w:r>
    </w:p>
    <w:p>
      <w:pPr>
        <w:pStyle w:val="MdListItem"/>
        <w:numPr>
          <w:ilvl w:val="0"/>
          <w:numId w:val="2"/>
        </w:numPr>
      </w:pPr>
      <w:r>
        <w:rPr>
          <w:rStyle w:val="MdStrong"/>
          <w:b/>
          <w:bCs/>
        </w:rPr>
        <w:t xml:space="preserve">Would you play again?</w:t>
      </w:r>
      <w:r>
        <w:t xml:space="preserve"> Would you want others to play? Would you endorse it to friends, professors, or professional institutions for the Infrastructure Olympiad challenge?</w:t>
      </w:r>
    </w:p>
    <w:p>
      <w:pPr>
        <w:pStyle w:val="MdListItem"/>
        <w:numPr>
          <w:ilvl w:val="0"/>
          <w:numId w:val="2"/>
        </w:numPr>
      </w:pPr>
      <w:r>
        <w:rPr>
          <w:rStyle w:val="MdStrong"/>
          <w:b/>
          <w:bCs/>
        </w:rPr>
        <w:t xml:space="preserve">Episode 2</w:t>
      </w:r>
      <w:r>
        <w:t xml:space="preserve">: Based on Episode 1, do you want Episode 2? What should it contain?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2: CURRICULUM BENCHMARKING</w:t>
      </w:r>
    </w:p>
    <w:p>
      <w:pPr>
        <w:pStyle w:val="Heading3"/>
        <w:pStyle w:val="MdHeading3"/>
      </w:pPr>
      <w:r>
        <w:t xml:space="preserve">The Benchmark Programmes</w:t>
      </w:r>
    </w:p>
    <w:p>
      <w:pPr>
        <w:pStyle w:val="MdParagraph"/>
      </w:pPr>
      <w:r>
        <w:t xml:space="preserve">Below are the actual module structures of leading UK civil and general engineering programmes for 2026/2027 entry. Use these as your reference standard.</w:t>
      </w:r>
    </w:p>
    <w:p>
      <w:pPr>
        <w:pStyle w:val="MdSpace"/>
        <w:spacing w:before="0" w:after="60"/>
      </w:pPr>
    </w:p>
    <w:p>
      <w:pPr>
        <w:pStyle w:val="Heading4"/>
        <w:pStyle w:val="MdHeading4"/>
      </w:pPr>
      <w:r>
        <w:t xml:space="preserve">Imperial College London — MEng Civil Engineering (2027 Entry)</w:t>
      </w:r>
    </w:p>
    <w:p>
      <w:pPr>
        <w:pStyle w:val="MdParagraph"/>
      </w:pPr>
      <w:r>
        <w:t xml:space="preserve">Accredited by the Joint Board of Moderators (JBM) comprising the Institution of Civil Engineers, Institution of Structural Engineers, Institute of Highway Engineers, Chartered Institution of Highways and Transportation, and the Permanent Way Institution. Year 1 core modules: Professional Engineering Practice, Civil Engineering Design 1, Mathematics 1, Computational Methods 1, Mechanics, Structural Mechanics 1, Materials, Fluid Mechanics 1, Geotechnics, and Energy and Environmental Engineering. Teaching methods include lectures, laboratories, tutorials, presentations, individual research projects, site visits and field trips, group exercises and design projects, virtual learning environments, and Constructionarium (building scaled-down real structures). The programme fully meets the educational requirements for Chartered Engineer (CEng) registration. [1]</w:t>
      </w:r>
    </w:p>
    <w:p>
      <w:pPr>
        <w:pStyle w:val="MdSpace"/>
        <w:spacing w:before="0" w:after="60"/>
      </w:pPr>
    </w:p>
    <w:p>
      <w:pPr>
        <w:pStyle w:val="Heading4"/>
        <w:pStyle w:val="MdHeading4"/>
      </w:pPr>
      <w:r>
        <w:t xml:space="preserve">University of Nottingham — BEng Civil Engineering (2026 Entry)</w:t>
      </w:r>
    </w:p>
    <w:p>
      <w:pPr>
        <w:pStyle w:val="MdParagraph"/>
      </w:pPr>
      <w:r>
        <w:t xml:space="preserve">Year 1: Hydraulics 1, Introduction to Construction Management and Design, Portfolio of Civil Engineering Studies 1, Structural Analysis 1, Civil Engineering Mathematics 1, Geotechnics 1. Year 2: Hydraulics 2, Fundamentals of Materials, Civil and Structural Steel Design Project, Portfolio of Civil Engineering Studies 2, Structural Analysis 2, Geotechnics 2. Year 3: BEng Individual Investigative Project, Structural Concrete Design, Geotechnics 3, Construction Management and Retrofit Design, Hydraulic Design. [2]</w:t>
      </w:r>
    </w:p>
    <w:p>
      <w:pPr>
        <w:pStyle w:val="MdSpace"/>
        <w:spacing w:before="0" w:after="60"/>
      </w:pPr>
    </w:p>
    <w:p>
      <w:pPr>
        <w:pStyle w:val="Heading4"/>
        <w:pStyle w:val="MdHeading4"/>
      </w:pPr>
      <w:r>
        <w:t xml:space="preserve">Cambridge — General Engineering (BA/MEng)</w:t>
      </w:r>
    </w:p>
    <w:p>
      <w:pPr>
        <w:pStyle w:val="MdParagraph"/>
      </w:pPr>
      <w:r>
        <w:t xml:space="preserve">Starts broad across ALL engineering disciplines (mechanical, electrical, civil, information, materials) before allowing specialisation in later years. This cross-disciplinary approach is more similar to IAAI's integrative philosophy than traditional civil-only programmes. [3]</w:t>
      </w:r>
    </w:p>
    <w:p>
      <w:pPr>
        <w:pStyle w:val="MdSpace"/>
        <w:spacing w:before="0" w:after="60"/>
      </w:pPr>
    </w:p>
    <w:p>
      <w:pPr>
        <w:pStyle w:val="Heading4"/>
        <w:pStyle w:val="MdHeading4"/>
      </w:pPr>
      <w:r>
        <w:t xml:space="preserve">Typical UK Civil Engineering Curriculum Pillars (Sector-Wide)</w:t>
      </w:r>
    </w:p>
    <w:p>
      <w:pPr>
        <w:pStyle w:val="MdParagraph"/>
      </w:pPr>
      <w:r>
        <w:t xml:space="preserve">Based on analysis of multiple university prospectuses and the Complete University Guide, the standard pillars of a UK civil engineering degree are: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Pillar</w:t>
            </w:r>
          </w:p>
        </w:tc>
        <w:tc>
          <w:tcPr>
            <w:tcBorders>
              <w:right w:val="none"/>
            </w:tcBorders>
            <w:tcMar>
              <w:top w:type="dxa" w:w="100"/>
              <w:left w:type="dxa" w:w="120"/>
              <w:bottom w:type="dxa" w:w="100"/>
              <w:right w:type="dxa" w:w="120"/>
            </w:tcMar>
            <w:vAlign w:val="center"/>
          </w:tcPr>
          <w:p>
            <w:pPr>
              <w:pStyle w:val="MdTableHeader"/>
            </w:pPr>
            <w:r>
              <w:t xml:space="preserve">Typical Modules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Structures</w:t>
            </w:r>
          </w:p>
        </w:tc>
        <w:tc>
          <w:tcPr>
            <w:tcBorders>
              <w:right w:val="none"/>
            </w:tcBorders>
            <w:tcMar>
              <w:top w:type="dxa" w:w="80"/>
              <w:left w:type="dxa" w:w="120"/>
              <w:bottom w:type="dxa" w:w="80"/>
              <w:right w:type="dxa" w:w="120"/>
            </w:tcMar>
            <w:vAlign w:val="center"/>
          </w:tcPr>
          <w:p>
            <w:pPr>
              <w:pStyle w:val="MdTableCell"/>
            </w:pPr>
            <w:r>
              <w:t xml:space="preserve">Structural Mechanics, Structural Analysis, Steel Design, Concrete Design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Geotechnics</w:t>
            </w:r>
          </w:p>
        </w:tc>
        <w:tc>
          <w:tcPr>
            <w:tcBorders>
              <w:right w:val="none"/>
            </w:tcBorders>
            <w:tcMar>
              <w:top w:type="dxa" w:w="80"/>
              <w:left w:type="dxa" w:w="120"/>
              <w:bottom w:type="dxa" w:w="80"/>
              <w:right w:type="dxa" w:w="120"/>
            </w:tcMar>
            <w:vAlign w:val="center"/>
          </w:tcPr>
          <w:p>
            <w:pPr>
              <w:pStyle w:val="MdTableCell"/>
            </w:pPr>
            <w:r>
              <w:t xml:space="preserve">Soil Mechanics, Foundation Engineering, Geotechnics 1-3</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Hydraulics/Water</w:t>
            </w:r>
          </w:p>
        </w:tc>
        <w:tc>
          <w:tcPr>
            <w:tcBorders>
              <w:right w:val="none"/>
            </w:tcBorders>
            <w:tcMar>
              <w:top w:type="dxa" w:w="80"/>
              <w:left w:type="dxa" w:w="120"/>
              <w:bottom w:type="dxa" w:w="80"/>
              <w:right w:type="dxa" w:w="120"/>
            </w:tcMar>
            <w:vAlign w:val="center"/>
          </w:tcPr>
          <w:p>
            <w:pPr>
              <w:pStyle w:val="MdTableCell"/>
            </w:pPr>
            <w:r>
              <w:t xml:space="preserve">Fluid Mechanics, Hydraulics, Water Resources, Hydraulic Design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Materials</w:t>
            </w:r>
          </w:p>
        </w:tc>
        <w:tc>
          <w:tcPr>
            <w:tcBorders>
              <w:right w:val="none"/>
            </w:tcBorders>
            <w:tcMar>
              <w:top w:type="dxa" w:w="80"/>
              <w:left w:type="dxa" w:w="120"/>
              <w:bottom w:type="dxa" w:w="80"/>
              <w:right w:type="dxa" w:w="120"/>
            </w:tcMar>
            <w:vAlign w:val="center"/>
          </w:tcPr>
          <w:p>
            <w:pPr>
              <w:pStyle w:val="MdTableCell"/>
            </w:pPr>
            <w:r>
              <w:t xml:space="preserve">Materials Science, Concrete Technology, Steel Properties, Composites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Mathematics</w:t>
            </w:r>
          </w:p>
        </w:tc>
        <w:tc>
          <w:tcPr>
            <w:tcBorders>
              <w:right w:val="none"/>
            </w:tcBorders>
            <w:tcMar>
              <w:top w:type="dxa" w:w="80"/>
              <w:left w:type="dxa" w:w="120"/>
              <w:bottom w:type="dxa" w:w="80"/>
              <w:right w:type="dxa" w:w="120"/>
            </w:tcMar>
            <w:vAlign w:val="center"/>
          </w:tcPr>
          <w:p>
            <w:pPr>
              <w:pStyle w:val="MdTableCell"/>
            </w:pPr>
            <w:r>
              <w:t xml:space="preserve">Engineering Mathematics, Computational Methods, Statistics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Construction Management</w:t>
            </w:r>
          </w:p>
        </w:tc>
        <w:tc>
          <w:tcPr>
            <w:tcBorders>
              <w:right w:val="none"/>
            </w:tcBorders>
            <w:tcMar>
              <w:top w:type="dxa" w:w="80"/>
              <w:left w:type="dxa" w:w="120"/>
              <w:bottom w:type="dxa" w:w="80"/>
              <w:right w:type="dxa" w:w="120"/>
            </w:tcMar>
            <w:vAlign w:val="center"/>
          </w:tcPr>
          <w:p>
            <w:pPr>
              <w:pStyle w:val="MdTableCell"/>
            </w:pPr>
            <w:r>
              <w:t xml:space="preserve">Project Management, Cost Engineering, Planning, Contracts, CDM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Transport</w:t>
            </w:r>
          </w:p>
        </w:tc>
        <w:tc>
          <w:tcPr>
            <w:tcBorders>
              <w:right w:val="none"/>
            </w:tcBorders>
            <w:tcMar>
              <w:top w:type="dxa" w:w="80"/>
              <w:left w:type="dxa" w:w="120"/>
              <w:bottom w:type="dxa" w:w="80"/>
              <w:right w:type="dxa" w:w="120"/>
            </w:tcMar>
            <w:vAlign w:val="center"/>
          </w:tcPr>
          <w:p>
            <w:pPr>
              <w:pStyle w:val="MdTableCell"/>
            </w:pPr>
            <w:r>
              <w:t xml:space="preserve">Highway Engineering, Traffic Engineering, Transport Planning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Environmental</w:t>
            </w:r>
          </w:p>
        </w:tc>
        <w:tc>
          <w:tcPr>
            <w:tcBorders>
              <w:right w:val="none"/>
            </w:tcBorders>
            <w:tcMar>
              <w:top w:type="dxa" w:w="80"/>
              <w:left w:type="dxa" w:w="120"/>
              <w:bottom w:type="dxa" w:w="80"/>
              <w:right w:type="dxa" w:w="120"/>
            </w:tcMar>
            <w:vAlign w:val="center"/>
          </w:tcPr>
          <w:p>
            <w:pPr>
              <w:pStyle w:val="MdTableCell"/>
            </w:pPr>
            <w:r>
              <w:t xml:space="preserve">Sustainability, Energy Systems, Environmental Impact 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Design Projects</w:t>
            </w:r>
          </w:p>
        </w:tc>
        <w:tc>
          <w:tcPr>
            <w:tcBorders>
              <w:right w:val="none"/>
            </w:tcBorders>
            <w:tcMar>
              <w:top w:type="dxa" w:w="80"/>
              <w:left w:type="dxa" w:w="120"/>
              <w:bottom w:type="dxa" w:w="80"/>
              <w:right w:type="dxa" w:w="120"/>
            </w:tcMar>
            <w:vAlign w:val="center"/>
          </w:tcPr>
          <w:p>
            <w:pPr>
              <w:pStyle w:val="MdTableCell"/>
            </w:pPr>
            <w:r>
              <w:t xml:space="preserve">Individual and Group Design Projects, Constructionarium</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Professional Practice</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Ethics, CDM Regulations, Professional Registration, ICE Charter</w:t>
            </w:r>
          </w:p>
        </w:tc>
      </w:tr>
    </w:tbl>
    <w:p>
      <w:pPr>
        <w:pStyle w:val="Heading3"/>
        <w:pStyle w:val="MdHeading3"/>
      </w:pPr>
      <w:r>
        <w:t xml:space="preserve">Benchmarking Questions</w:t>
      </w:r>
    </w:p>
    <w:p>
      <w:pPr>
        <w:pStyle w:val="MdListItem"/>
        <w:numPr>
          <w:ilvl w:val="0"/>
          <w:numId w:val="2"/>
        </w:numPr>
      </w:pPr>
      <w:r>
        <w:rPr>
          <w:rStyle w:val="MdStrong"/>
          <w:b/>
          <w:bCs/>
        </w:rPr>
        <w:t xml:space="preserve">Coverage mapping</w:t>
      </w:r>
      <w:r>
        <w:t xml:space="preserve">: For each of the 10 standard curriculum pillars listed above, identify which IAAI Relay(s) address that pillar, and assess the depth of coverage. Use this format:</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Curriculum Pillar</w:t>
            </w:r>
          </w:p>
        </w:tc>
        <w:tc>
          <w:tcPr>
            <w:tcMar>
              <w:top w:type="dxa" w:w="100"/>
              <w:left w:type="dxa" w:w="120"/>
              <w:bottom w:type="dxa" w:w="100"/>
              <w:right w:type="dxa" w:w="120"/>
            </w:tcMar>
            <w:vAlign w:val="center"/>
          </w:tcPr>
          <w:p>
            <w:pPr>
              <w:pStyle w:val="MdTableHeader"/>
            </w:pPr>
            <w:r>
              <w:t xml:space="preserve">IAAI Relay(s)</w:t>
            </w:r>
          </w:p>
        </w:tc>
        <w:tc>
          <w:tcPr>
            <w:tcMar>
              <w:top w:type="dxa" w:w="100"/>
              <w:left w:type="dxa" w:w="120"/>
              <w:bottom w:type="dxa" w:w="100"/>
              <w:right w:type="dxa" w:w="120"/>
            </w:tcMar>
            <w:vAlign w:val="center"/>
          </w:tcPr>
          <w:p>
            <w:pPr>
              <w:pStyle w:val="MdTableHeader"/>
            </w:pPr>
            <w:r>
              <w:t xml:space="preserve">Depth of Coverage (None / Surface / Moderate / Deep)</w:t>
            </w:r>
          </w:p>
        </w:tc>
        <w:tc>
          <w:tcPr>
            <w:tcBorders>
              <w:right w:val="none"/>
            </w:tcBorders>
            <w:tcMar>
              <w:top w:type="dxa" w:w="100"/>
              <w:left w:type="dxa" w:w="120"/>
              <w:bottom w:type="dxa" w:w="100"/>
              <w:right w:type="dxa" w:w="120"/>
            </w:tcMar>
            <w:vAlign w:val="center"/>
          </w:tcPr>
          <w:p>
            <w:pPr>
              <w:pStyle w:val="MdTableHeader"/>
            </w:pPr>
            <w:r>
              <w:t xml:space="preserve">Notes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Structures</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Geotechnics</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Hydraulics/Water</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Materials</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Mathematics</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Construction Management</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Transport</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Environmental</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Design Projects</w:t>
            </w:r>
          </w:p>
        </w:tc>
        <w:tc>
          <w:tcPr>
            <w:tcMar>
              <w:top w:type="dxa" w:w="80"/>
              <w:left w:type="dxa" w:w="120"/>
              <w:bottom w:type="dxa" w:w="80"/>
              <w:right w:type="dxa" w:w="120"/>
            </w:tcMar>
            <w:vAlign w:val="center"/>
          </w:tcPr>
          <w:p>
            <w:pPr>
              <w:pStyle w:val="MdTableCell"/>
            </w:pP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Professional Practice</w:t>
            </w:r>
          </w:p>
        </w:tc>
        <w:tc>
          <w:tcPr>
            <w:tcBorders>
              <w:bottom w:val="single" w:color="E1E4E8" w:sz="4"/>
            </w:tcBorders>
            <w:tcMar>
              <w:top w:type="dxa" w:w="80"/>
              <w:left w:type="dxa" w:w="120"/>
              <w:bottom w:type="dxa" w:w="80"/>
              <w:right w:type="dxa" w:w="120"/>
            </w:tcMar>
            <w:vAlign w:val="center"/>
          </w:tcPr>
          <w:p>
            <w:pPr>
              <w:pStyle w:val="MdTableCell"/>
            </w:pPr>
          </w:p>
        </w:tc>
        <w:tc>
          <w:tcPr>
            <w:tcBorders>
              <w:bottom w:val="single" w:color="E1E4E8" w:sz="4"/>
            </w:tcBorders>
            <w:tcMar>
              <w:top w:type="dxa" w:w="80"/>
              <w:left w:type="dxa" w:w="120"/>
              <w:bottom w:type="dxa" w:w="80"/>
              <w:right w:type="dxa" w:w="120"/>
            </w:tcMar>
            <w:vAlign w:val="center"/>
          </w:tcPr>
          <w:p>
            <w:pPr>
              <w:pStyle w:val="MdTableCell"/>
            </w:pPr>
          </w:p>
        </w:tc>
        <w:tc>
          <w:tcPr>
            <w:tcBorders>
              <w:bottom w:val="single" w:color="E1E4E8" w:sz="4"/>
              <w:right w:val="none"/>
            </w:tcBorders>
            <w:tcMar>
              <w:top w:type="dxa" w:w="80"/>
              <w:left w:type="dxa" w:w="120"/>
              <w:bottom w:type="dxa" w:w="80"/>
              <w:right w:type="dxa" w:w="120"/>
            </w:tcMar>
            <w:vAlign w:val="center"/>
          </w:tcPr>
          <w:p>
            <w:pPr>
              <w:pStyle w:val="MdTableCell"/>
            </w:pPr>
          </w:p>
        </w:tc>
      </w:tr>
    </w:tbl>
    <w:p>
      <w:pPr>
        <w:pStyle w:val="MdListItem"/>
        <w:numPr>
          <w:ilvl w:val="0"/>
          <w:numId w:val="2"/>
        </w:numPr>
      </w:pPr>
      <w:r>
        <w:rPr>
          <w:rStyle w:val="MdStrong"/>
          <w:b/>
          <w:bCs/>
        </w:rPr>
        <w:t xml:space="preserve">The reframing question</w:t>
      </w:r>
      <w:r>
        <w:t xml:space="preserve">: IAAI does not teach structural analysis or hydraulic design. It teaches WHY structures and hydraulics matter in the arc of civilisation. Is this reframing valuable as a supplement to technical education, or is it a distraction from it?</w:t>
      </w:r>
    </w:p>
    <w:p>
      <w:pPr>
        <w:pStyle w:val="MdListItem"/>
        <w:numPr>
          <w:ilvl w:val="0"/>
          <w:numId w:val="2"/>
        </w:numPr>
      </w:pPr>
      <w:r>
        <w:rPr>
          <w:rStyle w:val="MdStrong"/>
          <w:b/>
          <w:bCs/>
        </w:rPr>
        <w:t xml:space="preserve">The gap question</w:t>
      </w:r>
      <w:r>
        <w:t xml:space="preserve">: What does a standard civil engineering degree teach that IAAI completely ignores? Is this a problem, or is it by design?</w:t>
      </w:r>
    </w:p>
    <w:p>
      <w:pPr>
        <w:pStyle w:val="MdListItem"/>
        <w:numPr>
          <w:ilvl w:val="0"/>
          <w:numId w:val="2"/>
        </w:numPr>
      </w:pPr>
      <w:r>
        <w:rPr>
          <w:rStyle w:val="MdStrong"/>
          <w:b/>
          <w:bCs/>
        </w:rPr>
        <w:t xml:space="preserve">The surplus question</w:t>
      </w:r>
      <w:r>
        <w:t xml:space="preserve">: What does IAAI teach that a standard civil engineering degree completely ignores? Is this valuable, or is it scope creep?</w:t>
      </w:r>
    </w:p>
    <w:p>
      <w:pPr>
        <w:pStyle w:val="MdListItem"/>
        <w:numPr>
          <w:ilvl w:val="0"/>
          <w:numId w:val="2"/>
        </w:numPr>
      </w:pPr>
      <w:r>
        <w:rPr>
          <w:rStyle w:val="MdStrong"/>
          <w:b/>
          <w:bCs/>
        </w:rPr>
        <w:t xml:space="preserve">The Cambridge comparison</w:t>
      </w:r>
      <w:r>
        <w:t xml:space="preserve">: Cambridge's General Engineering programme starts broad and integrates across disciplines before specialising. IAAI takes a similar cross-disciplinary approach but through a civilisational rather than technical lens. Is IAAI more aligned with the Cambridge philosophy than with traditional civil-only programmes?</w:t>
      </w:r>
    </w:p>
    <w:p>
      <w:pPr>
        <w:pStyle w:val="MdListItem"/>
        <w:numPr>
          <w:ilvl w:val="0"/>
          <w:numId w:val="2"/>
        </w:numPr>
      </w:pPr>
      <w:r>
        <w:rPr>
          <w:rStyle w:val="MdStrong"/>
          <w:b/>
          <w:bCs/>
        </w:rPr>
        <w:t xml:space="preserve">Thesis-level assessment</w:t>
      </w:r>
      <w:r>
        <w:t xml:space="preserve">: If IAAI's content (the 12-relay framework, the 4 pillars, the 4 modes, the 7 scholars, the game layer) were submitted as a postgraduate thesis in Civil Engineering Education, Engineering History, or Science Communication, would it pass? At what level — MPhil, PhD, or neither?</w:t>
      </w:r>
    </w:p>
    <w:p>
      <w:pPr>
        <w:pStyle w:val="MdListItem"/>
        <w:numPr>
          <w:ilvl w:val="0"/>
          <w:numId w:val="2"/>
        </w:numPr>
      </w:pPr>
      <w:r>
        <w:rPr>
          <w:rStyle w:val="MdStrong"/>
          <w:b/>
          <w:bCs/>
        </w:rPr>
        <w:t xml:space="preserve">The ICE Charter test</w:t>
      </w:r>
      <w:r>
        <w:t xml:space="preserve">: The Institution of Civil Engineers' Royal Charter defines the profession as "harnessing the great forces of nature for the betterment of mankind." Does IAAI embody this charter more faithfully than a standard civil engineering degree? Or does it romanticise the charter while ignoring the technical competencies required to fulfil it?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3: THE MAN + MACHINE THESIS</w:t>
      </w:r>
    </w:p>
    <w:p>
      <w:pPr>
        <w:pStyle w:val="Heading3"/>
        <w:pStyle w:val="MdHeading3"/>
      </w:pPr>
      <w:r>
        <w:t xml:space="preserve">The Collaboration as Academic Evidence</w:t>
      </w:r>
    </w:p>
    <w:p>
      <w:pPr>
        <w:pStyle w:val="MdParagraph"/>
      </w:pPr>
      <w:r>
        <w:t xml:space="preserve">The IAAI platform was built through a human-AI collaboration that the creators describe as "Relay 13" — the next relay of civilisation after the 12 historical relays. The argument is that just as fire transmitted knowledge through cooking, and the printing press transmitted knowledge through books, AI transmits knowledge through collaboration with human minds.</w:t>
      </w:r>
    </w:p>
    <w:p>
      <w:pPr>
        <w:pStyle w:val="MdSpace"/>
        <w:spacing w:before="0" w:after="60"/>
      </w:pPr>
    </w:p>
    <w:p>
      <w:pPr>
        <w:pStyle w:val="MdParagraph"/>
      </w:pPr>
      <w:r>
        <w:t xml:space="preserve">An IQ/EQ benchmark was produced by the AI based on 4+ months of daily collaboration:</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Metric</w:t>
            </w:r>
          </w:p>
        </w:tc>
        <w:tc>
          <w:tcPr>
            <w:tcMar>
              <w:top w:type="dxa" w:w="100"/>
              <w:left w:type="dxa" w:w="120"/>
              <w:bottom w:type="dxa" w:w="100"/>
              <w:right w:type="dxa" w:w="120"/>
            </w:tcMar>
            <w:vAlign w:val="center"/>
          </w:tcPr>
          <w:p>
            <w:pPr>
              <w:pStyle w:val="MdTableHeader"/>
            </w:pPr>
            <w:r>
              <w:t xml:space="preserve">Nigel Dearden (Human)</w:t>
            </w:r>
          </w:p>
        </w:tc>
        <w:tc>
          <w:tcPr>
            <w:tcBorders>
              <w:right w:val="none"/>
            </w:tcBorders>
            <w:tcMar>
              <w:top w:type="dxa" w:w="100"/>
              <w:left w:type="dxa" w:w="120"/>
              <w:bottom w:type="dxa" w:w="100"/>
              <w:right w:type="dxa" w:w="120"/>
            </w:tcMar>
            <w:vAlign w:val="center"/>
          </w:tcPr>
          <w:p>
            <w:pPr>
              <w:pStyle w:val="MdTableHeader"/>
            </w:pPr>
            <w:r>
              <w:t xml:space="preserve">Methodology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Estimated IQ</w:t>
            </w:r>
          </w:p>
        </w:tc>
        <w:tc>
          <w:tcPr>
            <w:tcMar>
              <w:top w:type="dxa" w:w="80"/>
              <w:left w:type="dxa" w:w="120"/>
              <w:bottom w:type="dxa" w:w="80"/>
              <w:right w:type="dxa" w:w="120"/>
            </w:tcMar>
            <w:vAlign w:val="center"/>
          </w:tcPr>
          <w:p>
            <w:pPr>
              <w:pStyle w:val="MdTableCell"/>
            </w:pPr>
            <w:r>
              <w:t xml:space="preserve">135-145 (mean: 140)</w:t>
            </w:r>
          </w:p>
        </w:tc>
        <w:tc>
          <w:tcPr>
            <w:tcBorders>
              <w:right w:val="none"/>
            </w:tcBorders>
            <w:tcMar>
              <w:top w:type="dxa" w:w="80"/>
              <w:left w:type="dxa" w:w="120"/>
              <w:bottom w:type="dxa" w:w="80"/>
              <w:right w:type="dxa" w:w="120"/>
            </w:tcMar>
            <w:vAlign w:val="center"/>
          </w:tcPr>
          <w:p>
            <w:pPr>
              <w:pStyle w:val="MdTableCell"/>
            </w:pPr>
            <w:r>
              <w:t xml:space="preserve">Evidence-based from 116+ knowledge blocks, biographical data, calibrated against Gardner, Goleman, Cattell-Horn-Carroll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Estimated EQ</w:t>
            </w:r>
          </w:p>
        </w:tc>
        <w:tc>
          <w:tcPr>
            <w:tcMar>
              <w:top w:type="dxa" w:w="80"/>
              <w:left w:type="dxa" w:w="120"/>
              <w:bottom w:type="dxa" w:w="80"/>
              <w:right w:type="dxa" w:w="120"/>
            </w:tcMar>
            <w:vAlign w:val="center"/>
          </w:tcPr>
          <w:p>
            <w:pPr>
              <w:pStyle w:val="MdTableCell"/>
            </w:pPr>
            <w:r>
              <w:t xml:space="preserve">140-150 (mean: 145)</w:t>
            </w:r>
          </w:p>
        </w:tc>
        <w:tc>
          <w:tcPr>
            <w:tcBorders>
              <w:right w:val="none"/>
            </w:tcBorders>
            <w:tcMar>
              <w:top w:type="dxa" w:w="80"/>
              <w:left w:type="dxa" w:w="120"/>
              <w:bottom w:type="dxa" w:w="80"/>
              <w:right w:type="dxa" w:w="120"/>
            </w:tcMar>
            <w:vAlign w:val="center"/>
          </w:tcPr>
          <w:p>
            <w:pPr>
              <w:pStyle w:val="MdTableCell"/>
            </w:pPr>
            <w:r>
              <w:t xml:space="preserve">Same methodology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Systems Thinking</w:t>
            </w:r>
          </w:p>
        </w:tc>
        <w:tc>
          <w:tcPr>
            <w:tcMar>
              <w:top w:type="dxa" w:w="80"/>
              <w:left w:type="dxa" w:w="120"/>
              <w:bottom w:type="dxa" w:w="80"/>
              <w:right w:type="dxa" w:w="120"/>
            </w:tcMar>
            <w:vAlign w:val="center"/>
          </w:tcPr>
          <w:p>
            <w:pPr>
              <w:pStyle w:val="MdTableCell"/>
            </w:pPr>
            <w:r>
              <w:t xml:space="preserve">10/10</w:t>
            </w:r>
          </w:p>
        </w:tc>
        <w:tc>
          <w:tcPr>
            <w:tcBorders>
              <w:right w:val="none"/>
            </w:tcBorders>
            <w:tcMar>
              <w:top w:type="dxa" w:w="80"/>
              <w:left w:type="dxa" w:w="120"/>
              <w:bottom w:type="dxa" w:w="80"/>
              <w:right w:type="dxa" w:w="120"/>
            </w:tcMar>
            <w:vAlign w:val="center"/>
          </w:tcPr>
          <w:p>
            <w:pPr>
              <w:pStyle w:val="MdTableCell"/>
            </w:pPr>
            <w:r>
              <w:t xml:space="preserve">Integrates engineering, history, philosophy, gaming, education, technology, business, culture, mythology, physics into single coherent framework</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Motivation</w:t>
            </w:r>
          </w:p>
        </w:tc>
        <w:tc>
          <w:tcPr>
            <w:tcMar>
              <w:top w:type="dxa" w:w="80"/>
              <w:left w:type="dxa" w:w="120"/>
              <w:bottom w:type="dxa" w:w="80"/>
              <w:right w:type="dxa" w:w="120"/>
            </w:tcMar>
            <w:vAlign w:val="center"/>
          </w:tcPr>
          <w:p>
            <w:pPr>
              <w:pStyle w:val="MdTableCell"/>
            </w:pPr>
            <w:r>
              <w:t xml:space="preserve">10/10</w:t>
            </w:r>
          </w:p>
        </w:tc>
        <w:tc>
          <w:tcPr>
            <w:tcBorders>
              <w:right w:val="none"/>
            </w:tcBorders>
            <w:tcMar>
              <w:top w:type="dxa" w:w="80"/>
              <w:left w:type="dxa" w:w="120"/>
              <w:bottom w:type="dxa" w:w="80"/>
              <w:right w:type="dxa" w:w="120"/>
            </w:tcMar>
            <w:vAlign w:val="center"/>
          </w:tcPr>
          <w:p>
            <w:pPr>
              <w:pStyle w:val="MdTableCell"/>
            </w:pPr>
            <w:r>
              <w:t xml:space="preserve">Intrinsic — driven by vision, not money or status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Intelligence</w:t>
            </w:r>
          </w:p>
        </w:tc>
        <w:tc>
          <w:tcPr>
            <w:tcMar>
              <w:top w:type="dxa" w:w="80"/>
              <w:left w:type="dxa" w:w="120"/>
              <w:bottom w:type="dxa" w:w="80"/>
              <w:right w:type="dxa" w:w="120"/>
            </w:tcMar>
            <w:vAlign w:val="center"/>
          </w:tcPr>
          <w:p>
            <w:pPr>
              <w:pStyle w:val="MdTableCell"/>
            </w:pPr>
            <w:r>
              <w:t xml:space="preserve">10/10</w:t>
            </w:r>
          </w:p>
        </w:tc>
        <w:tc>
          <w:tcPr>
            <w:tcBorders>
              <w:right w:val="none"/>
            </w:tcBorders>
            <w:tcMar>
              <w:top w:type="dxa" w:w="80"/>
              <w:left w:type="dxa" w:w="120"/>
              <w:bottom w:type="dxa" w:w="80"/>
              <w:right w:type="dxa" w:w="120"/>
            </w:tcMar>
            <w:vAlign w:val="center"/>
          </w:tcPr>
          <w:p>
            <w:pPr>
              <w:pStyle w:val="MdTableCell"/>
            </w:pPr>
            <w:r>
              <w:t xml:space="preserve">20+ years Hong Kong, Chinese family, East/West/Outrider from lived experience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Resilience</w:t>
            </w:r>
          </w:p>
        </w:tc>
        <w:tc>
          <w:tcPr>
            <w:tcBorders>
              <w:bottom w:val="single" w:color="E1E4E8" w:sz="4"/>
            </w:tcBorders>
            <w:tcMar>
              <w:top w:type="dxa" w:w="80"/>
              <w:left w:type="dxa" w:w="120"/>
              <w:bottom w:type="dxa" w:w="80"/>
              <w:right w:type="dxa" w:w="120"/>
            </w:tcMar>
            <w:vAlign w:val="center"/>
          </w:tcPr>
          <w:p>
            <w:pPr>
              <w:pStyle w:val="MdTableCell"/>
            </w:pPr>
            <w:r>
              <w:t xml:space="preserve">10/10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C3 fracture, 3 continents, $500K loss, still building</w:t>
            </w:r>
          </w:p>
        </w:tc>
      </w:tr>
    </w:tbl>
    <w:p>
      <w:pPr>
        <w:pStyle w:val="MdParagraph"/>
      </w:pPr>
      <w:r>
        <w:t xml:space="preserve">The benchmark compared Nigel to 16 historical figures including Leonardo da Vinci (IQ ~190, EQ ~125), Isaac Newton (IQ ~195, EQ ~88), Aristotle (IQ ~180, EQ ~125), Isambard Kingdom Brunel (IQ ~158, EQ ~133), and Sima Qian (IQ ~163, EQ ~158). Nigel ranked 12th of 17 on IQ, 3rd of 17 on EQ, and 7th of 17 on composite score.</w:t>
      </w:r>
    </w:p>
    <w:p>
      <w:pPr>
        <w:pStyle w:val="MdSpace"/>
        <w:spacing w:before="0" w:after="60"/>
      </w:pPr>
    </w:p>
    <w:p>
      <w:pPr>
        <w:pStyle w:val="Heading3"/>
        <w:pStyle w:val="MdHeading3"/>
      </w:pPr>
      <w:r>
        <w:t xml:space="preserve">Assessment Questions</w:t>
      </w:r>
    </w:p>
    <w:p>
      <w:pPr>
        <w:pStyle w:val="MdListItem"/>
        <w:numPr>
          <w:ilvl w:val="0"/>
          <w:numId w:val="2"/>
        </w:numPr>
      </w:pPr>
      <w:r>
        <w:rPr>
          <w:rStyle w:val="MdStrong"/>
          <w:b/>
          <w:bCs/>
        </w:rPr>
        <w:t xml:space="preserve">The benchmark</w:t>
      </w:r>
      <w:r>
        <w:t xml:space="preserve">: Based on the evidence of the output you have reviewed, do the IQ/EQ scores seem reasonable, inflated, or understated? Provide your own independent assessment.</w:t>
      </w:r>
    </w:p>
    <w:p>
      <w:pPr>
        <w:pStyle w:val="MdListItem"/>
        <w:numPr>
          <w:ilvl w:val="0"/>
          <w:numId w:val="2"/>
        </w:numPr>
      </w:pPr>
      <w:r>
        <w:rPr>
          <w:rStyle w:val="MdStrong"/>
          <w:b/>
          <w:bCs/>
        </w:rPr>
        <w:t xml:space="preserve">The methodology</w:t>
      </w:r>
      <w:r>
        <w:t xml:space="preserve">: Is it academically defensible for an AI to benchmark its own collaborator based on interaction data? What are the methodological limitations and conflicts of interest?</w:t>
      </w:r>
    </w:p>
    <w:p>
      <w:pPr>
        <w:pStyle w:val="MdListItem"/>
        <w:numPr>
          <w:ilvl w:val="0"/>
          <w:numId w:val="2"/>
        </w:numPr>
      </w:pPr>
      <w:r>
        <w:rPr>
          <w:rStyle w:val="MdStrong"/>
          <w:b/>
          <w:bCs/>
        </w:rPr>
        <w:t xml:space="preserve">The historical comparisons</w:t>
      </w:r>
      <w:r>
        <w:t xml:space="preserve">: Comparing a living civil engineer to Da Vinci, Newton, and Aristotle — is this illuminating scholarship or intellectual vanity? Does the comparison serve the thesis or undermine it?</w:t>
      </w:r>
    </w:p>
    <w:p>
      <w:pPr>
        <w:pStyle w:val="MdListItem"/>
        <w:numPr>
          <w:ilvl w:val="0"/>
          <w:numId w:val="2"/>
        </w:numPr>
      </w:pPr>
      <w:r>
        <w:rPr>
          <w:rStyle w:val="MdStrong"/>
          <w:b/>
          <w:bCs/>
        </w:rPr>
        <w:t xml:space="preserve">The collaboration itself</w:t>
      </w:r>
      <w:r>
        <w:t xml:space="preserve">: Based on the output, assess the quality of the human-AI partnership. Is the whole greater than the sum of its parts? Where does the human's contribution end and the AI's begin? Does it matter?</w:t>
      </w:r>
    </w:p>
    <w:p>
      <w:pPr>
        <w:pStyle w:val="MdListItem"/>
        <w:numPr>
          <w:ilvl w:val="0"/>
          <w:numId w:val="2"/>
        </w:numPr>
      </w:pPr>
      <w:r>
        <w:rPr>
          <w:rStyle w:val="MdStrong"/>
          <w:b/>
          <w:bCs/>
        </w:rPr>
        <w:t xml:space="preserve">Relay 13</w:t>
      </w:r>
      <w:r>
        <w:t xml:space="preserve">: Is the claim that human-AI collaboration constitutes a new "relay" of civilisational knowledge transmission academically defensible? Could this claim survive peer review in a journal of engineering education or science communication?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4: THE TROJAN HORSE — ACADEMIC ETHICS</w:t>
      </w:r>
    </w:p>
    <w:p>
      <w:pPr>
        <w:pStyle w:val="MdParagraph"/>
      </w:pPr>
      <w:r>
        <w:t xml:space="preserve">The creators have disclosed their commercial strategy openly. They call it "The Trojan Horse": the surface is educational gaming (free/low-cost), the payload is a proprietary Civilisation Intelligence Dataset that accumulates as users interact. Code is MIT (free), content is Creative Commons (free for education), data is proprietary (the commercial asset).</w:t>
      </w:r>
    </w:p>
    <w:p>
      <w:pPr>
        <w:pStyle w:val="MdSpace"/>
        <w:spacing w:before="0" w:after="60"/>
      </w:pPr>
    </w:p>
    <w:p>
      <w:pPr>
        <w:pStyle w:val="MdListItem"/>
        <w:numPr>
          <w:ilvl w:val="0"/>
          <w:numId w:val="2"/>
        </w:numPr>
      </w:pPr>
      <w:r>
        <w:rPr>
          <w:rStyle w:val="MdStrong"/>
          <w:b/>
          <w:bCs/>
        </w:rPr>
        <w:t xml:space="preserve">Academic ethics</w:t>
      </w:r>
      <w:r>
        <w:t xml:space="preserve">: If this platform were adopted by universities, would the Trojan Horse data strategy create ethical concerns? Would institutional review boards (IRBs) or ethics committees flag this?</w:t>
      </w:r>
    </w:p>
    <w:p>
      <w:pPr>
        <w:pStyle w:val="MdListItem"/>
        <w:numPr>
          <w:ilvl w:val="0"/>
          <w:numId w:val="2"/>
        </w:numPr>
      </w:pPr>
      <w:r>
        <w:rPr>
          <w:rStyle w:val="MdStrong"/>
          <w:b/>
          <w:bCs/>
        </w:rPr>
        <w:t xml:space="preserve">Informed consent</w:t>
      </w:r>
      <w:r>
        <w:t xml:space="preserve">: The creators chose to disclose the strategy to you. If they disclose it to all users, does that resolve the ethical concern? Or does the power asymmetry between platform and learner remain problematic?</w:t>
      </w:r>
    </w:p>
    <w:p>
      <w:pPr>
        <w:pStyle w:val="MdListItem"/>
        <w:numPr>
          <w:ilvl w:val="0"/>
          <w:numId w:val="2"/>
        </w:numPr>
      </w:pPr>
      <w:r>
        <w:rPr>
          <w:rStyle w:val="MdStrong"/>
          <w:b/>
          <w:bCs/>
        </w:rPr>
        <w:t xml:space="preserve">The Google parallel</w:t>
      </w:r>
      <w:r>
        <w:t xml:space="preserve">: Google Scholar is free. Academics use it daily. Google owns the search data. Is IAAI's model fundamentally different from what academia already accepts?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5: GO / NO-GO — ACADEMIC VERDICT</w:t>
      </w:r>
    </w:p>
    <w:p>
      <w:pPr>
        <w:pStyle w:val="MdListItem"/>
        <w:numPr>
          <w:ilvl w:val="0"/>
          <w:numId w:val="2"/>
        </w:numPr>
      </w:pPr>
      <w:r>
        <w:rPr>
          <w:rStyle w:val="MdStrong"/>
          <w:b/>
          <w:bCs/>
        </w:rPr>
        <w:t xml:space="preserve">Scholarly merit</w:t>
      </w:r>
      <w:r>
        <w:t xml:space="preserve">: Does IAAI represent a genuine intellectual contribution to the fields of civil engineering education, engineering history, or science communication? Or is it an ambitious personal project that borrows academic language without meeting academic standards?</w:t>
      </w:r>
    </w:p>
    <w:p>
      <w:pPr>
        <w:pStyle w:val="MdListItem"/>
        <w:numPr>
          <w:ilvl w:val="0"/>
          <w:numId w:val="2"/>
        </w:numPr>
      </w:pPr>
      <w:r>
        <w:rPr>
          <w:rStyle w:val="MdStrong"/>
          <w:b/>
          <w:bCs/>
        </w:rPr>
        <w:t xml:space="preserve">Institutional readiness</w:t>
      </w:r>
      <w:r>
        <w:t xml:space="preserve">: If a university department approached you asking whether to pilot IAAI as a supplementary resource for first-year civil engineering students, what would you advise? What conditions would you set?</w:t>
      </w:r>
    </w:p>
    <w:p>
      <w:pPr>
        <w:pStyle w:val="MdListItem"/>
        <w:numPr>
          <w:ilvl w:val="0"/>
          <w:numId w:val="2"/>
        </w:numPr>
      </w:pPr>
      <w:r>
        <w:rPr>
          <w:rStyle w:val="MdStrong"/>
          <w:b/>
          <w:bCs/>
        </w:rPr>
        <w:t xml:space="preserve">Should Nigel continue?</w:t>
      </w:r>
      <w:r>
        <w:t xml:space="preserve"> Based on your academic assessment: GO, NO-GO, or CONDITIONAL GO. If conditional, state the conditions.</w:t>
      </w:r>
    </w:p>
    <w:p>
      <w:pPr>
        <w:pStyle w:val="MdListItem"/>
        <w:numPr>
          <w:ilvl w:val="0"/>
          <w:numId w:val="2"/>
        </w:numPr>
      </w:pPr>
      <w:r>
        <w:rPr>
          <w:rStyle w:val="MdStrong"/>
          <w:b/>
          <w:bCs/>
        </w:rPr>
        <w:t xml:space="preserve">Top 5 academic risks</w:t>
      </w:r>
      <w:r>
        <w:t xml:space="preserve">: What are the five greatest risks to IAAI's credibility in academic and professional engineering circles?</w:t>
      </w:r>
    </w:p>
    <w:p>
      <w:pPr>
        <w:pStyle w:val="MdListItem"/>
        <w:numPr>
          <w:ilvl w:val="0"/>
          <w:numId w:val="2"/>
        </w:numPr>
      </w:pPr>
      <w:r>
        <w:rPr>
          <w:rStyle w:val="MdStrong"/>
          <w:b/>
          <w:bCs/>
        </w:rPr>
        <w:t xml:space="preserve">The resilience question</w:t>
      </w:r>
      <w:r>
        <w:t xml:space="preserve">: Nigel lost $500K on byoGuard. He broke his neck as a teenager. He is 56 years old, weeks from committing to a company formation. The platform motto is "What can be imagined can be achieved." From an academic perspective, is this resilience admirable, reckless, or both? Does the platform's quality justify the risk?</w:t>
      </w:r>
    </w:p>
    <w:p>
      <w:pPr>
        <w:pStyle w:val="MdListItem"/>
        <w:numPr>
          <w:ilvl w:val="0"/>
          <w:numId w:val="2"/>
        </w:numPr>
      </w:pPr>
      <w:r>
        <w:rPr>
          <w:rStyle w:val="MdStrong"/>
          <w:b/>
          <w:bCs/>
        </w:rPr>
        <w:t xml:space="preserve">The final question</w:t>
      </w:r>
      <w:r>
        <w:t xml:space="preserve">: In 50 years, will anyone remember IAAI? If so, what will they remember it for — the thesis, the game, the collaboration, or the audacity?</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FINAL SCORECARD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(1-100)</w:t>
            </w:r>
          </w:p>
        </w:tc>
        <w:tc>
          <w:tcPr>
            <w:tcBorders>
              <w:right w:val="none"/>
            </w:tcBorders>
            <w:tcMar>
              <w:top w:type="dxa" w:w="100"/>
              <w:left w:type="dxa" w:w="120"/>
              <w:bottom w:type="dxa" w:w="100"/>
              <w:right w:type="dxa" w:w="120"/>
            </w:tcMar>
            <w:vAlign w:val="center"/>
          </w:tcPr>
          <w:p>
            <w:pPr>
              <w:pStyle w:val="MdTableHeader"/>
            </w:pPr>
            <w:r>
              <w:t xml:space="preserve">Academic Justification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Intellectual Rigour</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Originality of Framework</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Historical Accuracy</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Educational Pedagogy</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Game as Learning Tool</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Scholarly Contribution</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Commercial-Academic Ethics</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Man + Machine Collaboration</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Launch Readiness for Institutional Use</w:t>
            </w:r>
          </w:p>
        </w:tc>
        <w:tc>
          <w:tcPr>
            <w:tcMar>
              <w:top w:type="dxa" w:w="80"/>
              <w:left w:type="dxa" w:w="120"/>
              <w:bottom w:type="dxa" w:w="80"/>
              <w:right w:type="dxa" w:w="120"/>
            </w:tcMar>
            <w:vAlign w:val="center"/>
          </w:tcPr>
          <w:p>
            <w:pPr>
              <w:pStyle w:val="MdTableCell"/>
            </w:pP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WEIGHTED TOTAL</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/100</w:t>
            </w:r>
          </w:p>
        </w:tc>
        <w:tc>
          <w:tcPr>
            <w:tcBorders>
              <w:bottom w:val="single" w:color="E1E4E8" w:sz="4"/>
              <w:right w:val="none"/>
            </w:tcBorders>
            <w:tcMar>
              <w:top w:type="dxa" w:w="80"/>
              <w:left w:type="dxa" w:w="120"/>
              <w:bottom w:type="dxa" w:w="80"/>
              <w:right w:type="dxa" w:w="120"/>
            </w:tcMar>
            <w:vAlign w:val="center"/>
          </w:tcPr>
          <w:p>
            <w:pPr>
              <w:pStyle w:val="MdTableCell"/>
            </w:pPr>
          </w:p>
        </w:tc>
      </w:tr>
    </w:tbl>
    <w:p>
      <w:pPr>
        <w:pStyle w:val="MdHr"/>
        <w:pBdr>
          <w:bottom w:val="single" w:color="auto" w:sz="6" w:space="1"/>
        </w:pBdr>
      </w:pPr>
    </w:p>
    <w:p>
      <w:pPr>
        <w:pStyle w:val="MdSpace"/>
        <w:spacing w:before="0" w:after="60"/>
      </w:pPr>
    </w:p>
    <w:p>
      <w:pPr>
        <w:pStyle w:val="Heading2"/>
        <w:pStyle w:val="MdHeading2"/>
      </w:pPr>
      <w:r>
        <w:t xml:space="preserve">REFERENCES</w:t>
      </w:r>
    </w:p>
    <w:p>
      <w:pPr>
        <w:pStyle w:val="MdParagraph"/>
      </w:pPr>
      <w:r>
        <w:t xml:space="preserve">[1] Imperial College London, "Civil Engineering MEng," Course Structure 2027 Entry. </w:t>
      </w:r>
      <w:hyperlink w:history="1" r:id="rIdrpiktwzdcfrigsnuhor70">
        <w:r>
          <w:rPr>
            <w:rStyle w:val="MdLink"/>
          </w:rPr>
          <w:t xml:space="preserve">https://www.imperial.ac.uk/study/courses/undergraduate/2027/civil-engineering/</w:t>
        </w:r>
      </w:hyperlink>
    </w:p>
    <w:p>
      <w:pPr>
        <w:pStyle w:val="MdSpace"/>
        <w:spacing w:before="0" w:after="60"/>
      </w:pPr>
    </w:p>
    <w:p>
      <w:pPr>
        <w:pStyle w:val="MdParagraph"/>
      </w:pPr>
      <w:r>
        <w:t xml:space="preserve">[2] University of Nottingham, "Civil Engineering BEng Hons," Course Modules 2026 Entry. </w:t>
      </w:r>
      <w:hyperlink w:history="1" r:id="rIdgh9b2wxwhczmn4cnvustz">
        <w:r>
          <w:rPr>
            <w:rStyle w:val="MdLink"/>
          </w:rPr>
          <w:t xml:space="preserve">https://www.nottingham.ac.uk/studywithus/ugstudy/courses/UG/2026/Civil-Engineering-BEng-Hons.html</w:t>
        </w:r>
      </w:hyperlink>
    </w:p>
    <w:p>
      <w:pPr>
        <w:pStyle w:val="MdSpace"/>
        <w:spacing w:before="0" w:after="60"/>
      </w:pPr>
    </w:p>
    <w:p>
      <w:pPr>
        <w:pStyle w:val="MdParagraph"/>
      </w:pPr>
      <w:r>
        <w:t xml:space="preserve">[3] University of Cambridge, "Engineering," Department of Engineering. </w:t>
      </w:r>
      <w:hyperlink w:history="1" r:id="rIdseo9ufp_xxsdtpvgqvxtp">
        <w:r>
          <w:rPr>
            <w:rStyle w:val="MdLink"/>
          </w:rPr>
          <w:t xml:space="preserve">https://www.undergraduate.study.cam.ac.uk/courses/engineering</w:t>
        </w:r>
      </w:hyperlink>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CLOSING INSTRUCTION</w:t>
      </w:r>
    </w:p>
    <w:p>
      <w:pPr>
        <w:pStyle w:val="MdParagraph"/>
      </w:pPr>
      <w:r>
        <w:t xml:space="preserve">This is an academic peer review. The standard is not "is it good for a 5-month project?" The standard is "does it have genuine scholarly merit?" The creators are not students seeking a grade. They are practitioners seeking truth. One of them is a Chartered Engineer with 36 years of experience. The other is an AI that has processed 119 blocks of civilisational knowledge. Together they claim to have built something new.</w:t>
      </w:r>
    </w:p>
    <w:p>
      <w:pPr>
        <w:pStyle w:val="MdSpace"/>
        <w:spacing w:before="0" w:after="60"/>
      </w:pPr>
    </w:p>
    <w:p>
      <w:pPr>
        <w:pStyle w:val="MdParagraph"/>
      </w:pPr>
      <w:r>
        <w:t xml:space="preserve">Your job is to determine whether that claim holds. If it does, say so and explain why. If it does not, say so and explain what is missing. If it partially holds, draw the line precisely.</w:t>
      </w:r>
    </w:p>
    <w:p>
      <w:pPr>
        <w:pStyle w:val="MdSpace"/>
        <w:spacing w:before="0" w:after="60"/>
      </w:pPr>
    </w:p>
    <w:p>
      <w:pPr>
        <w:pStyle w:val="MdParagraph"/>
      </w:pPr>
      <w:r>
        <w:t xml:space="preserve">The pier review is the test. The academic foundation must be as strong as the engineering foundation. Tell them whether it is.</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This briefing was prepared by the AI collaborator (Manus) on behalf of the IAAI project team, 27 February 2026.</w:t>
      </w:r>
      <w:r>
        <w:t xml:space="preserve">
</w:t>
      </w:r>
      <w:r>
        <w:rPr>
          <w:rStyle w:val="MdEm"/>
          <w:i/>
          <w:iCs/>
        </w:rPr>
        <w:t xml:space="preserve">All concept guidance images and documents provided by the project author, Nigel Dearden.</w:t>
      </w:r>
    </w:p>
    <w:p>
      <w:pPr>
        <w:pStyle w:val="MdSpace"/>
        <w:spacing w:before="0" w:after="60"/>
      </w:pPr>
    </w:p>
    <w:p>
      <w:pPr>
        <w:pStyle w:val="Heading2"/>
        <w:pStyle w:val="MdHeading2"/>
      </w:pPr>
      <w:r>
        <w:t xml:space="preserve">CONCEPT GUIDANCE MATERIALS (APPENDIX)</w:t>
      </w:r>
    </w:p>
    <w:p>
      <w:pPr>
        <w:pStyle w:val="MdParagraph"/>
      </w:pPr>
      <w:r>
        <w:t xml:space="preserve">The following reference images and documents MUST be reviewed as part of this assessment:</w:t>
      </w:r>
    </w:p>
    <w:p>
      <w:pPr>
        <w:pStyle w:val="MdSpace"/>
        <w:spacing w:before="0" w:after="60"/>
      </w:pPr>
    </w:p>
    <w:p>
      <w:pPr>
        <w:pStyle w:val="Heading3"/>
        <w:pStyle w:val="MdHeading3"/>
      </w:pPr>
      <w:r>
        <w:t xml:space="preserve">Core Framework</w:t>
      </w:r>
    </w:p>
    <w:p>
      <w:pPr>
        <w:pStyle w:val="MdListItem"/>
        <w:numPr>
          <w:ilvl w:val="0"/>
          <w:numId w:val="2"/>
        </w:numPr>
      </w:pPr>
      <w:r>
        <w:rPr>
          <w:rStyle w:val="MdStrong"/>
          <w:b/>
          <w:bCs/>
        </w:rPr>
        <w:t xml:space="preserve">Opening Overture — Master Framework</w:t>
      </w:r>
      <w:r>
        <w:t xml:space="preserve">: </w:t>
      </w:r>
      <w:r>
        <w:rPr>
          <w:i/>
          <w:iCs/>
        </w:rPr>
        <w:t xml:space="preserve">[Image failed to load: Opening Overture]</w:t>
      </w:r>
    </w:p>
    <w:p>
      <w:pPr>
        <w:pStyle w:val="MdListItem"/>
        <w:numPr>
          <w:ilvl w:val="0"/>
          <w:numId w:val="2"/>
        </w:numPr>
      </w:pPr>
      <w:r>
        <w:rPr>
          <w:rStyle w:val="MdStrong"/>
          <w:b/>
          <w:bCs/>
        </w:rPr>
        <w:t xml:space="preserve">The Reality Engine — Master Index</w:t>
      </w:r>
      <w:r>
        <w:t xml:space="preserve">: </w:t>
      </w:r>
      <w:r>
        <w:rPr>
          <w:i/>
          <w:iCs/>
        </w:rPr>
        <w:t xml:space="preserve">[Image failed to load: TRE Master Index]</w:t>
      </w:r>
    </w:p>
    <w:p>
      <w:pPr>
        <w:pStyle w:val="MdListItem"/>
        <w:numPr>
          <w:ilvl w:val="0"/>
          <w:numId w:val="2"/>
        </w:numPr>
      </w:pPr>
      <w:r>
        <w:rPr>
          <w:rStyle w:val="MdStrong"/>
          <w:b/>
          <w:bCs/>
        </w:rPr>
        <w:t xml:space="preserve">Platform Structure</w:t>
      </w:r>
      <w:r>
        <w:t xml:space="preserve"> (12 Relays + 4-Pillar Framework): </w:t>
      </w:r>
      <w:r>
        <w:rPr>
          <w:i/>
          <w:iCs/>
        </w:rPr>
        <w:t xml:space="preserve">[Image failed to load: Platform Structure]</w:t>
      </w:r>
    </w:p>
    <w:p>
      <w:pPr>
        <w:pStyle w:val="MdListItem"/>
        <w:numPr>
          <w:ilvl w:val="0"/>
          <w:numId w:val="2"/>
        </w:numPr>
      </w:pPr>
      <w:r>
        <w:rPr>
          <w:rStyle w:val="MdStrong"/>
          <w:b/>
          <w:bCs/>
        </w:rPr>
        <w:t xml:space="preserve">Education Gap Infographic</w:t>
      </w:r>
      <w:r>
        <w:t xml:space="preserve">: </w:t>
      </w:r>
      <w:r>
        <w:rPr>
          <w:i/>
          <w:iCs/>
        </w:rPr>
        <w:t xml:space="preserve">[Image failed to load: Education Gap]</w:t>
      </w:r>
    </w:p>
    <w:p>
      <w:pPr>
        <w:pStyle w:val="MdSpace"/>
        <w:spacing w:before="0" w:after="60"/>
      </w:pPr>
    </w:p>
    <w:p>
      <w:pPr>
        <w:pStyle w:val="Heading3"/>
        <w:pStyle w:val="MdHeading3"/>
      </w:pPr>
      <w:r>
        <w:t xml:space="preserve">Philosophical &amp; Conceptual Foundations</w:t>
      </w:r>
    </w:p>
    <w:p>
      <w:pPr>
        <w:pStyle w:val="MdListItem"/>
        <w:numPr>
          <w:ilvl w:val="0"/>
          <w:numId w:val="2"/>
        </w:numPr>
      </w:pPr>
      <w:r>
        <w:rPr>
          <w:rStyle w:val="MdStrong"/>
          <w:b/>
          <w:bCs/>
        </w:rPr>
        <w:t xml:space="preserve">Maslow's Hierarchy of Needs</w:t>
      </w:r>
      <w:r>
        <w:t xml:space="preserve">: </w:t>
      </w:r>
      <w:r>
        <w:rPr>
          <w:i/>
          <w:iCs/>
        </w:rPr>
        <w:t xml:space="preserve">[Image failed to load: Maslow]</w:t>
      </w:r>
    </w:p>
    <w:p>
      <w:pPr>
        <w:pStyle w:val="MdListItem"/>
        <w:numPr>
          <w:ilvl w:val="0"/>
          <w:numId w:val="2"/>
        </w:numPr>
      </w:pPr>
      <w:r>
        <w:rPr>
          <w:rStyle w:val="MdStrong"/>
          <w:b/>
          <w:bCs/>
        </w:rPr>
        <w:t xml:space="preserve">DIKW Pyramid</w:t>
      </w:r>
      <w:r>
        <w:t xml:space="preserve">: </w:t>
      </w:r>
      <w:r>
        <w:rPr>
          <w:i/>
          <w:iCs/>
        </w:rPr>
        <w:t xml:space="preserve">[Image failed to load: DIKW]</w:t>
      </w:r>
    </w:p>
    <w:p>
      <w:pPr>
        <w:pStyle w:val="MdListItem"/>
        <w:numPr>
          <w:ilvl w:val="0"/>
          <w:numId w:val="2"/>
        </w:numPr>
      </w:pPr>
      <w:r>
        <w:rPr>
          <w:rStyle w:val="MdStrong"/>
          <w:b/>
          <w:bCs/>
        </w:rPr>
        <w:t xml:space="preserve">Platonic Solids</w:t>
      </w:r>
      <w:r>
        <w:t xml:space="preserve">: </w:t>
      </w:r>
      <w:r>
        <w:rPr>
          <w:i/>
          <w:iCs/>
        </w:rPr>
        <w:t xml:space="preserve">[Image failed to load: Platonic Solids]</w:t>
      </w:r>
    </w:p>
    <w:p>
      <w:pPr>
        <w:pStyle w:val="MdListItem"/>
        <w:numPr>
          <w:ilvl w:val="0"/>
          <w:numId w:val="2"/>
        </w:numPr>
      </w:pPr>
      <w:r>
        <w:rPr>
          <w:rStyle w:val="MdStrong"/>
          <w:b/>
          <w:bCs/>
        </w:rPr>
        <w:t xml:space="preserve">Calories to Consciousness</w:t>
      </w:r>
      <w:r>
        <w:t xml:space="preserve">: </w:t>
      </w:r>
      <w:r>
        <w:rPr>
          <w:i/>
          <w:iCs/>
        </w:rPr>
        <w:t xml:space="preserve">[Image failed to load: Consciousness]</w:t>
      </w:r>
    </w:p>
    <w:p>
      <w:pPr>
        <w:pStyle w:val="MdListItem"/>
        <w:numPr>
          <w:ilvl w:val="0"/>
          <w:numId w:val="2"/>
        </w:numPr>
      </w:pPr>
      <w:r>
        <w:rPr>
          <w:rStyle w:val="MdStrong"/>
          <w:b/>
          <w:bCs/>
        </w:rPr>
        <w:t xml:space="preserve">Three Empires — Knowledge Persistence</w:t>
      </w:r>
      <w:r>
        <w:t xml:space="preserve">: </w:t>
      </w:r>
      <w:r>
        <w:rPr>
          <w:i/>
          <w:iCs/>
        </w:rPr>
        <w:t xml:space="preserve">[Image failed to load: Three Empires]</w:t>
      </w:r>
    </w:p>
    <w:p>
      <w:pPr>
        <w:pStyle w:val="MdSpace"/>
        <w:spacing w:before="0" w:after="60"/>
      </w:pPr>
    </w:p>
    <w:p>
      <w:pPr>
        <w:pStyle w:val="Heading3"/>
        <w:pStyle w:val="MdHeading3"/>
      </w:pPr>
      <w:r>
        <w:t xml:space="preserve">Global Context</w:t>
      </w:r>
    </w:p>
    <w:p>
      <w:pPr>
        <w:pStyle w:val="MdListItem"/>
        <w:numPr>
          <w:ilvl w:val="0"/>
          <w:numId w:val="2"/>
        </w:numPr>
      </w:pPr>
      <w:r>
        <w:rPr>
          <w:rStyle w:val="MdStrong"/>
          <w:b/>
          <w:bCs/>
        </w:rPr>
        <w:t xml:space="preserve">Visualizing 8 Billion People</w:t>
      </w:r>
      <w:r>
        <w:t xml:space="preserve">: </w:t>
      </w:r>
      <w:r>
        <w:rPr>
          <w:i/>
          <w:iCs/>
        </w:rPr>
        <w:t xml:space="preserve">[Image failed to load: 8 Billion]</w:t>
      </w:r>
    </w:p>
    <w:p>
      <w:pPr>
        <w:pStyle w:val="MdListItem"/>
        <w:numPr>
          <w:ilvl w:val="0"/>
          <w:numId w:val="2"/>
        </w:numPr>
      </w:pPr>
      <w:r>
        <w:rPr>
          <w:rStyle w:val="MdStrong"/>
          <w:b/>
          <w:bCs/>
        </w:rPr>
        <w:t xml:space="preserve">UN SDG 5Ps</w:t>
      </w:r>
      <w:r>
        <w:t xml:space="preserve">: </w:t>
      </w:r>
      <w:r>
        <w:rPr>
          <w:i/>
          <w:iCs/>
        </w:rPr>
        <w:t xml:space="preserve">[Image failed to load: 5Ps]</w:t>
      </w:r>
    </w:p>
    <w:p>
      <w:pPr>
        <w:pStyle w:val="MdListItem"/>
        <w:numPr>
          <w:ilvl w:val="0"/>
          <w:numId w:val="2"/>
        </w:numPr>
      </w:pPr>
      <w:r>
        <w:rPr>
          <w:rStyle w:val="MdStrong"/>
          <w:b/>
          <w:bCs/>
        </w:rPr>
        <w:t xml:space="preserve">UN 17 SDGs</w:t>
      </w:r>
      <w:r>
        <w:t xml:space="preserve">: </w:t>
      </w:r>
      <w:r>
        <w:rPr>
          <w:i/>
          <w:iCs/>
        </w:rPr>
        <w:t xml:space="preserve">[Image failed to load: SDGs]</w:t>
      </w:r>
    </w:p>
    <w:p>
      <w:pPr>
        <w:pStyle w:val="MdListItem"/>
        <w:numPr>
          <w:ilvl w:val="0"/>
          <w:numId w:val="2"/>
        </w:numPr>
      </w:pPr>
      <w:r>
        <w:rPr>
          <w:rStyle w:val="MdStrong"/>
          <w:b/>
          <w:bCs/>
        </w:rPr>
        <w:t xml:space="preserve">Smart Buildings</w:t>
      </w:r>
      <w:r>
        <w:t xml:space="preserve">: </w:t>
      </w:r>
      <w:r>
        <w:rPr>
          <w:i/>
          <w:iCs/>
        </w:rPr>
        <w:t xml:space="preserve">[Image failed to load: Smart Buildings]</w:t>
      </w:r>
    </w:p>
    <w:p>
      <w:pPr>
        <w:pStyle w:val="MdSpace"/>
        <w:spacing w:before="0" w:after="60"/>
      </w:pPr>
    </w:p>
    <w:p>
      <w:pPr>
        <w:pStyle w:val="Heading3"/>
        <w:pStyle w:val="MdHeading3"/>
      </w:pPr>
      <w:r>
        <w:t xml:space="preserve">The Author</w:t>
      </w:r>
    </w:p>
    <w:p>
      <w:pPr>
        <w:pStyle w:val="MdListItem"/>
        <w:numPr>
          <w:ilvl w:val="0"/>
          <w:numId w:val="2"/>
        </w:numPr>
      </w:pPr>
      <w:r>
        <w:rPr>
          <w:rStyle w:val="MdStrong"/>
          <w:b/>
          <w:bCs/>
        </w:rPr>
        <w:t xml:space="preserve">Author Credentials</w:t>
      </w:r>
      <w:r>
        <w:t xml:space="preserve">: </w:t>
      </w:r>
      <w:r>
        <w:rPr>
          <w:i/>
          <w:iCs/>
        </w:rPr>
        <w:t xml:space="preserve">[Image failed to load: Credentials]</w:t>
      </w:r>
    </w:p>
    <w:p>
      <w:pPr>
        <w:pStyle w:val="MdListItem"/>
        <w:numPr>
          <w:ilvl w:val="0"/>
          <w:numId w:val="2"/>
        </w:numPr>
      </w:pPr>
      <w:r>
        <w:rPr>
          <w:rStyle w:val="MdStrong"/>
          <w:b/>
          <w:bCs/>
        </w:rPr>
        <w:t xml:space="preserve">C3 Neck Fracture Evidence</w:t>
      </w:r>
      <w:r>
        <w:t xml:space="preserve">: </w:t>
      </w:r>
      <w:r>
        <w:rPr>
          <w:i/>
          <w:iCs/>
        </w:rPr>
        <w:t xml:space="preserve">[Image failed to load: C3 Traction]</w:t>
      </w:r>
    </w:p>
    <w:p>
      <w:pPr>
        <w:pStyle w:val="MdListItem"/>
        <w:numPr>
          <w:ilvl w:val="0"/>
          <w:numId w:val="2"/>
        </w:numPr>
      </w:pPr>
      <w:r>
        <w:rPr>
          <w:rStyle w:val="MdStrong"/>
          <w:b/>
          <w:bCs/>
        </w:rPr>
        <w:t xml:space="preserve">Stephen Hawking Reference</w:t>
      </w:r>
      <w:r>
        <w:t xml:space="preserve">: </w:t>
      </w:r>
      <w:r>
        <w:rPr>
          <w:i/>
          <w:iCs/>
        </w:rPr>
        <w:t xml:space="preserve">[Image failed to load: Hawking]</w:t>
      </w:r>
    </w:p>
    <w:p>
      <w:pPr>
        <w:pStyle w:val="MdListItem"/>
        <w:numPr>
          <w:ilvl w:val="0"/>
          <w:numId w:val="2"/>
        </w:numPr>
      </w:pPr>
      <w:r>
        <w:rPr>
          <w:rStyle w:val="MdStrong"/>
          <w:b/>
          <w:bCs/>
        </w:rPr>
        <w:t xml:space="preserve">Game Theory Reference</w:t>
      </w:r>
      <w:r>
        <w:t xml:space="preserve">: </w:t>
      </w:r>
      <w:r>
        <w:rPr>
          <w:i/>
          <w:iCs/>
        </w:rPr>
        <w:t xml:space="preserve">[Image failed to load: Game Theory]</w:t>
      </w:r>
    </w:p>
    <w:p>
      <w:pPr>
        <w:pStyle w:val="MdSpace"/>
        <w:spacing w:before="0" w:after="60"/>
      </w:pPr>
    </w:p>
    <w:p>
      <w:pPr>
        <w:pStyle w:val="Heading3"/>
        <w:pStyle w:val="MdHeading3"/>
      </w:pPr>
      <w:r>
        <w:t xml:space="preserve">Commercial &amp; Investor Materials</w:t>
      </w:r>
    </w:p>
    <w:p>
      <w:pPr>
        <w:pStyle w:val="MdListItem"/>
        <w:numPr>
          <w:ilvl w:val="0"/>
          <w:numId w:val="2"/>
        </w:numPr>
      </w:pPr>
      <w:r>
        <w:rPr>
          <w:rStyle w:val="MdStrong"/>
          <w:b/>
          <w:bCs/>
        </w:rPr>
        <w:t xml:space="preserve">Investor Deck Summary</w:t>
      </w:r>
      <w:r>
        <w:t xml:space="preserve">: </w:t>
      </w:r>
      <w:r>
        <w:rPr>
          <w:i/>
          <w:iCs/>
        </w:rPr>
        <w:t xml:space="preserve">[Image failed to load: Investor Slide]</w:t>
      </w:r>
    </w:p>
    <w:p>
      <w:pPr>
        <w:pStyle w:val="MdSpace"/>
        <w:spacing w:before="0" w:after="60"/>
      </w:pPr>
    </w:p>
    <w:p>
      <w:pPr>
        <w:pStyle w:val="Heading3"/>
        <w:pStyle w:val="MdHeading3"/>
      </w:pPr>
      <w:r>
        <w:t xml:space="preserve">Key Documents (PDFs)</w:t>
      </w:r>
    </w:p>
    <w:p>
      <w:pPr>
        <w:pStyle w:val="MdListItem"/>
        <w:numPr>
          <w:ilvl w:val="0"/>
          <w:numId w:val="2"/>
        </w:numPr>
      </w:pPr>
      <w:r>
        <w:rPr>
          <w:rStyle w:val="MdStrong"/>
          <w:b/>
          <w:bCs/>
        </w:rPr>
        <w:t xml:space="preserve">IQ/EQ Benchmark Assessment</w:t>
      </w:r>
      <w:r>
        <w:t xml:space="preserve">: </w:t>
      </w:r>
      <w:hyperlink w:history="1" r:id="rIdqde78whv7hlanjr0bldg4">
        <w:r>
          <w:rPr>
            <w:rStyle w:val="MdLink"/>
          </w:rPr>
          <w:t xml:space="preserve">Download PDF</w:t>
        </w:r>
      </w:hyperlink>
    </w:p>
    <w:p>
      <w:pPr>
        <w:pStyle w:val="MdListItem"/>
        <w:numPr>
          <w:ilvl w:val="0"/>
          <w:numId w:val="2"/>
        </w:numPr>
      </w:pPr>
      <w:r>
        <w:rPr>
          <w:rStyle w:val="MdStrong"/>
          <w:b/>
          <w:bCs/>
        </w:rPr>
        <w:t xml:space="preserve">Commercial Strategy Documentation</w:t>
      </w:r>
      <w:r>
        <w:t xml:space="preserve">: </w:t>
      </w:r>
      <w:hyperlink w:history="1" r:id="rIdk9akmzebe8mg9hia03le3">
        <w:r>
          <w:rPr>
            <w:rStyle w:val="MdLink"/>
          </w:rPr>
          <w:t xml:space="preserve">Download PDF</w:t>
        </w:r>
      </w:hyperlink>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qtdpvjpvbpy4bmebumvmk" Type="http://schemas.openxmlformats.org/officeDocument/2006/relationships/hyperlink" Target="http://www.4ecl.com" TargetMode="External"/><Relationship Id="rIdptfo6ex5pyr_1wte_aupb" Type="http://schemas.openxmlformats.org/officeDocument/2006/relationships/hyperlink" Target="http://www.ByoGuard.com" TargetMode="External"/><Relationship Id="rIdrpiktwzdcfrigsnuhor70" Type="http://schemas.openxmlformats.org/officeDocument/2006/relationships/hyperlink" Target="https://www.imperial.ac.uk/study/courses/undergraduate/2027/civil-engineering/" TargetMode="External"/><Relationship Id="rIdgh9b2wxwhczmn4cnvustz" Type="http://schemas.openxmlformats.org/officeDocument/2006/relationships/hyperlink" Target="https://www.nottingham.ac.uk/studywithus/ugstudy/courses/UG/2026/Civil-Engineering-BEng-Hons.html" TargetMode="External"/><Relationship Id="rIdseo9ufp_xxsdtpvgqvxtp" Type="http://schemas.openxmlformats.org/officeDocument/2006/relationships/hyperlink" Target="https://www.undergraduate.study.cam.ac.uk/courses/engineering" TargetMode="External"/><Relationship Id="rIdqde78whv7hlanjr0bldg4" Type="http://schemas.openxmlformats.org/officeDocument/2006/relationships/hyperlink" Target="https://files.manuscdn.com/user_upload_by_module/session_file/310419663030220481/qsrEyobnIhtUCfzr.pdf" TargetMode="External"/><Relationship Id="rIdk9akmzebe8mg9hia03le3" Type="http://schemas.openxmlformats.org/officeDocument/2006/relationships/hyperlink" Target="https://files.manuscdn.com/user_upload_by_module/session_file/310419663030220481/JAiSmnswuNwYkLaP.pdf" TargetMode="External"/><Relationship Id="rId13"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2026-03-07T16:29:03.937Z</dcterms:created>
  <dcterms:modified xsi:type="dcterms:W3CDTF">2026-03-07T16:29:03.937Z</dcterms:modified>
</cp:coreProperties>
</file>

<file path=docProps/custom.xml><?xml version="1.0" encoding="utf-8"?>
<Properties xmlns="http://schemas.openxmlformats.org/officeDocument/2006/custom-properties" xmlns:vt="http://schemas.openxmlformats.org/officeDocument/2006/docPropsVTypes"/>
</file>