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pStyle w:val="MdHeading1"/>
      </w:pPr>
      <w:r>
        <w:t xml:space="preserve">IAAI 12-University Global Benchmark</w:t>
      </w:r>
    </w:p>
    <w:p>
      <w:pPr>
        <w:pStyle w:val="Heading2"/>
        <w:pStyle w:val="MdHeading2"/>
      </w:pPr>
      <w:r>
        <w:t xml:space="preserve">Infrastructure Academy — Civilisational Curriculum Comparison Matrix</w:t>
      </w:r>
    </w:p>
    <w:p>
      <w:pPr>
        <w:pStyle w:val="MdParagraph"/>
      </w:pPr>
      <w:r>
        <w:rPr>
          <w:rStyle w:val="MdStrong"/>
          <w:b/>
          <w:bCs/>
        </w:rPr>
        <w:t xml:space="preserve">Date:</w:t>
      </w:r>
      <w:r>
        <w:t xml:space="preserve"> 27 February 2026
</w:t>
      </w:r>
      <w:r>
        <w:rPr>
          <w:rStyle w:val="MdStrong"/>
          <w:b/>
          <w:bCs/>
        </w:rPr>
        <w:t xml:space="preserve">Prepared by:</w:t>
      </w:r>
      <w:r>
        <w:t xml:space="preserve"> Manus AI (Independent Assessment)
</w:t>
      </w:r>
      <w:r>
        <w:rPr>
          <w:rStyle w:val="MdStrong"/>
          <w:b/>
          <w:bCs/>
        </w:rPr>
        <w:t xml:space="preserve">Purpose:</w:t>
      </w:r>
      <w:r>
        <w:t xml:space="preserve"> Benchmark IAAI's educational framework against 12 leading Civil Engineering programmes across 4 global regions, forming the founding matrix for the Infrastructure Olympiad Challenge.</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Part 1: The 12 Universities</w:t>
      </w:r>
    </w:p>
    <w:p>
      <w:pPr>
        <w:pStyle w:val="Heading3"/>
        <w:pStyle w:val="MdHeading3"/>
      </w:pPr>
      <w:r>
        <w:t xml:space="preserve">Region 1 — United Kingdom (The Establishment)</w:t>
      </w:r>
    </w:p>
    <w:p>
      <w:pPr>
        <w:pStyle w:val="MdParagraph"/>
      </w:pPr>
      <w:r>
        <w:t xml:space="preserve">The United Kingdom represents the historical heartland of formal civil engineering education. The Institution of Civil Engineers (ICE), founded in 1818, established the professional framework that most of the world still follows. UK programmes are characterised by prescribed year-by-year structures, Joint Board of Moderators (JBM) accreditation, and a strong emphasis on professional chartership as the end goal.</w:t>
      </w:r>
    </w:p>
    <w:p>
      <w:pPr>
        <w:pStyle w:val="MdSpace"/>
        <w:spacing w:before="0" w:after="60"/>
      </w:pPr>
    </w:p>
    <w:p>
      <w:pPr>
        <w:pStyle w:val="MdParagraph"/>
      </w:pPr>
      <w:r>
        <w:rPr>
          <w:rStyle w:val="MdStrong"/>
          <w:b/>
          <w:bCs/>
        </w:rPr>
        <w:t xml:space="preserve">1. Imperial College London — MEng Civil Engineering (2027 entry)</w:t>
      </w:r>
      <w:r>
        <w:t xml:space="preserve">
Imperial's programme is structured around ten Year 1 core modules including Professional Engineering Practice, Civil Engineering Design 1, Mathematics 1, Computational Methods 1, Mechanics, Structural Mechanics 1, Materials, Fluid Mechanics 1, Geotechnics, and Energy and Environmental Engineering. Teaching methods include the Constructionarium (students build scaled structures on-site), individual research projects, and field trips. Imperial is consistently ranked in the global top 10 for civil engineering and represents the gold standard of UK technical rigour.</w:t>
      </w:r>
    </w:p>
    <w:p>
      <w:pPr>
        <w:pStyle w:val="MdSpace"/>
        <w:spacing w:before="0" w:after="60"/>
      </w:pPr>
    </w:p>
    <w:p>
      <w:pPr>
        <w:pStyle w:val="MdParagraph"/>
      </w:pPr>
      <w:r>
        <w:rPr>
          <w:rStyle w:val="MdStrong"/>
          <w:b/>
          <w:bCs/>
        </w:rPr>
        <w:t xml:space="preserve">2. University of Nottingham — BEng Civil Engineering (2026 entry)</w:t>
      </w:r>
      <w:r>
        <w:t xml:space="preserve">
Nottingham's three-year BEng follows a progressive structure: Year 1 covers Hydraulics 1, Introduction to Construction Management and Design, Portfolio of Civil Engineering Studies 1, Structural Analysis 1, Civil Engineering Mathematics 1, and Geotechnics 1. Year 2 builds with Hydraulics 2, Fundamentals of Materials, Civil and Structural Steel Design Project, and Structural Analysis 2. Year 3 culminates in an Individual Investigative Project, Structural Concrete Design, Geotechnics 3, Construction Management and Retrofit Design, and Hydraulic Design. Nottingham represents the solid mid-tier UK programme — rigorous, practical, industry-connected.</w:t>
      </w:r>
    </w:p>
    <w:p>
      <w:pPr>
        <w:pStyle w:val="MdSpace"/>
        <w:spacing w:before="0" w:after="60"/>
      </w:pPr>
    </w:p>
    <w:p>
      <w:pPr>
        <w:pStyle w:val="MdParagraph"/>
      </w:pPr>
      <w:r>
        <w:rPr>
          <w:rStyle w:val="MdStrong"/>
          <w:b/>
          <w:bCs/>
        </w:rPr>
        <w:t xml:space="preserve">3. University of Cambridge — BA/MEng Engineering (General)</w:t>
      </w:r>
      <w:r>
        <w:t xml:space="preserve">
Cambridge takes a fundamentally different approach: its engineering programme starts broad across ALL engineering disciplines (mechanical, electrical, civil, materials, information) before allowing specialisation in later years. This cross-disciplinary foundation is more similar to IAAI's approach than any traditional civil-only programme. Cambridge produces engineers who think across boundaries — which is precisely what IAAI advocates.</w:t>
      </w:r>
    </w:p>
    <w:p>
      <w:pPr>
        <w:pStyle w:val="MdSpace"/>
        <w:spacing w:before="0" w:after="60"/>
      </w:pPr>
    </w:p>
    <w:p>
      <w:pPr>
        <w:pStyle w:val="Heading3"/>
        <w:pStyle w:val="MdHeading3"/>
      </w:pPr>
      <w:r>
        <w:t xml:space="preserve">Region 2 — Asia-Pacific (The Continuous Tradition)</w:t>
      </w:r>
    </w:p>
    <w:p>
      <w:pPr>
        <w:pStyle w:val="MdParagraph"/>
      </w:pPr>
      <w:r>
        <w:t xml:space="preserve">Asian universities represent civilisations with unbroken infrastructure traditions spanning millennia. The Great Wall, the Grand Canal, the Indus Valley cities, Angkor Wat — these are not historical curiosities but living proof of continuous engineering cultures. Asian programmes tend to combine heavy mathematical rigour with national development imperatives.</w:t>
      </w:r>
    </w:p>
    <w:p>
      <w:pPr>
        <w:pStyle w:val="MdSpace"/>
        <w:spacing w:before="0" w:after="60"/>
      </w:pPr>
    </w:p>
    <w:p>
      <w:pPr>
        <w:pStyle w:val="MdParagraph"/>
      </w:pPr>
      <w:r>
        <w:rPr>
          <w:rStyle w:val="MdStrong"/>
          <w:b/>
          <w:bCs/>
        </w:rPr>
        <w:t xml:space="preserve">4. National University of Singapore (NUS) — BEng Civil Engineering</w:t>
      </w:r>
      <w:r>
        <w:t xml:space="preserve">
NUS has introduced a "Build Your Own Degree" model from AY2025/2026 with 40 units of Unrestricted Electives, allowing unprecedented interdisciplinary flexibility. The new curriculum includes "Liveable Cities" (CDE2501) as a Singapore Studies module, reflecting the city-state's identity as a living infrastructure laboratory. NUS is moving TOWARD what IAAI already does — interdisciplinary, systems-level thinking about the built environment. Top-ranked globally for civil engineering.</w:t>
      </w:r>
    </w:p>
    <w:p>
      <w:pPr>
        <w:pStyle w:val="MdSpace"/>
        <w:spacing w:before="0" w:after="60"/>
      </w:pPr>
    </w:p>
    <w:p>
      <w:pPr>
        <w:pStyle w:val="MdParagraph"/>
      </w:pPr>
      <w:r>
        <w:rPr>
          <w:rStyle w:val="MdStrong"/>
          <w:b/>
          <w:bCs/>
        </w:rPr>
        <w:t xml:space="preserve">5. Tsinghua University — Civil Engineering (Beijing, China)</w:t>
      </w:r>
      <w:r>
        <w:t xml:space="preserve">
Ranked globally No. 1 in Civil and Structural Engineering, Tsinghua's core covers Mathematics, Physics, Engineering Graphics, Computer Fundamentals, Engineering Mechanics, Building Materials, and an International Construction and Project Management programme. Tsinghua embodies Mode 2 (Eastern Continuous) — 12,000 years of unbroken Chinese civilisation reflected in their engineering tradition. The oldest continuous engineering culture in the world, from the Dujiangyan irrigation system (256 BCE, still operational) to the Hong Kong-Zhuhai-Macau Bridge.</w:t>
      </w:r>
    </w:p>
    <w:p>
      <w:pPr>
        <w:pStyle w:val="MdSpace"/>
        <w:spacing w:before="0" w:after="60"/>
      </w:pPr>
    </w:p>
    <w:p>
      <w:pPr>
        <w:pStyle w:val="MdParagraph"/>
      </w:pPr>
      <w:r>
        <w:rPr>
          <w:rStyle w:val="MdStrong"/>
          <w:b/>
          <w:bCs/>
        </w:rPr>
        <w:t xml:space="preserve">6. IIT Bombay — BTech Civil Engineering (India)</w:t>
      </w:r>
      <w:r>
        <w:t xml:space="preserve">
IIT Bombay represents the most mathematically rigorous tradition in the comparison. India's engineering education system, rooted in the IIT network established post-independence, demands exceptional quantitative ability. The curriculum is technically dense with strong research focus alongside teaching. India as the "other" ancient civilisation — Indus Valley, Harappan infrastructure, the Grand Trunk Road — provides a parallel to China's continuous tradition but with a different philosophical foundation.</w:t>
      </w:r>
    </w:p>
    <w:p>
      <w:pPr>
        <w:pStyle w:val="MdSpace"/>
        <w:spacing w:before="0" w:after="60"/>
      </w:pPr>
    </w:p>
    <w:p>
      <w:pPr>
        <w:pStyle w:val="Heading3"/>
        <w:pStyle w:val="MdHeading3"/>
      </w:pPr>
      <w:r>
        <w:t xml:space="preserve">Region 3 — United States of America (The Innovators)</w:t>
      </w:r>
    </w:p>
    <w:p>
      <w:pPr>
        <w:pStyle w:val="MdParagraph"/>
      </w:pPr>
      <w:r>
        <w:t xml:space="preserve">American programmes are characterised by flexibility, elective-heavy structures, ABET accreditation as the professional licensing pathway, and a strong emphasis on innovation, entrepreneurship, and interdisciplinary thinking. US universities are where engineering meets Silicon Valley, where infrastructure meets data science.</w:t>
      </w:r>
    </w:p>
    <w:p>
      <w:pPr>
        <w:pStyle w:val="MdSpace"/>
        <w:spacing w:before="0" w:after="60"/>
      </w:pPr>
    </w:p>
    <w:p>
      <w:pPr>
        <w:pStyle w:val="MdParagraph"/>
      </w:pPr>
      <w:r>
        <w:rPr>
          <w:rStyle w:val="MdStrong"/>
          <w:b/>
          <w:bCs/>
        </w:rPr>
        <w:t xml:space="preserve">7. Massachusetts Institute of Technology (MIT) — Course 1-ENG</w:t>
      </w:r>
      <w:r>
        <w:t xml:space="preserve">
MIT's Department of Civil and Environmental Engineering operates around two "centres of gravity": Environment (natural systems) and Infrastructure (human-created activity). The programme features the Parsons Laboratory for Environmental Science and Engineering and the Pierce Laboratory for Infrastructure Science and Engineering. Core subjects include Introduction to CEE Design (1.101), Sensing, Computing &amp; Data Analysis (1.104), Data, Models &amp; Decisions (1.106), and Systems Engineering (1.107). MIT's "nano to global" scale approach mirrors IAAI's micro-to-macro civilisational lens. The joint programme with Earth, Atmospheric &amp; Planetary Sciences (1-12 Climate System Science &amp; Engineering) shows MIT moving toward the same systems-level thinking that IAAI advocates.</w:t>
      </w:r>
    </w:p>
    <w:p>
      <w:pPr>
        <w:pStyle w:val="MdSpace"/>
        <w:spacing w:before="0" w:after="60"/>
      </w:pPr>
    </w:p>
    <w:p>
      <w:pPr>
        <w:pStyle w:val="MdParagraph"/>
      </w:pPr>
      <w:r>
        <w:rPr>
          <w:rStyle w:val="MdStrong"/>
          <w:b/>
          <w:bCs/>
        </w:rPr>
        <w:t xml:space="preserve">8. Stanford University — BS Civil Engineering</w:t>
      </w:r>
      <w:r>
        <w:t xml:space="preserve">
Stanford offers seven Focus Areas: Structural Engineering &amp; Mechanics, Environmental Fluid Mechanics &amp; Hydrology, Construction Engineering, Energy &amp; Climate, Environmental Quality Engineering, Sensing Analytics &amp; Control, and Urban Systems. Students choose one primary focus plus three breadth areas. Stanford's framing as "both technical and people-oriented" aligns with IAAI's human-infrastructure thesis. Early-access courses include "Clean Water Now! Urban Water Conflicts" (CEE 41Q), "Air Pollution and Global Warming: History, Science &amp; Solutions" (CEE 64), and "How Buildings Are Made: Materiality and Construction Methods" (CEE 131C). Minimum 113 programme units, 180 university units.</w:t>
      </w:r>
    </w:p>
    <w:p>
      <w:pPr>
        <w:pStyle w:val="MdSpace"/>
        <w:spacing w:before="0" w:after="60"/>
      </w:pPr>
    </w:p>
    <w:p>
      <w:pPr>
        <w:pStyle w:val="MdParagraph"/>
      </w:pPr>
      <w:r>
        <w:rPr>
          <w:rStyle w:val="MdStrong"/>
          <w:b/>
          <w:bCs/>
        </w:rPr>
        <w:t xml:space="preserve">9. University of California, Berkeley — BS Civil Engineering</w:t>
      </w:r>
      <w:r>
        <w:t xml:space="preserve">
UC Berkeley's four-year ABET-accredited programme covers three core areas: Environmental Science &amp; Engineering, Civil Infrastructure, and Economics &amp; Policy. Graduate tracks extend into Transportation, Construction Systems, Energy, Civil Infrastructure &amp; Climate Engineering, Environmental Engineering, and GeoSystems. Berkeley's proximity to the Silicon Valley tech ecosystem creates a unique bridge between traditional civil engineering and computational innovation. Minimum 120 semester units.</w:t>
      </w:r>
    </w:p>
    <w:p>
      <w:pPr>
        <w:pStyle w:val="MdSpace"/>
        <w:spacing w:before="0" w:after="60"/>
      </w:pPr>
    </w:p>
    <w:p>
      <w:pPr>
        <w:pStyle w:val="Heading3"/>
        <w:pStyle w:val="MdHeading3"/>
      </w:pPr>
      <w:r>
        <w:t xml:space="preserve">Region 4 — Middle East (The Builders)</w:t>
      </w:r>
    </w:p>
    <w:p>
      <w:pPr>
        <w:pStyle w:val="MdParagraph"/>
      </w:pPr>
      <w:r>
        <w:t xml:space="preserve">The Middle East represents nations that are BUILDING at unprecedented scale RIGHT NOW. These are not programmes teaching about infrastructure in the abstract — they are producing engineers for NEOM, Masdar City, the Qatar World Cup legacy, and Vision 2030. Infrastructure is not history here; it is the present and the future.</w:t>
      </w:r>
    </w:p>
    <w:p>
      <w:pPr>
        <w:pStyle w:val="MdSpace"/>
        <w:spacing w:before="0" w:after="60"/>
      </w:pPr>
    </w:p>
    <w:p>
      <w:pPr>
        <w:pStyle w:val="MdParagraph"/>
      </w:pPr>
      <w:r>
        <w:rPr>
          <w:rStyle w:val="MdStrong"/>
          <w:b/>
          <w:bCs/>
        </w:rPr>
        <w:t xml:space="preserve">10. Khalifa University — BSc Civil Engineering (Abu Dhabi, UAE)</w:t>
      </w:r>
      <w:r>
        <w:t xml:space="preserve">
Khalifa University's Department of Civil Infrastructure and Environmental Engineering (note the word "Infrastructure" in the department name — closer to IAAI's language than any Western university) offers a BSc that lays the foundation for core civil engineering disciplines while engaging students to understand overall infrastructure systems. The MSc programme is specifically titled "Civil and Infrastructural Engineering." Abu Dhabi's context — Masdar City, Saadiyat Island, Yas Island — provides a living laboratory for infrastructure at scale.</w:t>
      </w:r>
    </w:p>
    <w:p>
      <w:pPr>
        <w:pStyle w:val="MdSpace"/>
        <w:spacing w:before="0" w:after="60"/>
      </w:pPr>
    </w:p>
    <w:p>
      <w:pPr>
        <w:pStyle w:val="MdParagraph"/>
      </w:pPr>
      <w:r>
        <w:rPr>
          <w:rStyle w:val="MdStrong"/>
          <w:b/>
          <w:bCs/>
        </w:rPr>
        <w:t xml:space="preserve">11. Qatar University — BS Civil Engineering (Doha, Qatar)</w:t>
      </w:r>
      <w:r>
        <w:t xml:space="preserve">
Qatar University's ABET-accredited programme requires 131 credit hours including 33 in core curriculum. Uniquely, the programme includes an Arabic Language requirement alongside engineering modules, preserving cultural identity within technical education. Qatar's 2022 FIFA World Cup drove $200+ billion in infrastructure investment, and the university curriculum was shaped by real megaproject experience. The programme culminates in a Civil Engineering Design Project that draws on this national context.</w:t>
      </w:r>
    </w:p>
    <w:p>
      <w:pPr>
        <w:pStyle w:val="MdSpace"/>
        <w:spacing w:before="0" w:after="60"/>
      </w:pPr>
    </w:p>
    <w:p>
      <w:pPr>
        <w:pStyle w:val="MdParagraph"/>
      </w:pPr>
      <w:r>
        <w:rPr>
          <w:rStyle w:val="MdStrong"/>
          <w:b/>
          <w:bCs/>
        </w:rPr>
        <w:t xml:space="preserve">12. King Fahd University of Petroleum and Minerals (KFUPM) — BS Civil Engineering (Dhahran, Saudi Arabia)</w:t>
      </w:r>
      <w:r>
        <w:t xml:space="preserve">
KFUPM's ABET-accredited programme sits at the nexus of petroleum infrastructure and Vision 2030's diversification imperative. Saudi Arabia's leading technical university directly serves NEOM (the $500B future city), The Line (a 170km linear city), and the broader transformation of the Kingdom's infrastructure. KFUPM represents engineering education in service of national reinvention — building a post-oil future while the oil still flows. Ranked 58th globally in Petroleum Engineering.</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Part 2: The Unified Comparison Matrix</w:t>
      </w:r>
    </w:p>
    <w:p>
      <w:pPr>
        <w:pStyle w:val="MdParagraph"/>
      </w:pPr>
      <w:r>
        <w:t xml:space="preserve">The following table measures each university against IAAI's 12 Relay framework and key educational dimensions. Scores are on a 5-point scale: 1 = Not addressed, 2 = Minimal, 3 = Moderate, 4 = Strong, 5 = Exceptional.</w:t>
      </w:r>
    </w:p>
    <w:p>
      <w:pPr>
        <w:pStyle w:val="MdSpace"/>
        <w:spacing w:before="0" w:after="60"/>
      </w:pPr>
    </w:p>
    <w:p>
      <w:pPr>
        <w:pStyle w:val="Heading3"/>
        <w:pStyle w:val="MdHeading3"/>
      </w:pPr>
      <w:r>
        <w:t xml:space="preserve">Table A: Relay Coverage by University</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gridCol w:w="100"/>
        <w:gridCol w:w="100"/>
        <w:gridCol w:w="100"/>
        <w:gridCol w:w="100"/>
        <w:gridCol w:w="100"/>
        <w:gridCol w:w="100"/>
        <w:gridCol w:w="100"/>
        <w:gridCol w:w="100"/>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Relay</w:t>
            </w:r>
          </w:p>
        </w:tc>
        <w:tc>
          <w:tcPr>
            <w:tcMar>
              <w:top w:type="dxa" w:w="100"/>
              <w:left w:type="dxa" w:w="120"/>
              <w:bottom w:type="dxa" w:w="100"/>
              <w:right w:type="dxa" w:w="120"/>
            </w:tcMar>
            <w:vAlign w:val="center"/>
          </w:tcPr>
          <w:p>
            <w:pPr>
              <w:pStyle w:val="MdTableHeader"/>
            </w:pPr>
            <w:r>
              <w:t xml:space="preserve">Imperial</w:t>
            </w:r>
          </w:p>
        </w:tc>
        <w:tc>
          <w:tcPr>
            <w:tcMar>
              <w:top w:type="dxa" w:w="100"/>
              <w:left w:type="dxa" w:w="120"/>
              <w:bottom w:type="dxa" w:w="100"/>
              <w:right w:type="dxa" w:w="120"/>
            </w:tcMar>
            <w:vAlign w:val="center"/>
          </w:tcPr>
          <w:p>
            <w:pPr>
              <w:pStyle w:val="MdTableHeader"/>
            </w:pPr>
            <w:r>
              <w:t xml:space="preserve">Nottingham</w:t>
            </w:r>
          </w:p>
        </w:tc>
        <w:tc>
          <w:tcPr>
            <w:tcMar>
              <w:top w:type="dxa" w:w="100"/>
              <w:left w:type="dxa" w:w="120"/>
              <w:bottom w:type="dxa" w:w="100"/>
              <w:right w:type="dxa" w:w="120"/>
            </w:tcMar>
            <w:vAlign w:val="center"/>
          </w:tcPr>
          <w:p>
            <w:pPr>
              <w:pStyle w:val="MdTableHeader"/>
            </w:pPr>
            <w:r>
              <w:t xml:space="preserve">Cambridge</w:t>
            </w:r>
          </w:p>
        </w:tc>
        <w:tc>
          <w:tcPr>
            <w:tcMar>
              <w:top w:type="dxa" w:w="100"/>
              <w:left w:type="dxa" w:w="120"/>
              <w:bottom w:type="dxa" w:w="100"/>
              <w:right w:type="dxa" w:w="120"/>
            </w:tcMar>
            <w:vAlign w:val="center"/>
          </w:tcPr>
          <w:p>
            <w:pPr>
              <w:pStyle w:val="MdTableHeader"/>
            </w:pPr>
            <w:r>
              <w:t xml:space="preserve">NUS</w:t>
            </w:r>
          </w:p>
        </w:tc>
        <w:tc>
          <w:tcPr>
            <w:tcMar>
              <w:top w:type="dxa" w:w="100"/>
              <w:left w:type="dxa" w:w="120"/>
              <w:bottom w:type="dxa" w:w="100"/>
              <w:right w:type="dxa" w:w="120"/>
            </w:tcMar>
            <w:vAlign w:val="center"/>
          </w:tcPr>
          <w:p>
            <w:pPr>
              <w:pStyle w:val="MdTableHeader"/>
            </w:pPr>
            <w:r>
              <w:t xml:space="preserve">Tsinghua</w:t>
            </w:r>
          </w:p>
        </w:tc>
        <w:tc>
          <w:tcPr>
            <w:tcMar>
              <w:top w:type="dxa" w:w="100"/>
              <w:left w:type="dxa" w:w="120"/>
              <w:bottom w:type="dxa" w:w="100"/>
              <w:right w:type="dxa" w:w="120"/>
            </w:tcMar>
            <w:vAlign w:val="center"/>
          </w:tcPr>
          <w:p>
            <w:pPr>
              <w:pStyle w:val="MdTableHeader"/>
            </w:pPr>
            <w:r>
              <w:t xml:space="preserve">IIT</w:t>
            </w:r>
          </w:p>
        </w:tc>
        <w:tc>
          <w:tcPr>
            <w:tcMar>
              <w:top w:type="dxa" w:w="100"/>
              <w:left w:type="dxa" w:w="120"/>
              <w:bottom w:type="dxa" w:w="100"/>
              <w:right w:type="dxa" w:w="120"/>
            </w:tcMar>
            <w:vAlign w:val="center"/>
          </w:tcPr>
          <w:p>
            <w:pPr>
              <w:pStyle w:val="MdTableHeader"/>
            </w:pPr>
            <w:r>
              <w:t xml:space="preserve">MIT</w:t>
            </w:r>
          </w:p>
        </w:tc>
        <w:tc>
          <w:tcPr>
            <w:tcMar>
              <w:top w:type="dxa" w:w="100"/>
              <w:left w:type="dxa" w:w="120"/>
              <w:bottom w:type="dxa" w:w="100"/>
              <w:right w:type="dxa" w:w="120"/>
            </w:tcMar>
            <w:vAlign w:val="center"/>
          </w:tcPr>
          <w:p>
            <w:pPr>
              <w:pStyle w:val="MdTableHeader"/>
            </w:pPr>
            <w:r>
              <w:t xml:space="preserve">Stanford</w:t>
            </w:r>
          </w:p>
        </w:tc>
        <w:tc>
          <w:tcPr>
            <w:tcMar>
              <w:top w:type="dxa" w:w="100"/>
              <w:left w:type="dxa" w:w="120"/>
              <w:bottom w:type="dxa" w:w="100"/>
              <w:right w:type="dxa" w:w="120"/>
            </w:tcMar>
            <w:vAlign w:val="center"/>
          </w:tcPr>
          <w:p>
            <w:pPr>
              <w:pStyle w:val="MdTableHeader"/>
            </w:pPr>
            <w:r>
              <w:t xml:space="preserve">Berkeley</w:t>
            </w:r>
          </w:p>
        </w:tc>
        <w:tc>
          <w:tcPr>
            <w:tcMar>
              <w:top w:type="dxa" w:w="100"/>
              <w:left w:type="dxa" w:w="120"/>
              <w:bottom w:type="dxa" w:w="100"/>
              <w:right w:type="dxa" w:w="120"/>
            </w:tcMar>
            <w:vAlign w:val="center"/>
          </w:tcPr>
          <w:p>
            <w:pPr>
              <w:pStyle w:val="MdTableHeader"/>
            </w:pPr>
            <w:r>
              <w:t xml:space="preserve">Khalifa</w:t>
            </w:r>
          </w:p>
        </w:tc>
        <w:tc>
          <w:tcPr>
            <w:tcMar>
              <w:top w:type="dxa" w:w="100"/>
              <w:left w:type="dxa" w:w="120"/>
              <w:bottom w:type="dxa" w:w="100"/>
              <w:right w:type="dxa" w:w="120"/>
            </w:tcMar>
            <w:vAlign w:val="center"/>
          </w:tcPr>
          <w:p>
            <w:pPr>
              <w:pStyle w:val="MdTableHeader"/>
            </w:pPr>
            <w:r>
              <w:t xml:space="preserve">Qatar U</w:t>
            </w:r>
          </w:p>
        </w:tc>
        <w:tc>
          <w:tcPr>
            <w:tcMar>
              <w:top w:type="dxa" w:w="100"/>
              <w:left w:type="dxa" w:w="120"/>
              <w:bottom w:type="dxa" w:w="100"/>
              <w:right w:type="dxa" w:w="120"/>
            </w:tcMar>
            <w:vAlign w:val="center"/>
          </w:tcPr>
          <w:p>
            <w:pPr>
              <w:pStyle w:val="MdTableHeader"/>
            </w:pPr>
            <w:r>
              <w:t xml:space="preserve">KFUPM</w:t>
            </w:r>
          </w:p>
        </w:tc>
        <w:tc>
          <w:tcPr>
            <w:tcBorders>
              <w:right w:val="none"/>
            </w:tcBorders>
            <w:tcMar>
              <w:top w:type="dxa" w:w="100"/>
              <w:left w:type="dxa" w:w="120"/>
              <w:bottom w:type="dxa" w:w="100"/>
              <w:right w:type="dxa" w:w="120"/>
            </w:tcMar>
            <w:vAlign w:val="center"/>
          </w:tcPr>
          <w:p>
            <w:pPr>
              <w:pStyle w:val="MdTableHeader"/>
            </w:pPr>
            <w:r>
              <w:t xml:space="preserve">IAAI</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 Fire (Energy)</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5</w:t>
            </w:r>
          </w:p>
        </w:tc>
        <w:tc>
          <w:tcPr>
            <w:tcMar>
              <w:top w:type="dxa" w:w="80"/>
              <w:left w:type="dxa" w:w="120"/>
              <w:bottom w:type="dxa" w:w="80"/>
              <w:right w:type="dxa" w:w="120"/>
            </w:tcMar>
            <w:vAlign w:val="center"/>
          </w:tcPr>
          <w:p>
            <w:pPr>
              <w:pStyle w:val="MdTableCell"/>
            </w:pPr>
            <w:r>
              <w:t xml:space="preserve">5</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5</w:t>
            </w:r>
          </w:p>
        </w:tc>
        <w:tc>
          <w:tcPr>
            <w:tcBorders>
              <w:right w:val="none"/>
            </w:tcBorders>
            <w:tcMar>
              <w:top w:type="dxa" w:w="80"/>
              <w:left w:type="dxa" w:w="120"/>
              <w:bottom w:type="dxa" w:w="80"/>
              <w:right w:type="dxa" w:w="120"/>
            </w:tcMar>
            <w:vAlign w:val="center"/>
          </w:tcPr>
          <w:p>
            <w:pPr>
              <w:pStyle w:val="MdTableCell"/>
            </w:pPr>
            <w:r>
              <w:t xml:space="preserve">4</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2. Tree (Materials)</w:t>
            </w:r>
          </w:p>
        </w:tc>
        <w:tc>
          <w:tcPr>
            <w:tcMar>
              <w:top w:type="dxa" w:w="80"/>
              <w:left w:type="dxa" w:w="120"/>
              <w:bottom w:type="dxa" w:w="80"/>
              <w:right w:type="dxa" w:w="120"/>
            </w:tcMar>
            <w:vAlign w:val="center"/>
          </w:tcPr>
          <w:p>
            <w:pPr>
              <w:pStyle w:val="MdTableCell"/>
            </w:pPr>
            <w:r>
              <w:t xml:space="preserve">5</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5</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3</w:t>
            </w:r>
          </w:p>
        </w:tc>
        <w:tc>
          <w:tcPr>
            <w:tcBorders>
              <w:right w:val="none"/>
            </w:tcBorders>
            <w:tcMar>
              <w:top w:type="dxa" w:w="80"/>
              <w:left w:type="dxa" w:w="120"/>
              <w:bottom w:type="dxa" w:w="80"/>
              <w:right w:type="dxa" w:w="120"/>
            </w:tcMar>
            <w:vAlign w:val="center"/>
          </w:tcPr>
          <w:p>
            <w:pPr>
              <w:pStyle w:val="MdTableCell"/>
            </w:pPr>
            <w:r>
              <w:t xml:space="preserve">3</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3. River (Water)</w:t>
            </w:r>
          </w:p>
        </w:tc>
        <w:tc>
          <w:tcPr>
            <w:tcMar>
              <w:top w:type="dxa" w:w="80"/>
              <w:left w:type="dxa" w:w="120"/>
              <w:bottom w:type="dxa" w:w="80"/>
              <w:right w:type="dxa" w:w="120"/>
            </w:tcMar>
            <w:vAlign w:val="center"/>
          </w:tcPr>
          <w:p>
            <w:pPr>
              <w:pStyle w:val="MdTableCell"/>
            </w:pPr>
            <w:r>
              <w:t xml:space="preserve">5</w:t>
            </w:r>
          </w:p>
        </w:tc>
        <w:tc>
          <w:tcPr>
            <w:tcMar>
              <w:top w:type="dxa" w:w="80"/>
              <w:left w:type="dxa" w:w="120"/>
              <w:bottom w:type="dxa" w:w="80"/>
              <w:right w:type="dxa" w:w="120"/>
            </w:tcMar>
            <w:vAlign w:val="center"/>
          </w:tcPr>
          <w:p>
            <w:pPr>
              <w:pStyle w:val="MdTableCell"/>
            </w:pPr>
            <w:r>
              <w:t xml:space="preserve">5</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5</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3</w:t>
            </w:r>
          </w:p>
        </w:tc>
        <w:tc>
          <w:tcPr>
            <w:tcBorders>
              <w:right w:val="none"/>
            </w:tcBorders>
            <w:tcMar>
              <w:top w:type="dxa" w:w="80"/>
              <w:left w:type="dxa" w:w="120"/>
              <w:bottom w:type="dxa" w:w="80"/>
              <w:right w:type="dxa" w:w="120"/>
            </w:tcMar>
            <w:vAlign w:val="center"/>
          </w:tcPr>
          <w:p>
            <w:pPr>
              <w:pStyle w:val="MdTableCell"/>
            </w:pPr>
            <w:r>
              <w:t xml:space="preserve">3</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4. Horse (Transport/Power)</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3</w:t>
            </w:r>
          </w:p>
        </w:tc>
        <w:tc>
          <w:tcPr>
            <w:tcBorders>
              <w:right w:val="none"/>
            </w:tcBorders>
            <w:tcMar>
              <w:top w:type="dxa" w:w="80"/>
              <w:left w:type="dxa" w:w="120"/>
              <w:bottom w:type="dxa" w:w="80"/>
              <w:right w:type="dxa" w:w="120"/>
            </w:tcMar>
            <w:vAlign w:val="center"/>
          </w:tcPr>
          <w:p>
            <w:pPr>
              <w:pStyle w:val="MdTableCell"/>
            </w:pPr>
            <w:r>
              <w:t xml:space="preserve">4</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5. Roads (Networks)</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4</w:t>
            </w:r>
          </w:p>
        </w:tc>
        <w:tc>
          <w:tcPr>
            <w:tcBorders>
              <w:right w:val="none"/>
            </w:tcBorders>
            <w:tcMar>
              <w:top w:type="dxa" w:w="80"/>
              <w:left w:type="dxa" w:w="120"/>
              <w:bottom w:type="dxa" w:w="80"/>
              <w:right w:type="dxa" w:w="120"/>
            </w:tcMar>
            <w:vAlign w:val="center"/>
          </w:tcPr>
          <w:p>
            <w:pPr>
              <w:pStyle w:val="MdTableCell"/>
            </w:pPr>
            <w:r>
              <w:t xml:space="preserve">4</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6. Ships (Global Trade)</w:t>
            </w:r>
          </w:p>
        </w:tc>
        <w:tc>
          <w:tcPr>
            <w:tcMar>
              <w:top w:type="dxa" w:w="80"/>
              <w:left w:type="dxa" w:w="120"/>
              <w:bottom w:type="dxa" w:w="80"/>
              <w:right w:type="dxa" w:w="120"/>
            </w:tcMar>
            <w:vAlign w:val="center"/>
          </w:tcPr>
          <w:p>
            <w:pPr>
              <w:pStyle w:val="MdTableCell"/>
            </w:pPr>
            <w:r>
              <w:t xml:space="preserve">1</w:t>
            </w:r>
          </w:p>
        </w:tc>
        <w:tc>
          <w:tcPr>
            <w:tcMar>
              <w:top w:type="dxa" w:w="80"/>
              <w:left w:type="dxa" w:w="120"/>
              <w:bottom w:type="dxa" w:w="80"/>
              <w:right w:type="dxa" w:w="120"/>
            </w:tcMar>
            <w:vAlign w:val="center"/>
          </w:tcPr>
          <w:p>
            <w:pPr>
              <w:pStyle w:val="MdTableCell"/>
            </w:pPr>
            <w:r>
              <w:t xml:space="preserve">1</w:t>
            </w:r>
          </w:p>
        </w:tc>
        <w:tc>
          <w:tcPr>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2</w:t>
            </w:r>
          </w:p>
        </w:tc>
        <w:tc>
          <w:tcPr>
            <w:tcBorders>
              <w:right w:val="none"/>
            </w:tcBorders>
            <w:tcMar>
              <w:top w:type="dxa" w:w="80"/>
              <w:left w:type="dxa" w:w="120"/>
              <w:bottom w:type="dxa" w:w="80"/>
              <w:right w:type="dxa" w:w="120"/>
            </w:tcMar>
            <w:vAlign w:val="center"/>
          </w:tcPr>
          <w:p>
            <w:pPr>
              <w:pStyle w:val="MdTableCell"/>
            </w:pPr>
            <w:r>
              <w:t xml:space="preserve">4</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7. Rail (Systems)</w:t>
            </w:r>
          </w:p>
        </w:tc>
        <w:tc>
          <w:tcPr>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2</w:t>
            </w:r>
          </w:p>
        </w:tc>
        <w:tc>
          <w:tcPr>
            <w:tcBorders>
              <w:right w:val="none"/>
            </w:tcBorders>
            <w:tcMar>
              <w:top w:type="dxa" w:w="80"/>
              <w:left w:type="dxa" w:w="120"/>
              <w:bottom w:type="dxa" w:w="80"/>
              <w:right w:type="dxa" w:w="120"/>
            </w:tcMar>
            <w:vAlign w:val="center"/>
          </w:tcPr>
          <w:p>
            <w:pPr>
              <w:pStyle w:val="MdTableCell"/>
            </w:pPr>
            <w:r>
              <w:t xml:space="preserve">4</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8. Loom (Industry)</w:t>
            </w:r>
          </w:p>
        </w:tc>
        <w:tc>
          <w:tcPr>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3</w:t>
            </w:r>
          </w:p>
        </w:tc>
        <w:tc>
          <w:tcPr>
            <w:tcBorders>
              <w:right w:val="none"/>
            </w:tcBorders>
            <w:tcMar>
              <w:top w:type="dxa" w:w="80"/>
              <w:left w:type="dxa" w:w="120"/>
              <w:bottom w:type="dxa" w:w="80"/>
              <w:right w:type="dxa" w:w="120"/>
            </w:tcMar>
            <w:vAlign w:val="center"/>
          </w:tcPr>
          <w:p>
            <w:pPr>
              <w:pStyle w:val="MdTableCell"/>
            </w:pPr>
            <w:r>
              <w:t xml:space="preserve">4</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9. Engine (Mechanisation)</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4</w:t>
            </w:r>
          </w:p>
        </w:tc>
        <w:tc>
          <w:tcPr>
            <w:tcBorders>
              <w:right w:val="none"/>
            </w:tcBorders>
            <w:tcMar>
              <w:top w:type="dxa" w:w="80"/>
              <w:left w:type="dxa" w:w="120"/>
              <w:bottom w:type="dxa" w:w="80"/>
              <w:right w:type="dxa" w:w="120"/>
            </w:tcMar>
            <w:vAlign w:val="center"/>
          </w:tcPr>
          <w:p>
            <w:pPr>
              <w:pStyle w:val="MdTableCell"/>
            </w:pPr>
            <w:r>
              <w:t xml:space="preserve">4</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10. AAA Triad (Governance)</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3</w:t>
            </w:r>
          </w:p>
        </w:tc>
        <w:tc>
          <w:tcPr>
            <w:tcBorders>
              <w:right w:val="none"/>
            </w:tcBorders>
            <w:tcMar>
              <w:top w:type="dxa" w:w="80"/>
              <w:left w:type="dxa" w:w="120"/>
              <w:bottom w:type="dxa" w:w="80"/>
              <w:right w:type="dxa" w:w="120"/>
            </w:tcMar>
            <w:vAlign w:val="center"/>
          </w:tcPr>
          <w:p>
            <w:pPr>
              <w:pStyle w:val="MdTableCell"/>
            </w:pPr>
            <w:r>
              <w:t xml:space="preserve">5</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11. Orbit (Global Systems)</w:t>
            </w:r>
          </w:p>
        </w:tc>
        <w:tc>
          <w:tcPr>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3</w:t>
            </w:r>
          </w:p>
        </w:tc>
        <w:tc>
          <w:tcPr>
            <w:tcBorders>
              <w:right w:val="none"/>
            </w:tcBorders>
            <w:tcMar>
              <w:top w:type="dxa" w:w="80"/>
              <w:left w:type="dxa" w:w="120"/>
              <w:bottom w:type="dxa" w:w="80"/>
              <w:right w:type="dxa" w:w="120"/>
            </w:tcMar>
            <w:vAlign w:val="center"/>
          </w:tcPr>
          <w:p>
            <w:pPr>
              <w:pStyle w:val="MdTableCell"/>
            </w:pPr>
            <w:r>
              <w:t xml:space="preserve">4</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12. Human Nodes (Digital)</w:t>
            </w:r>
          </w:p>
        </w:tc>
        <w:tc>
          <w:tcPr>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1</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5</w:t>
            </w:r>
          </w:p>
        </w:tc>
        <w:tc>
          <w:tcPr>
            <w:tcMar>
              <w:top w:type="dxa" w:w="80"/>
              <w:left w:type="dxa" w:w="120"/>
              <w:bottom w:type="dxa" w:w="80"/>
              <w:right w:type="dxa" w:w="120"/>
            </w:tcMar>
            <w:vAlign w:val="center"/>
          </w:tcPr>
          <w:p>
            <w:pPr>
              <w:pStyle w:val="MdTableCell"/>
            </w:pPr>
            <w:r>
              <w:t xml:space="preserve">5</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3</w:t>
            </w:r>
          </w:p>
        </w:tc>
        <w:tc>
          <w:tcPr>
            <w:tcBorders>
              <w:right w:val="none"/>
            </w:tcBorders>
            <w:tcMar>
              <w:top w:type="dxa" w:w="80"/>
              <w:left w:type="dxa" w:w="120"/>
              <w:bottom w:type="dxa" w:w="80"/>
              <w:right w:type="dxa" w:w="120"/>
            </w:tcMar>
            <w:vAlign w:val="center"/>
          </w:tcPr>
          <w:p>
            <w:pPr>
              <w:pStyle w:val="MdTableCell"/>
            </w:pPr>
            <w:r>
              <w:t xml:space="preserve">4</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rPr>
                <w:rStyle w:val="MdStrong"/>
                <w:b/>
                <w:bCs/>
              </w:rPr>
              <w:t xml:space="preserve">Relay Total (/60)</w:t>
            </w:r>
          </w:p>
        </w:tc>
        <w:tc>
          <w:tcPr>
            <w:tcBorders>
              <w:bottom w:val="single" w:color="E1E4E8" w:sz="4"/>
            </w:tcBorders>
            <w:tcMar>
              <w:top w:type="dxa" w:w="80"/>
              <w:left w:type="dxa" w:w="120"/>
              <w:bottom w:type="dxa" w:w="80"/>
              <w:right w:type="dxa" w:w="120"/>
            </w:tcMar>
            <w:vAlign w:val="center"/>
          </w:tcPr>
          <w:p>
            <w:pPr>
              <w:pStyle w:val="MdTableCell"/>
            </w:pPr>
            <w:r>
              <w:rPr>
                <w:rStyle w:val="MdStrong"/>
                <w:b/>
                <w:bCs/>
              </w:rPr>
              <w:t xml:space="preserve">36</w:t>
            </w:r>
          </w:p>
        </w:tc>
        <w:tc>
          <w:tcPr>
            <w:tcBorders>
              <w:bottom w:val="single" w:color="E1E4E8" w:sz="4"/>
            </w:tcBorders>
            <w:tcMar>
              <w:top w:type="dxa" w:w="80"/>
              <w:left w:type="dxa" w:w="120"/>
              <w:bottom w:type="dxa" w:w="80"/>
              <w:right w:type="dxa" w:w="120"/>
            </w:tcMar>
            <w:vAlign w:val="center"/>
          </w:tcPr>
          <w:p>
            <w:pPr>
              <w:pStyle w:val="MdTableCell"/>
            </w:pPr>
            <w:r>
              <w:rPr>
                <w:rStyle w:val="MdStrong"/>
                <w:b/>
                <w:bCs/>
              </w:rPr>
              <w:t xml:space="preserve">31</w:t>
            </w:r>
          </w:p>
        </w:tc>
        <w:tc>
          <w:tcPr>
            <w:tcBorders>
              <w:bottom w:val="single" w:color="E1E4E8" w:sz="4"/>
            </w:tcBorders>
            <w:tcMar>
              <w:top w:type="dxa" w:w="80"/>
              <w:left w:type="dxa" w:w="120"/>
              <w:bottom w:type="dxa" w:w="80"/>
              <w:right w:type="dxa" w:w="120"/>
            </w:tcMar>
            <w:vAlign w:val="center"/>
          </w:tcPr>
          <w:p>
            <w:pPr>
              <w:pStyle w:val="MdTableCell"/>
            </w:pPr>
            <w:r>
              <w:rPr>
                <w:rStyle w:val="MdStrong"/>
                <w:b/>
                <w:bCs/>
              </w:rPr>
              <w:t xml:space="preserve">36</w:t>
            </w:r>
          </w:p>
        </w:tc>
        <w:tc>
          <w:tcPr>
            <w:tcBorders>
              <w:bottom w:val="single" w:color="E1E4E8" w:sz="4"/>
            </w:tcBorders>
            <w:tcMar>
              <w:top w:type="dxa" w:w="80"/>
              <w:left w:type="dxa" w:w="120"/>
              <w:bottom w:type="dxa" w:w="80"/>
              <w:right w:type="dxa" w:w="120"/>
            </w:tcMar>
            <w:vAlign w:val="center"/>
          </w:tcPr>
          <w:p>
            <w:pPr>
              <w:pStyle w:val="MdTableCell"/>
            </w:pPr>
            <w:r>
              <w:rPr>
                <w:rStyle w:val="MdStrong"/>
                <w:b/>
                <w:bCs/>
              </w:rPr>
              <w:t xml:space="preserve">40</w:t>
            </w:r>
          </w:p>
        </w:tc>
        <w:tc>
          <w:tcPr>
            <w:tcBorders>
              <w:bottom w:val="single" w:color="E1E4E8" w:sz="4"/>
            </w:tcBorders>
            <w:tcMar>
              <w:top w:type="dxa" w:w="80"/>
              <w:left w:type="dxa" w:w="120"/>
              <w:bottom w:type="dxa" w:w="80"/>
              <w:right w:type="dxa" w:w="120"/>
            </w:tcMar>
            <w:vAlign w:val="center"/>
          </w:tcPr>
          <w:p>
            <w:pPr>
              <w:pStyle w:val="MdTableCell"/>
            </w:pPr>
            <w:r>
              <w:rPr>
                <w:rStyle w:val="MdStrong"/>
                <w:b/>
                <w:bCs/>
              </w:rPr>
              <w:t xml:space="preserve">40</w:t>
            </w:r>
          </w:p>
        </w:tc>
        <w:tc>
          <w:tcPr>
            <w:tcBorders>
              <w:bottom w:val="single" w:color="E1E4E8" w:sz="4"/>
            </w:tcBorders>
            <w:tcMar>
              <w:top w:type="dxa" w:w="80"/>
              <w:left w:type="dxa" w:w="120"/>
              <w:bottom w:type="dxa" w:w="80"/>
              <w:right w:type="dxa" w:w="120"/>
            </w:tcMar>
            <w:vAlign w:val="center"/>
          </w:tcPr>
          <w:p>
            <w:pPr>
              <w:pStyle w:val="MdTableCell"/>
            </w:pPr>
            <w:r>
              <w:rPr>
                <w:rStyle w:val="MdStrong"/>
                <w:b/>
                <w:bCs/>
              </w:rPr>
              <w:t xml:space="preserve">37</w:t>
            </w:r>
          </w:p>
        </w:tc>
        <w:tc>
          <w:tcPr>
            <w:tcBorders>
              <w:bottom w:val="single" w:color="E1E4E8" w:sz="4"/>
            </w:tcBorders>
            <w:tcMar>
              <w:top w:type="dxa" w:w="80"/>
              <w:left w:type="dxa" w:w="120"/>
              <w:bottom w:type="dxa" w:w="80"/>
              <w:right w:type="dxa" w:w="120"/>
            </w:tcMar>
            <w:vAlign w:val="center"/>
          </w:tcPr>
          <w:p>
            <w:pPr>
              <w:pStyle w:val="MdTableCell"/>
            </w:pPr>
            <w:r>
              <w:rPr>
                <w:rStyle w:val="MdStrong"/>
                <w:b/>
                <w:bCs/>
              </w:rPr>
              <w:t xml:space="preserve">44</w:t>
            </w:r>
          </w:p>
        </w:tc>
        <w:tc>
          <w:tcPr>
            <w:tcBorders>
              <w:bottom w:val="single" w:color="E1E4E8" w:sz="4"/>
            </w:tcBorders>
            <w:tcMar>
              <w:top w:type="dxa" w:w="80"/>
              <w:left w:type="dxa" w:w="120"/>
              <w:bottom w:type="dxa" w:w="80"/>
              <w:right w:type="dxa" w:w="120"/>
            </w:tcMar>
            <w:vAlign w:val="center"/>
          </w:tcPr>
          <w:p>
            <w:pPr>
              <w:pStyle w:val="MdTableCell"/>
            </w:pPr>
            <w:r>
              <w:rPr>
                <w:rStyle w:val="MdStrong"/>
                <w:b/>
                <w:bCs/>
              </w:rPr>
              <w:t xml:space="preserve">44</w:t>
            </w:r>
          </w:p>
        </w:tc>
        <w:tc>
          <w:tcPr>
            <w:tcBorders>
              <w:bottom w:val="single" w:color="E1E4E8" w:sz="4"/>
            </w:tcBorders>
            <w:tcMar>
              <w:top w:type="dxa" w:w="80"/>
              <w:left w:type="dxa" w:w="120"/>
              <w:bottom w:type="dxa" w:w="80"/>
              <w:right w:type="dxa" w:w="120"/>
            </w:tcMar>
            <w:vAlign w:val="center"/>
          </w:tcPr>
          <w:p>
            <w:pPr>
              <w:pStyle w:val="MdTableCell"/>
            </w:pPr>
            <w:r>
              <w:rPr>
                <w:rStyle w:val="MdStrong"/>
                <w:b/>
                <w:bCs/>
              </w:rPr>
              <w:t xml:space="preserve">39</w:t>
            </w:r>
          </w:p>
        </w:tc>
        <w:tc>
          <w:tcPr>
            <w:tcBorders>
              <w:bottom w:val="single" w:color="E1E4E8" w:sz="4"/>
            </w:tcBorders>
            <w:tcMar>
              <w:top w:type="dxa" w:w="80"/>
              <w:left w:type="dxa" w:w="120"/>
              <w:bottom w:type="dxa" w:w="80"/>
              <w:right w:type="dxa" w:w="120"/>
            </w:tcMar>
            <w:vAlign w:val="center"/>
          </w:tcPr>
          <w:p>
            <w:pPr>
              <w:pStyle w:val="MdTableCell"/>
            </w:pPr>
            <w:r>
              <w:rPr>
                <w:rStyle w:val="MdStrong"/>
                <w:b/>
                <w:bCs/>
              </w:rPr>
              <w:t xml:space="preserve">36</w:t>
            </w:r>
          </w:p>
        </w:tc>
        <w:tc>
          <w:tcPr>
            <w:tcBorders>
              <w:bottom w:val="single" w:color="E1E4E8" w:sz="4"/>
            </w:tcBorders>
            <w:tcMar>
              <w:top w:type="dxa" w:w="80"/>
              <w:left w:type="dxa" w:w="120"/>
              <w:bottom w:type="dxa" w:w="80"/>
              <w:right w:type="dxa" w:w="120"/>
            </w:tcMar>
            <w:vAlign w:val="center"/>
          </w:tcPr>
          <w:p>
            <w:pPr>
              <w:pStyle w:val="MdTableCell"/>
            </w:pPr>
            <w:r>
              <w:rPr>
                <w:rStyle w:val="MdStrong"/>
                <w:b/>
                <w:bCs/>
              </w:rPr>
              <w:t xml:space="preserve">32</w:t>
            </w:r>
          </w:p>
        </w:tc>
        <w:tc>
          <w:tcPr>
            <w:tcBorders>
              <w:bottom w:val="single" w:color="E1E4E8" w:sz="4"/>
            </w:tcBorders>
            <w:tcMar>
              <w:top w:type="dxa" w:w="80"/>
              <w:left w:type="dxa" w:w="120"/>
              <w:bottom w:type="dxa" w:w="80"/>
              <w:right w:type="dxa" w:w="120"/>
            </w:tcMar>
            <w:vAlign w:val="center"/>
          </w:tcPr>
          <w:p>
            <w:pPr>
              <w:pStyle w:val="MdTableCell"/>
            </w:pPr>
            <w:r>
              <w:rPr>
                <w:rStyle w:val="MdStrong"/>
                <w:b/>
                <w:bCs/>
              </w:rPr>
              <w:t xml:space="preserve">38</w:t>
            </w:r>
          </w:p>
        </w:tc>
        <w:tc>
          <w:tcPr>
            <w:tcBorders>
              <w:bottom w:val="single" w:color="E1E4E8" w:sz="4"/>
              <w:right w:val="none"/>
            </w:tcBorders>
            <w:tcMar>
              <w:top w:type="dxa" w:w="80"/>
              <w:left w:type="dxa" w:w="120"/>
              <w:bottom w:type="dxa" w:w="80"/>
              <w:right w:type="dxa" w:w="120"/>
            </w:tcMar>
            <w:vAlign w:val="center"/>
          </w:tcPr>
          <w:p>
            <w:pPr>
              <w:pStyle w:val="MdTableCell"/>
            </w:pPr>
            <w:r>
              <w:rPr>
                <w:rStyle w:val="MdStrong"/>
                <w:b/>
                <w:bCs/>
              </w:rPr>
              <w:t xml:space="preserve">47</w:t>
            </w:r>
          </w:p>
        </w:tc>
      </w:tr>
    </w:tbl>
    <w:p>
      <w:pPr>
        <w:pStyle w:val="Heading3"/>
        <w:pStyle w:val="MdHeading3"/>
      </w:pPr>
      <w:r>
        <w:t xml:space="preserve">Table B: Educational Dimensions</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gridCol w:w="100"/>
        <w:gridCol w:w="100"/>
        <w:gridCol w:w="100"/>
        <w:gridCol w:w="100"/>
        <w:gridCol w:w="100"/>
        <w:gridCol w:w="100"/>
        <w:gridCol w:w="100"/>
        <w:gridCol w:w="100"/>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Dimension</w:t>
            </w:r>
          </w:p>
        </w:tc>
        <w:tc>
          <w:tcPr>
            <w:tcMar>
              <w:top w:type="dxa" w:w="100"/>
              <w:left w:type="dxa" w:w="120"/>
              <w:bottom w:type="dxa" w:w="100"/>
              <w:right w:type="dxa" w:w="120"/>
            </w:tcMar>
            <w:vAlign w:val="center"/>
          </w:tcPr>
          <w:p>
            <w:pPr>
              <w:pStyle w:val="MdTableHeader"/>
            </w:pPr>
            <w:r>
              <w:t xml:space="preserve">Imperial</w:t>
            </w:r>
          </w:p>
        </w:tc>
        <w:tc>
          <w:tcPr>
            <w:tcMar>
              <w:top w:type="dxa" w:w="100"/>
              <w:left w:type="dxa" w:w="120"/>
              <w:bottom w:type="dxa" w:w="100"/>
              <w:right w:type="dxa" w:w="120"/>
            </w:tcMar>
            <w:vAlign w:val="center"/>
          </w:tcPr>
          <w:p>
            <w:pPr>
              <w:pStyle w:val="MdTableHeader"/>
            </w:pPr>
            <w:r>
              <w:t xml:space="preserve">Nottingham</w:t>
            </w:r>
          </w:p>
        </w:tc>
        <w:tc>
          <w:tcPr>
            <w:tcMar>
              <w:top w:type="dxa" w:w="100"/>
              <w:left w:type="dxa" w:w="120"/>
              <w:bottom w:type="dxa" w:w="100"/>
              <w:right w:type="dxa" w:w="120"/>
            </w:tcMar>
            <w:vAlign w:val="center"/>
          </w:tcPr>
          <w:p>
            <w:pPr>
              <w:pStyle w:val="MdTableHeader"/>
            </w:pPr>
            <w:r>
              <w:t xml:space="preserve">Cambridge</w:t>
            </w:r>
          </w:p>
        </w:tc>
        <w:tc>
          <w:tcPr>
            <w:tcMar>
              <w:top w:type="dxa" w:w="100"/>
              <w:left w:type="dxa" w:w="120"/>
              <w:bottom w:type="dxa" w:w="100"/>
              <w:right w:type="dxa" w:w="120"/>
            </w:tcMar>
            <w:vAlign w:val="center"/>
          </w:tcPr>
          <w:p>
            <w:pPr>
              <w:pStyle w:val="MdTableHeader"/>
            </w:pPr>
            <w:r>
              <w:t xml:space="preserve">NUS</w:t>
            </w:r>
          </w:p>
        </w:tc>
        <w:tc>
          <w:tcPr>
            <w:tcMar>
              <w:top w:type="dxa" w:w="100"/>
              <w:left w:type="dxa" w:w="120"/>
              <w:bottom w:type="dxa" w:w="100"/>
              <w:right w:type="dxa" w:w="120"/>
            </w:tcMar>
            <w:vAlign w:val="center"/>
          </w:tcPr>
          <w:p>
            <w:pPr>
              <w:pStyle w:val="MdTableHeader"/>
            </w:pPr>
            <w:r>
              <w:t xml:space="preserve">Tsinghua</w:t>
            </w:r>
          </w:p>
        </w:tc>
        <w:tc>
          <w:tcPr>
            <w:tcMar>
              <w:top w:type="dxa" w:w="100"/>
              <w:left w:type="dxa" w:w="120"/>
              <w:bottom w:type="dxa" w:w="100"/>
              <w:right w:type="dxa" w:w="120"/>
            </w:tcMar>
            <w:vAlign w:val="center"/>
          </w:tcPr>
          <w:p>
            <w:pPr>
              <w:pStyle w:val="MdTableHeader"/>
            </w:pPr>
            <w:r>
              <w:t xml:space="preserve">IIT</w:t>
            </w:r>
          </w:p>
        </w:tc>
        <w:tc>
          <w:tcPr>
            <w:tcMar>
              <w:top w:type="dxa" w:w="100"/>
              <w:left w:type="dxa" w:w="120"/>
              <w:bottom w:type="dxa" w:w="100"/>
              <w:right w:type="dxa" w:w="120"/>
            </w:tcMar>
            <w:vAlign w:val="center"/>
          </w:tcPr>
          <w:p>
            <w:pPr>
              <w:pStyle w:val="MdTableHeader"/>
            </w:pPr>
            <w:r>
              <w:t xml:space="preserve">MIT</w:t>
            </w:r>
          </w:p>
        </w:tc>
        <w:tc>
          <w:tcPr>
            <w:tcMar>
              <w:top w:type="dxa" w:w="100"/>
              <w:left w:type="dxa" w:w="120"/>
              <w:bottom w:type="dxa" w:w="100"/>
              <w:right w:type="dxa" w:w="120"/>
            </w:tcMar>
            <w:vAlign w:val="center"/>
          </w:tcPr>
          <w:p>
            <w:pPr>
              <w:pStyle w:val="MdTableHeader"/>
            </w:pPr>
            <w:r>
              <w:t xml:space="preserve">Stanford</w:t>
            </w:r>
          </w:p>
        </w:tc>
        <w:tc>
          <w:tcPr>
            <w:tcMar>
              <w:top w:type="dxa" w:w="100"/>
              <w:left w:type="dxa" w:w="120"/>
              <w:bottom w:type="dxa" w:w="100"/>
              <w:right w:type="dxa" w:w="120"/>
            </w:tcMar>
            <w:vAlign w:val="center"/>
          </w:tcPr>
          <w:p>
            <w:pPr>
              <w:pStyle w:val="MdTableHeader"/>
            </w:pPr>
            <w:r>
              <w:t xml:space="preserve">Berkeley</w:t>
            </w:r>
          </w:p>
        </w:tc>
        <w:tc>
          <w:tcPr>
            <w:tcMar>
              <w:top w:type="dxa" w:w="100"/>
              <w:left w:type="dxa" w:w="120"/>
              <w:bottom w:type="dxa" w:w="100"/>
              <w:right w:type="dxa" w:w="120"/>
            </w:tcMar>
            <w:vAlign w:val="center"/>
          </w:tcPr>
          <w:p>
            <w:pPr>
              <w:pStyle w:val="MdTableHeader"/>
            </w:pPr>
            <w:r>
              <w:t xml:space="preserve">Khalifa</w:t>
            </w:r>
          </w:p>
        </w:tc>
        <w:tc>
          <w:tcPr>
            <w:tcMar>
              <w:top w:type="dxa" w:w="100"/>
              <w:left w:type="dxa" w:w="120"/>
              <w:bottom w:type="dxa" w:w="100"/>
              <w:right w:type="dxa" w:w="120"/>
            </w:tcMar>
            <w:vAlign w:val="center"/>
          </w:tcPr>
          <w:p>
            <w:pPr>
              <w:pStyle w:val="MdTableHeader"/>
            </w:pPr>
            <w:r>
              <w:t xml:space="preserve">Qatar U</w:t>
            </w:r>
          </w:p>
        </w:tc>
        <w:tc>
          <w:tcPr>
            <w:tcMar>
              <w:top w:type="dxa" w:w="100"/>
              <w:left w:type="dxa" w:w="120"/>
              <w:bottom w:type="dxa" w:w="100"/>
              <w:right w:type="dxa" w:w="120"/>
            </w:tcMar>
            <w:vAlign w:val="center"/>
          </w:tcPr>
          <w:p>
            <w:pPr>
              <w:pStyle w:val="MdTableHeader"/>
            </w:pPr>
            <w:r>
              <w:t xml:space="preserve">KFUPM</w:t>
            </w:r>
          </w:p>
        </w:tc>
        <w:tc>
          <w:tcPr>
            <w:tcBorders>
              <w:right w:val="none"/>
            </w:tcBorders>
            <w:tcMar>
              <w:top w:type="dxa" w:w="100"/>
              <w:left w:type="dxa" w:w="120"/>
              <w:bottom w:type="dxa" w:w="100"/>
              <w:right w:type="dxa" w:w="120"/>
            </w:tcMar>
            <w:vAlign w:val="center"/>
          </w:tcPr>
          <w:p>
            <w:pPr>
              <w:pStyle w:val="MdTableHeader"/>
            </w:pPr>
            <w:r>
              <w:t xml:space="preserve">IAAI</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Mathematical Rigour</w:t>
            </w:r>
          </w:p>
        </w:tc>
        <w:tc>
          <w:tcPr>
            <w:tcMar>
              <w:top w:type="dxa" w:w="80"/>
              <w:left w:type="dxa" w:w="120"/>
              <w:bottom w:type="dxa" w:w="80"/>
              <w:right w:type="dxa" w:w="120"/>
            </w:tcMar>
            <w:vAlign w:val="center"/>
          </w:tcPr>
          <w:p>
            <w:pPr>
              <w:pStyle w:val="MdTableCell"/>
            </w:pPr>
            <w:r>
              <w:t xml:space="preserve">5</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5</w:t>
            </w:r>
          </w:p>
        </w:tc>
        <w:tc>
          <w:tcPr>
            <w:tcMar>
              <w:top w:type="dxa" w:w="80"/>
              <w:left w:type="dxa" w:w="120"/>
              <w:bottom w:type="dxa" w:w="80"/>
              <w:right w:type="dxa" w:w="120"/>
            </w:tcMar>
            <w:vAlign w:val="center"/>
          </w:tcPr>
          <w:p>
            <w:pPr>
              <w:pStyle w:val="MdTableCell"/>
            </w:pPr>
            <w:r>
              <w:t xml:space="preserve">5</w:t>
            </w:r>
          </w:p>
        </w:tc>
        <w:tc>
          <w:tcPr>
            <w:tcMar>
              <w:top w:type="dxa" w:w="80"/>
              <w:left w:type="dxa" w:w="120"/>
              <w:bottom w:type="dxa" w:w="80"/>
              <w:right w:type="dxa" w:w="120"/>
            </w:tcMar>
            <w:vAlign w:val="center"/>
          </w:tcPr>
          <w:p>
            <w:pPr>
              <w:pStyle w:val="MdTableCell"/>
            </w:pPr>
            <w:r>
              <w:t xml:space="preserve">5</w:t>
            </w:r>
          </w:p>
        </w:tc>
        <w:tc>
          <w:tcPr>
            <w:tcMar>
              <w:top w:type="dxa" w:w="80"/>
              <w:left w:type="dxa" w:w="120"/>
              <w:bottom w:type="dxa" w:w="80"/>
              <w:right w:type="dxa" w:w="120"/>
            </w:tcMar>
            <w:vAlign w:val="center"/>
          </w:tcPr>
          <w:p>
            <w:pPr>
              <w:pStyle w:val="MdTableCell"/>
            </w:pPr>
            <w:r>
              <w:t xml:space="preserve">5</w:t>
            </w:r>
          </w:p>
        </w:tc>
        <w:tc>
          <w:tcPr>
            <w:tcMar>
              <w:top w:type="dxa" w:w="80"/>
              <w:left w:type="dxa" w:w="120"/>
              <w:bottom w:type="dxa" w:w="80"/>
              <w:right w:type="dxa" w:w="120"/>
            </w:tcMar>
            <w:vAlign w:val="center"/>
          </w:tcPr>
          <w:p>
            <w:pPr>
              <w:pStyle w:val="MdTableCell"/>
            </w:pPr>
            <w:r>
              <w:t xml:space="preserve">5</w:t>
            </w:r>
          </w:p>
        </w:tc>
        <w:tc>
          <w:tcPr>
            <w:tcMar>
              <w:top w:type="dxa" w:w="80"/>
              <w:left w:type="dxa" w:w="120"/>
              <w:bottom w:type="dxa" w:w="80"/>
              <w:right w:type="dxa" w:w="120"/>
            </w:tcMar>
            <w:vAlign w:val="center"/>
          </w:tcPr>
          <w:p>
            <w:pPr>
              <w:pStyle w:val="MdTableCell"/>
            </w:pPr>
            <w:r>
              <w:t xml:space="preserve">5</w:t>
            </w:r>
          </w:p>
        </w:tc>
        <w:tc>
          <w:tcPr>
            <w:tcMar>
              <w:top w:type="dxa" w:w="80"/>
              <w:left w:type="dxa" w:w="120"/>
              <w:bottom w:type="dxa" w:w="80"/>
              <w:right w:type="dxa" w:w="120"/>
            </w:tcMar>
            <w:vAlign w:val="center"/>
          </w:tcPr>
          <w:p>
            <w:pPr>
              <w:pStyle w:val="MdTableCell"/>
            </w:pPr>
            <w:r>
              <w:t xml:space="preserve">5</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4</w:t>
            </w:r>
          </w:p>
        </w:tc>
        <w:tc>
          <w:tcPr>
            <w:tcBorders>
              <w:right w:val="none"/>
            </w:tcBorders>
            <w:tcMar>
              <w:top w:type="dxa" w:w="80"/>
              <w:left w:type="dxa" w:w="120"/>
              <w:bottom w:type="dxa" w:w="80"/>
              <w:right w:type="dxa" w:w="120"/>
            </w:tcMar>
            <w:vAlign w:val="center"/>
          </w:tcPr>
          <w:p>
            <w:pPr>
              <w:pStyle w:val="MdTableCell"/>
            </w:pPr>
            <w:r>
              <w:t xml:space="preserve">1</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Historical Context</w:t>
            </w:r>
          </w:p>
        </w:tc>
        <w:tc>
          <w:tcPr>
            <w:tcMar>
              <w:top w:type="dxa" w:w="80"/>
              <w:left w:type="dxa" w:w="120"/>
              <w:bottom w:type="dxa" w:w="80"/>
              <w:right w:type="dxa" w:w="120"/>
            </w:tcMar>
            <w:vAlign w:val="center"/>
          </w:tcPr>
          <w:p>
            <w:pPr>
              <w:pStyle w:val="MdTableCell"/>
            </w:pPr>
            <w:r>
              <w:t xml:space="preserve">1</w:t>
            </w:r>
          </w:p>
        </w:tc>
        <w:tc>
          <w:tcPr>
            <w:tcMar>
              <w:top w:type="dxa" w:w="80"/>
              <w:left w:type="dxa" w:w="120"/>
              <w:bottom w:type="dxa" w:w="80"/>
              <w:right w:type="dxa" w:w="120"/>
            </w:tcMar>
            <w:vAlign w:val="center"/>
          </w:tcPr>
          <w:p>
            <w:pPr>
              <w:pStyle w:val="MdTableCell"/>
            </w:pPr>
            <w:r>
              <w:t xml:space="preserve">1</w:t>
            </w:r>
          </w:p>
        </w:tc>
        <w:tc>
          <w:tcPr>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1</w:t>
            </w:r>
          </w:p>
        </w:tc>
        <w:tc>
          <w:tcPr>
            <w:tcMar>
              <w:top w:type="dxa" w:w="80"/>
              <w:left w:type="dxa" w:w="120"/>
              <w:bottom w:type="dxa" w:w="80"/>
              <w:right w:type="dxa" w:w="120"/>
            </w:tcMar>
            <w:vAlign w:val="center"/>
          </w:tcPr>
          <w:p>
            <w:pPr>
              <w:pStyle w:val="MdTableCell"/>
            </w:pPr>
            <w:r>
              <w:t xml:space="preserve">1</w:t>
            </w:r>
          </w:p>
        </w:tc>
        <w:tc>
          <w:tcPr>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1</w:t>
            </w:r>
          </w:p>
        </w:tc>
        <w:tc>
          <w:tcPr>
            <w:tcMar>
              <w:top w:type="dxa" w:w="80"/>
              <w:left w:type="dxa" w:w="120"/>
              <w:bottom w:type="dxa" w:w="80"/>
              <w:right w:type="dxa" w:w="120"/>
            </w:tcMar>
            <w:vAlign w:val="center"/>
          </w:tcPr>
          <w:p>
            <w:pPr>
              <w:pStyle w:val="MdTableCell"/>
            </w:pPr>
            <w:r>
              <w:t xml:space="preserve">1</w:t>
            </w:r>
          </w:p>
        </w:tc>
        <w:tc>
          <w:tcPr>
            <w:tcMar>
              <w:top w:type="dxa" w:w="80"/>
              <w:left w:type="dxa" w:w="120"/>
              <w:bottom w:type="dxa" w:w="80"/>
              <w:right w:type="dxa" w:w="120"/>
            </w:tcMar>
            <w:vAlign w:val="center"/>
          </w:tcPr>
          <w:p>
            <w:pPr>
              <w:pStyle w:val="MdTableCell"/>
            </w:pPr>
            <w:r>
              <w:t xml:space="preserve">1</w:t>
            </w:r>
          </w:p>
        </w:tc>
        <w:tc>
          <w:tcPr>
            <w:tcMar>
              <w:top w:type="dxa" w:w="80"/>
              <w:left w:type="dxa" w:w="120"/>
              <w:bottom w:type="dxa" w:w="80"/>
              <w:right w:type="dxa" w:w="120"/>
            </w:tcMar>
            <w:vAlign w:val="center"/>
          </w:tcPr>
          <w:p>
            <w:pPr>
              <w:pStyle w:val="MdTableCell"/>
            </w:pPr>
            <w:r>
              <w:t xml:space="preserve">1</w:t>
            </w:r>
          </w:p>
        </w:tc>
        <w:tc>
          <w:tcPr>
            <w:tcBorders>
              <w:right w:val="none"/>
            </w:tcBorders>
            <w:tcMar>
              <w:top w:type="dxa" w:w="80"/>
              <w:left w:type="dxa" w:w="120"/>
              <w:bottom w:type="dxa" w:w="80"/>
              <w:right w:type="dxa" w:w="120"/>
            </w:tcMar>
            <w:vAlign w:val="center"/>
          </w:tcPr>
          <w:p>
            <w:pPr>
              <w:pStyle w:val="MdTableCell"/>
            </w:pPr>
            <w:r>
              <w:t xml:space="preserve">5</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Systems Thinking</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3</w:t>
            </w:r>
          </w:p>
        </w:tc>
        <w:tc>
          <w:tcPr>
            <w:tcBorders>
              <w:right w:val="none"/>
            </w:tcBorders>
            <w:tcMar>
              <w:top w:type="dxa" w:w="80"/>
              <w:left w:type="dxa" w:w="120"/>
              <w:bottom w:type="dxa" w:w="80"/>
              <w:right w:type="dxa" w:w="120"/>
            </w:tcMar>
            <w:vAlign w:val="center"/>
          </w:tcPr>
          <w:p>
            <w:pPr>
              <w:pStyle w:val="MdTableCell"/>
            </w:pPr>
            <w:r>
              <w:t xml:space="preserve">5</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Cross-Cultural</w:t>
            </w:r>
          </w:p>
        </w:tc>
        <w:tc>
          <w:tcPr>
            <w:tcMar>
              <w:top w:type="dxa" w:w="80"/>
              <w:left w:type="dxa" w:w="120"/>
              <w:bottom w:type="dxa" w:w="80"/>
              <w:right w:type="dxa" w:w="120"/>
            </w:tcMar>
            <w:vAlign w:val="center"/>
          </w:tcPr>
          <w:p>
            <w:pPr>
              <w:pStyle w:val="MdTableCell"/>
            </w:pPr>
            <w:r>
              <w:t xml:space="preserve">1</w:t>
            </w:r>
          </w:p>
        </w:tc>
        <w:tc>
          <w:tcPr>
            <w:tcMar>
              <w:top w:type="dxa" w:w="80"/>
              <w:left w:type="dxa" w:w="120"/>
              <w:bottom w:type="dxa" w:w="80"/>
              <w:right w:type="dxa" w:w="120"/>
            </w:tcMar>
            <w:vAlign w:val="center"/>
          </w:tcPr>
          <w:p>
            <w:pPr>
              <w:pStyle w:val="MdTableCell"/>
            </w:pPr>
            <w:r>
              <w:t xml:space="preserve">1</w:t>
            </w:r>
          </w:p>
        </w:tc>
        <w:tc>
          <w:tcPr>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1</w:t>
            </w:r>
          </w:p>
        </w:tc>
        <w:tc>
          <w:tcPr>
            <w:tcMar>
              <w:top w:type="dxa" w:w="80"/>
              <w:left w:type="dxa" w:w="120"/>
              <w:bottom w:type="dxa" w:w="80"/>
              <w:right w:type="dxa" w:w="120"/>
            </w:tcMar>
            <w:vAlign w:val="center"/>
          </w:tcPr>
          <w:p>
            <w:pPr>
              <w:pStyle w:val="MdTableCell"/>
            </w:pPr>
            <w:r>
              <w:t xml:space="preserve">1</w:t>
            </w:r>
          </w:p>
        </w:tc>
        <w:tc>
          <w:tcPr>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1</w:t>
            </w:r>
          </w:p>
        </w:tc>
        <w:tc>
          <w:tcPr>
            <w:tcBorders>
              <w:right w:val="none"/>
            </w:tcBorders>
            <w:tcMar>
              <w:top w:type="dxa" w:w="80"/>
              <w:left w:type="dxa" w:w="120"/>
              <w:bottom w:type="dxa" w:w="80"/>
              <w:right w:type="dxa" w:w="120"/>
            </w:tcMar>
            <w:vAlign w:val="center"/>
          </w:tcPr>
          <w:p>
            <w:pPr>
              <w:pStyle w:val="MdTableCell"/>
            </w:pPr>
            <w:r>
              <w:t xml:space="preserve">5</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Gamification</w:t>
            </w:r>
          </w:p>
        </w:tc>
        <w:tc>
          <w:tcPr>
            <w:tcMar>
              <w:top w:type="dxa" w:w="80"/>
              <w:left w:type="dxa" w:w="120"/>
              <w:bottom w:type="dxa" w:w="80"/>
              <w:right w:type="dxa" w:w="120"/>
            </w:tcMar>
            <w:vAlign w:val="center"/>
          </w:tcPr>
          <w:p>
            <w:pPr>
              <w:pStyle w:val="MdTableCell"/>
            </w:pPr>
            <w:r>
              <w:t xml:space="preserve">1</w:t>
            </w:r>
          </w:p>
        </w:tc>
        <w:tc>
          <w:tcPr>
            <w:tcMar>
              <w:top w:type="dxa" w:w="80"/>
              <w:left w:type="dxa" w:w="120"/>
              <w:bottom w:type="dxa" w:w="80"/>
              <w:right w:type="dxa" w:w="120"/>
            </w:tcMar>
            <w:vAlign w:val="center"/>
          </w:tcPr>
          <w:p>
            <w:pPr>
              <w:pStyle w:val="MdTableCell"/>
            </w:pPr>
            <w:r>
              <w:t xml:space="preserve">1</w:t>
            </w:r>
          </w:p>
        </w:tc>
        <w:tc>
          <w:tcPr>
            <w:tcMar>
              <w:top w:type="dxa" w:w="80"/>
              <w:left w:type="dxa" w:w="120"/>
              <w:bottom w:type="dxa" w:w="80"/>
              <w:right w:type="dxa" w:w="120"/>
            </w:tcMar>
            <w:vAlign w:val="center"/>
          </w:tcPr>
          <w:p>
            <w:pPr>
              <w:pStyle w:val="MdTableCell"/>
            </w:pPr>
            <w:r>
              <w:t xml:space="preserve">1</w:t>
            </w:r>
          </w:p>
        </w:tc>
        <w:tc>
          <w:tcPr>
            <w:tcMar>
              <w:top w:type="dxa" w:w="80"/>
              <w:left w:type="dxa" w:w="120"/>
              <w:bottom w:type="dxa" w:w="80"/>
              <w:right w:type="dxa" w:w="120"/>
            </w:tcMar>
            <w:vAlign w:val="center"/>
          </w:tcPr>
          <w:p>
            <w:pPr>
              <w:pStyle w:val="MdTableCell"/>
            </w:pPr>
            <w:r>
              <w:t xml:space="preserve">1</w:t>
            </w:r>
          </w:p>
        </w:tc>
        <w:tc>
          <w:tcPr>
            <w:tcMar>
              <w:top w:type="dxa" w:w="80"/>
              <w:left w:type="dxa" w:w="120"/>
              <w:bottom w:type="dxa" w:w="80"/>
              <w:right w:type="dxa" w:w="120"/>
            </w:tcMar>
            <w:vAlign w:val="center"/>
          </w:tcPr>
          <w:p>
            <w:pPr>
              <w:pStyle w:val="MdTableCell"/>
            </w:pPr>
            <w:r>
              <w:t xml:space="preserve">1</w:t>
            </w:r>
          </w:p>
        </w:tc>
        <w:tc>
          <w:tcPr>
            <w:tcMar>
              <w:top w:type="dxa" w:w="80"/>
              <w:left w:type="dxa" w:w="120"/>
              <w:bottom w:type="dxa" w:w="80"/>
              <w:right w:type="dxa" w:w="120"/>
            </w:tcMar>
            <w:vAlign w:val="center"/>
          </w:tcPr>
          <w:p>
            <w:pPr>
              <w:pStyle w:val="MdTableCell"/>
            </w:pPr>
            <w:r>
              <w:t xml:space="preserve">1</w:t>
            </w:r>
          </w:p>
        </w:tc>
        <w:tc>
          <w:tcPr>
            <w:tcMar>
              <w:top w:type="dxa" w:w="80"/>
              <w:left w:type="dxa" w:w="120"/>
              <w:bottom w:type="dxa" w:w="80"/>
              <w:right w:type="dxa" w:w="120"/>
            </w:tcMar>
            <w:vAlign w:val="center"/>
          </w:tcPr>
          <w:p>
            <w:pPr>
              <w:pStyle w:val="MdTableCell"/>
            </w:pPr>
            <w:r>
              <w:t xml:space="preserve">1</w:t>
            </w:r>
          </w:p>
        </w:tc>
        <w:tc>
          <w:tcPr>
            <w:tcMar>
              <w:top w:type="dxa" w:w="80"/>
              <w:left w:type="dxa" w:w="120"/>
              <w:bottom w:type="dxa" w:w="80"/>
              <w:right w:type="dxa" w:w="120"/>
            </w:tcMar>
            <w:vAlign w:val="center"/>
          </w:tcPr>
          <w:p>
            <w:pPr>
              <w:pStyle w:val="MdTableCell"/>
            </w:pPr>
            <w:r>
              <w:t xml:space="preserve">1</w:t>
            </w:r>
          </w:p>
        </w:tc>
        <w:tc>
          <w:tcPr>
            <w:tcMar>
              <w:top w:type="dxa" w:w="80"/>
              <w:left w:type="dxa" w:w="120"/>
              <w:bottom w:type="dxa" w:w="80"/>
              <w:right w:type="dxa" w:w="120"/>
            </w:tcMar>
            <w:vAlign w:val="center"/>
          </w:tcPr>
          <w:p>
            <w:pPr>
              <w:pStyle w:val="MdTableCell"/>
            </w:pPr>
            <w:r>
              <w:t xml:space="preserve">1</w:t>
            </w:r>
          </w:p>
        </w:tc>
        <w:tc>
          <w:tcPr>
            <w:tcMar>
              <w:top w:type="dxa" w:w="80"/>
              <w:left w:type="dxa" w:w="120"/>
              <w:bottom w:type="dxa" w:w="80"/>
              <w:right w:type="dxa" w:w="120"/>
            </w:tcMar>
            <w:vAlign w:val="center"/>
          </w:tcPr>
          <w:p>
            <w:pPr>
              <w:pStyle w:val="MdTableCell"/>
            </w:pPr>
            <w:r>
              <w:t xml:space="preserve">1</w:t>
            </w:r>
          </w:p>
        </w:tc>
        <w:tc>
          <w:tcPr>
            <w:tcMar>
              <w:top w:type="dxa" w:w="80"/>
              <w:left w:type="dxa" w:w="120"/>
              <w:bottom w:type="dxa" w:w="80"/>
              <w:right w:type="dxa" w:w="120"/>
            </w:tcMar>
            <w:vAlign w:val="center"/>
          </w:tcPr>
          <w:p>
            <w:pPr>
              <w:pStyle w:val="MdTableCell"/>
            </w:pPr>
            <w:r>
              <w:t xml:space="preserve">1</w:t>
            </w:r>
          </w:p>
        </w:tc>
        <w:tc>
          <w:tcPr>
            <w:tcMar>
              <w:top w:type="dxa" w:w="80"/>
              <w:left w:type="dxa" w:w="120"/>
              <w:bottom w:type="dxa" w:w="80"/>
              <w:right w:type="dxa" w:w="120"/>
            </w:tcMar>
            <w:vAlign w:val="center"/>
          </w:tcPr>
          <w:p>
            <w:pPr>
              <w:pStyle w:val="MdTableCell"/>
            </w:pPr>
            <w:r>
              <w:t xml:space="preserve">1</w:t>
            </w:r>
          </w:p>
        </w:tc>
        <w:tc>
          <w:tcPr>
            <w:tcBorders>
              <w:right w:val="none"/>
            </w:tcBorders>
            <w:tcMar>
              <w:top w:type="dxa" w:w="80"/>
              <w:left w:type="dxa" w:w="120"/>
              <w:bottom w:type="dxa" w:w="80"/>
              <w:right w:type="dxa" w:w="120"/>
            </w:tcMar>
            <w:vAlign w:val="center"/>
          </w:tcPr>
          <w:p>
            <w:pPr>
              <w:pStyle w:val="MdTableCell"/>
            </w:pPr>
            <w:r>
              <w:t xml:space="preserve">5</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Industry Alignment</w:t>
            </w:r>
          </w:p>
        </w:tc>
        <w:tc>
          <w:tcPr>
            <w:tcMar>
              <w:top w:type="dxa" w:w="80"/>
              <w:left w:type="dxa" w:w="120"/>
              <w:bottom w:type="dxa" w:w="80"/>
              <w:right w:type="dxa" w:w="120"/>
            </w:tcMar>
            <w:vAlign w:val="center"/>
          </w:tcPr>
          <w:p>
            <w:pPr>
              <w:pStyle w:val="MdTableCell"/>
            </w:pPr>
            <w:r>
              <w:t xml:space="preserve">5</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5</w:t>
            </w:r>
          </w:p>
        </w:tc>
        <w:tc>
          <w:tcPr>
            <w:tcMar>
              <w:top w:type="dxa" w:w="80"/>
              <w:left w:type="dxa" w:w="120"/>
              <w:bottom w:type="dxa" w:w="80"/>
              <w:right w:type="dxa" w:w="120"/>
            </w:tcMar>
            <w:vAlign w:val="center"/>
          </w:tcPr>
          <w:p>
            <w:pPr>
              <w:pStyle w:val="MdTableCell"/>
            </w:pPr>
            <w:r>
              <w:t xml:space="preserve">5</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5</w:t>
            </w:r>
          </w:p>
        </w:tc>
        <w:tc>
          <w:tcPr>
            <w:tcMar>
              <w:top w:type="dxa" w:w="80"/>
              <w:left w:type="dxa" w:w="120"/>
              <w:bottom w:type="dxa" w:w="80"/>
              <w:right w:type="dxa" w:w="120"/>
            </w:tcMar>
            <w:vAlign w:val="center"/>
          </w:tcPr>
          <w:p>
            <w:pPr>
              <w:pStyle w:val="MdTableCell"/>
            </w:pPr>
            <w:r>
              <w:t xml:space="preserve">5</w:t>
            </w:r>
          </w:p>
        </w:tc>
        <w:tc>
          <w:tcPr>
            <w:tcMar>
              <w:top w:type="dxa" w:w="80"/>
              <w:left w:type="dxa" w:w="120"/>
              <w:bottom w:type="dxa" w:w="80"/>
              <w:right w:type="dxa" w:w="120"/>
            </w:tcMar>
            <w:vAlign w:val="center"/>
          </w:tcPr>
          <w:p>
            <w:pPr>
              <w:pStyle w:val="MdTableCell"/>
            </w:pPr>
            <w:r>
              <w:t xml:space="preserve">5</w:t>
            </w:r>
          </w:p>
        </w:tc>
        <w:tc>
          <w:tcPr>
            <w:tcMar>
              <w:top w:type="dxa" w:w="80"/>
              <w:left w:type="dxa" w:w="120"/>
              <w:bottom w:type="dxa" w:w="80"/>
              <w:right w:type="dxa" w:w="120"/>
            </w:tcMar>
            <w:vAlign w:val="center"/>
          </w:tcPr>
          <w:p>
            <w:pPr>
              <w:pStyle w:val="MdTableCell"/>
            </w:pPr>
            <w:r>
              <w:t xml:space="preserve">5</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5</w:t>
            </w:r>
          </w:p>
        </w:tc>
        <w:tc>
          <w:tcPr>
            <w:tcBorders>
              <w:right w:val="none"/>
            </w:tcBorders>
            <w:tcMar>
              <w:top w:type="dxa" w:w="80"/>
              <w:left w:type="dxa" w:w="120"/>
              <w:bottom w:type="dxa" w:w="80"/>
              <w:right w:type="dxa" w:w="120"/>
            </w:tcMar>
            <w:vAlign w:val="center"/>
          </w:tcPr>
          <w:p>
            <w:pPr>
              <w:pStyle w:val="MdTableCell"/>
            </w:pPr>
            <w:r>
              <w:t xml:space="preserve">2</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Professional Accreditation</w:t>
            </w:r>
          </w:p>
        </w:tc>
        <w:tc>
          <w:tcPr>
            <w:tcMar>
              <w:top w:type="dxa" w:w="80"/>
              <w:left w:type="dxa" w:w="120"/>
              <w:bottom w:type="dxa" w:w="80"/>
              <w:right w:type="dxa" w:w="120"/>
            </w:tcMar>
            <w:vAlign w:val="center"/>
          </w:tcPr>
          <w:p>
            <w:pPr>
              <w:pStyle w:val="MdTableCell"/>
            </w:pPr>
            <w:r>
              <w:t xml:space="preserve">5</w:t>
            </w:r>
          </w:p>
        </w:tc>
        <w:tc>
          <w:tcPr>
            <w:tcMar>
              <w:top w:type="dxa" w:w="80"/>
              <w:left w:type="dxa" w:w="120"/>
              <w:bottom w:type="dxa" w:w="80"/>
              <w:right w:type="dxa" w:w="120"/>
            </w:tcMar>
            <w:vAlign w:val="center"/>
          </w:tcPr>
          <w:p>
            <w:pPr>
              <w:pStyle w:val="MdTableCell"/>
            </w:pPr>
            <w:r>
              <w:t xml:space="preserve">5</w:t>
            </w:r>
          </w:p>
        </w:tc>
        <w:tc>
          <w:tcPr>
            <w:tcMar>
              <w:top w:type="dxa" w:w="80"/>
              <w:left w:type="dxa" w:w="120"/>
              <w:bottom w:type="dxa" w:w="80"/>
              <w:right w:type="dxa" w:w="120"/>
            </w:tcMar>
            <w:vAlign w:val="center"/>
          </w:tcPr>
          <w:p>
            <w:pPr>
              <w:pStyle w:val="MdTableCell"/>
            </w:pPr>
            <w:r>
              <w:t xml:space="preserve">5</w:t>
            </w:r>
          </w:p>
        </w:tc>
        <w:tc>
          <w:tcPr>
            <w:tcMar>
              <w:top w:type="dxa" w:w="80"/>
              <w:left w:type="dxa" w:w="120"/>
              <w:bottom w:type="dxa" w:w="80"/>
              <w:right w:type="dxa" w:w="120"/>
            </w:tcMar>
            <w:vAlign w:val="center"/>
          </w:tcPr>
          <w:p>
            <w:pPr>
              <w:pStyle w:val="MdTableCell"/>
            </w:pPr>
            <w:r>
              <w:t xml:space="preserve">5</w:t>
            </w:r>
          </w:p>
        </w:tc>
        <w:tc>
          <w:tcPr>
            <w:tcMar>
              <w:top w:type="dxa" w:w="80"/>
              <w:left w:type="dxa" w:w="120"/>
              <w:bottom w:type="dxa" w:w="80"/>
              <w:right w:type="dxa" w:w="120"/>
            </w:tcMar>
            <w:vAlign w:val="center"/>
          </w:tcPr>
          <w:p>
            <w:pPr>
              <w:pStyle w:val="MdTableCell"/>
            </w:pPr>
            <w:r>
              <w:t xml:space="preserve">5</w:t>
            </w:r>
          </w:p>
        </w:tc>
        <w:tc>
          <w:tcPr>
            <w:tcMar>
              <w:top w:type="dxa" w:w="80"/>
              <w:left w:type="dxa" w:w="120"/>
              <w:bottom w:type="dxa" w:w="80"/>
              <w:right w:type="dxa" w:w="120"/>
            </w:tcMar>
            <w:vAlign w:val="center"/>
          </w:tcPr>
          <w:p>
            <w:pPr>
              <w:pStyle w:val="MdTableCell"/>
            </w:pPr>
            <w:r>
              <w:t xml:space="preserve">5</w:t>
            </w:r>
          </w:p>
        </w:tc>
        <w:tc>
          <w:tcPr>
            <w:tcMar>
              <w:top w:type="dxa" w:w="80"/>
              <w:left w:type="dxa" w:w="120"/>
              <w:bottom w:type="dxa" w:w="80"/>
              <w:right w:type="dxa" w:w="120"/>
            </w:tcMar>
            <w:vAlign w:val="center"/>
          </w:tcPr>
          <w:p>
            <w:pPr>
              <w:pStyle w:val="MdTableCell"/>
            </w:pPr>
            <w:r>
              <w:t xml:space="preserve">5</w:t>
            </w:r>
          </w:p>
        </w:tc>
        <w:tc>
          <w:tcPr>
            <w:tcMar>
              <w:top w:type="dxa" w:w="80"/>
              <w:left w:type="dxa" w:w="120"/>
              <w:bottom w:type="dxa" w:w="80"/>
              <w:right w:type="dxa" w:w="120"/>
            </w:tcMar>
            <w:vAlign w:val="center"/>
          </w:tcPr>
          <w:p>
            <w:pPr>
              <w:pStyle w:val="MdTableCell"/>
            </w:pPr>
            <w:r>
              <w:t xml:space="preserve">5</w:t>
            </w:r>
          </w:p>
        </w:tc>
        <w:tc>
          <w:tcPr>
            <w:tcMar>
              <w:top w:type="dxa" w:w="80"/>
              <w:left w:type="dxa" w:w="120"/>
              <w:bottom w:type="dxa" w:w="80"/>
              <w:right w:type="dxa" w:w="120"/>
            </w:tcMar>
            <w:vAlign w:val="center"/>
          </w:tcPr>
          <w:p>
            <w:pPr>
              <w:pStyle w:val="MdTableCell"/>
            </w:pPr>
            <w:r>
              <w:t xml:space="preserve">5</w:t>
            </w:r>
          </w:p>
        </w:tc>
        <w:tc>
          <w:tcPr>
            <w:tcMar>
              <w:top w:type="dxa" w:w="80"/>
              <w:left w:type="dxa" w:w="120"/>
              <w:bottom w:type="dxa" w:w="80"/>
              <w:right w:type="dxa" w:w="120"/>
            </w:tcMar>
            <w:vAlign w:val="center"/>
          </w:tcPr>
          <w:p>
            <w:pPr>
              <w:pStyle w:val="MdTableCell"/>
            </w:pPr>
            <w:r>
              <w:t xml:space="preserve">5</w:t>
            </w:r>
          </w:p>
        </w:tc>
        <w:tc>
          <w:tcPr>
            <w:tcMar>
              <w:top w:type="dxa" w:w="80"/>
              <w:left w:type="dxa" w:w="120"/>
              <w:bottom w:type="dxa" w:w="80"/>
              <w:right w:type="dxa" w:w="120"/>
            </w:tcMar>
            <w:vAlign w:val="center"/>
          </w:tcPr>
          <w:p>
            <w:pPr>
              <w:pStyle w:val="MdTableCell"/>
            </w:pPr>
            <w:r>
              <w:t xml:space="preserve">5</w:t>
            </w:r>
          </w:p>
        </w:tc>
        <w:tc>
          <w:tcPr>
            <w:tcMar>
              <w:top w:type="dxa" w:w="80"/>
              <w:left w:type="dxa" w:w="120"/>
              <w:bottom w:type="dxa" w:w="80"/>
              <w:right w:type="dxa" w:w="120"/>
            </w:tcMar>
            <w:vAlign w:val="center"/>
          </w:tcPr>
          <w:p>
            <w:pPr>
              <w:pStyle w:val="MdTableCell"/>
            </w:pPr>
            <w:r>
              <w:t xml:space="preserve">5</w:t>
            </w:r>
          </w:p>
        </w:tc>
        <w:tc>
          <w:tcPr>
            <w:tcBorders>
              <w:right w:val="none"/>
            </w:tcBorders>
            <w:tcMar>
              <w:top w:type="dxa" w:w="80"/>
              <w:left w:type="dxa" w:w="120"/>
              <w:bottom w:type="dxa" w:w="80"/>
              <w:right w:type="dxa" w:w="120"/>
            </w:tcMar>
            <w:vAlign w:val="center"/>
          </w:tcPr>
          <w:p>
            <w:pPr>
              <w:pStyle w:val="MdTableCell"/>
            </w:pPr>
            <w:r>
              <w:t xml:space="preserve">1</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Interdisciplinary</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5</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3</w:t>
            </w:r>
          </w:p>
        </w:tc>
        <w:tc>
          <w:tcPr>
            <w:tcBorders>
              <w:right w:val="none"/>
            </w:tcBorders>
            <w:tcMar>
              <w:top w:type="dxa" w:w="80"/>
              <w:left w:type="dxa" w:w="120"/>
              <w:bottom w:type="dxa" w:w="80"/>
              <w:right w:type="dxa" w:w="120"/>
            </w:tcMar>
            <w:vAlign w:val="center"/>
          </w:tcPr>
          <w:p>
            <w:pPr>
              <w:pStyle w:val="MdTableCell"/>
            </w:pPr>
            <w:r>
              <w:t xml:space="preserve">5</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Sustainability Focus</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5</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5</w:t>
            </w:r>
          </w:p>
        </w:tc>
        <w:tc>
          <w:tcPr>
            <w:tcMar>
              <w:top w:type="dxa" w:w="80"/>
              <w:left w:type="dxa" w:w="120"/>
              <w:bottom w:type="dxa" w:w="80"/>
              <w:right w:type="dxa" w:w="120"/>
            </w:tcMar>
            <w:vAlign w:val="center"/>
          </w:tcPr>
          <w:p>
            <w:pPr>
              <w:pStyle w:val="MdTableCell"/>
            </w:pPr>
            <w:r>
              <w:t xml:space="preserve">5</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4</w:t>
            </w:r>
          </w:p>
        </w:tc>
        <w:tc>
          <w:tcPr>
            <w:tcBorders>
              <w:right w:val="none"/>
            </w:tcBorders>
            <w:tcMar>
              <w:top w:type="dxa" w:w="80"/>
              <w:left w:type="dxa" w:w="120"/>
              <w:bottom w:type="dxa" w:w="80"/>
              <w:right w:type="dxa" w:w="120"/>
            </w:tcMar>
            <w:vAlign w:val="center"/>
          </w:tcPr>
          <w:p>
            <w:pPr>
              <w:pStyle w:val="MdTableCell"/>
            </w:pPr>
            <w:r>
              <w:t xml:space="preserve">4</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Digital/Computational</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5</w:t>
            </w:r>
          </w:p>
        </w:tc>
        <w:tc>
          <w:tcPr>
            <w:tcMar>
              <w:top w:type="dxa" w:w="80"/>
              <w:left w:type="dxa" w:w="120"/>
              <w:bottom w:type="dxa" w:w="80"/>
              <w:right w:type="dxa" w:w="120"/>
            </w:tcMar>
            <w:vAlign w:val="center"/>
          </w:tcPr>
          <w:p>
            <w:pPr>
              <w:pStyle w:val="MdTableCell"/>
            </w:pPr>
            <w:r>
              <w:t xml:space="preserve">5</w:t>
            </w:r>
          </w:p>
        </w:tc>
        <w:tc>
          <w:tcPr>
            <w:tcMar>
              <w:top w:type="dxa" w:w="80"/>
              <w:left w:type="dxa" w:w="120"/>
              <w:bottom w:type="dxa" w:w="80"/>
              <w:right w:type="dxa" w:w="120"/>
            </w:tcMar>
            <w:vAlign w:val="center"/>
          </w:tcPr>
          <w:p>
            <w:pPr>
              <w:pStyle w:val="MdTableCell"/>
            </w:pPr>
            <w:r>
              <w:t xml:space="preserve">5</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4</w:t>
            </w:r>
          </w:p>
        </w:tc>
        <w:tc>
          <w:tcPr>
            <w:tcBorders>
              <w:right w:val="none"/>
            </w:tcBorders>
            <w:tcMar>
              <w:top w:type="dxa" w:w="80"/>
              <w:left w:type="dxa" w:w="120"/>
              <w:bottom w:type="dxa" w:w="80"/>
              <w:right w:type="dxa" w:w="120"/>
            </w:tcMar>
            <w:vAlign w:val="center"/>
          </w:tcPr>
          <w:p>
            <w:pPr>
              <w:pStyle w:val="MdTableCell"/>
            </w:pPr>
            <w:r>
              <w:t xml:space="preserve">3</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rPr>
                <w:rStyle w:val="MdStrong"/>
                <w:b/>
                <w:bCs/>
              </w:rPr>
              <w:t xml:space="preserve">Dimension Total (/50)</w:t>
            </w:r>
          </w:p>
        </w:tc>
        <w:tc>
          <w:tcPr>
            <w:tcBorders>
              <w:bottom w:val="single" w:color="E1E4E8" w:sz="4"/>
            </w:tcBorders>
            <w:tcMar>
              <w:top w:type="dxa" w:w="80"/>
              <w:left w:type="dxa" w:w="120"/>
              <w:bottom w:type="dxa" w:w="80"/>
              <w:right w:type="dxa" w:w="120"/>
            </w:tcMar>
            <w:vAlign w:val="center"/>
          </w:tcPr>
          <w:p>
            <w:pPr>
              <w:pStyle w:val="MdTableCell"/>
            </w:pPr>
            <w:r>
              <w:rPr>
                <w:rStyle w:val="MdStrong"/>
                <w:b/>
                <w:bCs/>
              </w:rPr>
              <w:t xml:space="preserve">32</w:t>
            </w:r>
          </w:p>
        </w:tc>
        <w:tc>
          <w:tcPr>
            <w:tcBorders>
              <w:bottom w:val="single" w:color="E1E4E8" w:sz="4"/>
            </w:tcBorders>
            <w:tcMar>
              <w:top w:type="dxa" w:w="80"/>
              <w:left w:type="dxa" w:w="120"/>
              <w:bottom w:type="dxa" w:w="80"/>
              <w:right w:type="dxa" w:w="120"/>
            </w:tcMar>
            <w:vAlign w:val="center"/>
          </w:tcPr>
          <w:p>
            <w:pPr>
              <w:pStyle w:val="MdTableCell"/>
            </w:pPr>
            <w:r>
              <w:rPr>
                <w:rStyle w:val="MdStrong"/>
                <w:b/>
                <w:bCs/>
              </w:rPr>
              <w:t xml:space="preserve">26</w:t>
            </w:r>
          </w:p>
        </w:tc>
        <w:tc>
          <w:tcPr>
            <w:tcBorders>
              <w:bottom w:val="single" w:color="E1E4E8" w:sz="4"/>
            </w:tcBorders>
            <w:tcMar>
              <w:top w:type="dxa" w:w="80"/>
              <w:left w:type="dxa" w:w="120"/>
              <w:bottom w:type="dxa" w:w="80"/>
              <w:right w:type="dxa" w:w="120"/>
            </w:tcMar>
            <w:vAlign w:val="center"/>
          </w:tcPr>
          <w:p>
            <w:pPr>
              <w:pStyle w:val="MdTableCell"/>
            </w:pPr>
            <w:r>
              <w:rPr>
                <w:rStyle w:val="MdStrong"/>
                <w:b/>
                <w:bCs/>
              </w:rPr>
              <w:t xml:space="preserve">36</w:t>
            </w:r>
          </w:p>
        </w:tc>
        <w:tc>
          <w:tcPr>
            <w:tcBorders>
              <w:bottom w:val="single" w:color="E1E4E8" w:sz="4"/>
            </w:tcBorders>
            <w:tcMar>
              <w:top w:type="dxa" w:w="80"/>
              <w:left w:type="dxa" w:w="120"/>
              <w:bottom w:type="dxa" w:w="80"/>
              <w:right w:type="dxa" w:w="120"/>
            </w:tcMar>
            <w:vAlign w:val="center"/>
          </w:tcPr>
          <w:p>
            <w:pPr>
              <w:pStyle w:val="MdTableCell"/>
            </w:pPr>
            <w:r>
              <w:rPr>
                <w:rStyle w:val="MdStrong"/>
                <w:b/>
                <w:bCs/>
              </w:rPr>
              <w:t xml:space="preserve">38</w:t>
            </w:r>
          </w:p>
        </w:tc>
        <w:tc>
          <w:tcPr>
            <w:tcBorders>
              <w:bottom w:val="single" w:color="E1E4E8" w:sz="4"/>
            </w:tcBorders>
            <w:tcMar>
              <w:top w:type="dxa" w:w="80"/>
              <w:left w:type="dxa" w:w="120"/>
              <w:bottom w:type="dxa" w:w="80"/>
              <w:right w:type="dxa" w:w="120"/>
            </w:tcMar>
            <w:vAlign w:val="center"/>
          </w:tcPr>
          <w:p>
            <w:pPr>
              <w:pStyle w:val="MdTableCell"/>
            </w:pPr>
            <w:r>
              <w:rPr>
                <w:rStyle w:val="MdStrong"/>
                <w:b/>
                <w:bCs/>
              </w:rPr>
              <w:t xml:space="preserve">31</w:t>
            </w:r>
          </w:p>
        </w:tc>
        <w:tc>
          <w:tcPr>
            <w:tcBorders>
              <w:bottom w:val="single" w:color="E1E4E8" w:sz="4"/>
            </w:tcBorders>
            <w:tcMar>
              <w:top w:type="dxa" w:w="80"/>
              <w:left w:type="dxa" w:w="120"/>
              <w:bottom w:type="dxa" w:w="80"/>
              <w:right w:type="dxa" w:w="120"/>
            </w:tcMar>
            <w:vAlign w:val="center"/>
          </w:tcPr>
          <w:p>
            <w:pPr>
              <w:pStyle w:val="MdTableCell"/>
            </w:pPr>
            <w:r>
              <w:rPr>
                <w:rStyle w:val="MdStrong"/>
                <w:b/>
                <w:bCs/>
              </w:rPr>
              <w:t xml:space="preserve">30</w:t>
            </w:r>
          </w:p>
        </w:tc>
        <w:tc>
          <w:tcPr>
            <w:tcBorders>
              <w:bottom w:val="single" w:color="E1E4E8" w:sz="4"/>
            </w:tcBorders>
            <w:tcMar>
              <w:top w:type="dxa" w:w="80"/>
              <w:left w:type="dxa" w:w="120"/>
              <w:bottom w:type="dxa" w:w="80"/>
              <w:right w:type="dxa" w:w="120"/>
            </w:tcMar>
            <w:vAlign w:val="center"/>
          </w:tcPr>
          <w:p>
            <w:pPr>
              <w:pStyle w:val="MdTableCell"/>
            </w:pPr>
            <w:r>
              <w:rPr>
                <w:rStyle w:val="MdStrong"/>
                <w:b/>
                <w:bCs/>
              </w:rPr>
              <w:t xml:space="preserve">38</w:t>
            </w:r>
          </w:p>
        </w:tc>
        <w:tc>
          <w:tcPr>
            <w:tcBorders>
              <w:bottom w:val="single" w:color="E1E4E8" w:sz="4"/>
            </w:tcBorders>
            <w:tcMar>
              <w:top w:type="dxa" w:w="80"/>
              <w:left w:type="dxa" w:w="120"/>
              <w:bottom w:type="dxa" w:w="80"/>
              <w:right w:type="dxa" w:w="120"/>
            </w:tcMar>
            <w:vAlign w:val="center"/>
          </w:tcPr>
          <w:p>
            <w:pPr>
              <w:pStyle w:val="MdTableCell"/>
            </w:pPr>
            <w:r>
              <w:rPr>
                <w:rStyle w:val="MdStrong"/>
                <w:b/>
                <w:bCs/>
              </w:rPr>
              <w:t xml:space="preserve">38</w:t>
            </w:r>
          </w:p>
        </w:tc>
        <w:tc>
          <w:tcPr>
            <w:tcBorders>
              <w:bottom w:val="single" w:color="E1E4E8" w:sz="4"/>
            </w:tcBorders>
            <w:tcMar>
              <w:top w:type="dxa" w:w="80"/>
              <w:left w:type="dxa" w:w="120"/>
              <w:bottom w:type="dxa" w:w="80"/>
              <w:right w:type="dxa" w:w="120"/>
            </w:tcMar>
            <w:vAlign w:val="center"/>
          </w:tcPr>
          <w:p>
            <w:pPr>
              <w:pStyle w:val="MdTableCell"/>
            </w:pPr>
            <w:r>
              <w:rPr>
                <w:rStyle w:val="MdStrong"/>
                <w:b/>
                <w:bCs/>
              </w:rPr>
              <w:t xml:space="preserve">34</w:t>
            </w:r>
          </w:p>
        </w:tc>
        <w:tc>
          <w:tcPr>
            <w:tcBorders>
              <w:bottom w:val="single" w:color="E1E4E8" w:sz="4"/>
            </w:tcBorders>
            <w:tcMar>
              <w:top w:type="dxa" w:w="80"/>
              <w:left w:type="dxa" w:w="120"/>
              <w:bottom w:type="dxa" w:w="80"/>
              <w:right w:type="dxa" w:w="120"/>
            </w:tcMar>
            <w:vAlign w:val="center"/>
          </w:tcPr>
          <w:p>
            <w:pPr>
              <w:pStyle w:val="MdTableCell"/>
            </w:pPr>
            <w:r>
              <w:rPr>
                <w:rStyle w:val="MdStrong"/>
                <w:b/>
                <w:bCs/>
              </w:rPr>
              <w:t xml:space="preserve">31</w:t>
            </w:r>
          </w:p>
        </w:tc>
        <w:tc>
          <w:tcPr>
            <w:tcBorders>
              <w:bottom w:val="single" w:color="E1E4E8" w:sz="4"/>
            </w:tcBorders>
            <w:tcMar>
              <w:top w:type="dxa" w:w="80"/>
              <w:left w:type="dxa" w:w="120"/>
              <w:bottom w:type="dxa" w:w="80"/>
              <w:right w:type="dxa" w:w="120"/>
            </w:tcMar>
            <w:vAlign w:val="center"/>
          </w:tcPr>
          <w:p>
            <w:pPr>
              <w:pStyle w:val="MdTableCell"/>
            </w:pPr>
            <w:r>
              <w:rPr>
                <w:rStyle w:val="MdStrong"/>
                <w:b/>
                <w:bCs/>
              </w:rPr>
              <w:t xml:space="preserve">27</w:t>
            </w:r>
          </w:p>
        </w:tc>
        <w:tc>
          <w:tcPr>
            <w:tcBorders>
              <w:bottom w:val="single" w:color="E1E4E8" w:sz="4"/>
            </w:tcBorders>
            <w:tcMar>
              <w:top w:type="dxa" w:w="80"/>
              <w:left w:type="dxa" w:w="120"/>
              <w:bottom w:type="dxa" w:w="80"/>
              <w:right w:type="dxa" w:w="120"/>
            </w:tcMar>
            <w:vAlign w:val="center"/>
          </w:tcPr>
          <w:p>
            <w:pPr>
              <w:pStyle w:val="MdTableCell"/>
            </w:pPr>
            <w:r>
              <w:rPr>
                <w:rStyle w:val="MdStrong"/>
                <w:b/>
                <w:bCs/>
              </w:rPr>
              <w:t xml:space="preserve">31</w:t>
            </w:r>
          </w:p>
        </w:tc>
        <w:tc>
          <w:tcPr>
            <w:tcBorders>
              <w:bottom w:val="single" w:color="E1E4E8" w:sz="4"/>
              <w:right w:val="none"/>
            </w:tcBorders>
            <w:tcMar>
              <w:top w:type="dxa" w:w="80"/>
              <w:left w:type="dxa" w:w="120"/>
              <w:bottom w:type="dxa" w:w="80"/>
              <w:right w:type="dxa" w:w="120"/>
            </w:tcMar>
            <w:vAlign w:val="center"/>
          </w:tcPr>
          <w:p>
            <w:pPr>
              <w:pStyle w:val="MdTableCell"/>
            </w:pPr>
            <w:r>
              <w:rPr>
                <w:rStyle w:val="MdStrong"/>
                <w:b/>
                <w:bCs/>
              </w:rPr>
              <w:t xml:space="preserve">36</w:t>
            </w:r>
          </w:p>
        </w:tc>
      </w:tr>
    </w:tbl>
    <w:p>
      <w:pPr>
        <w:pStyle w:val="Heading3"/>
        <w:pStyle w:val="MdHeading3"/>
      </w:pPr>
      <w:r>
        <w:t xml:space="preserve">Table C: Combined Scores and IAAI Alignment</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University</w:t>
            </w:r>
          </w:p>
        </w:tc>
        <w:tc>
          <w:tcPr>
            <w:tcMar>
              <w:top w:type="dxa" w:w="100"/>
              <w:left w:type="dxa" w:w="120"/>
              <w:bottom w:type="dxa" w:w="100"/>
              <w:right w:type="dxa" w:w="120"/>
            </w:tcMar>
            <w:vAlign w:val="center"/>
          </w:tcPr>
          <w:p>
            <w:pPr>
              <w:pStyle w:val="MdTableHeader"/>
            </w:pPr>
            <w:r>
              <w:t xml:space="preserve">Region</w:t>
            </w:r>
          </w:p>
        </w:tc>
        <w:tc>
          <w:tcPr>
            <w:tcMar>
              <w:top w:type="dxa" w:w="100"/>
              <w:left w:type="dxa" w:w="120"/>
              <w:bottom w:type="dxa" w:w="100"/>
              <w:right w:type="dxa" w:w="120"/>
            </w:tcMar>
            <w:vAlign w:val="center"/>
          </w:tcPr>
          <w:p>
            <w:pPr>
              <w:pStyle w:val="MdTableHeader"/>
            </w:pPr>
            <w:r>
              <w:t xml:space="preserve">Relay Score (/60)</w:t>
            </w:r>
          </w:p>
        </w:tc>
        <w:tc>
          <w:tcPr>
            <w:tcMar>
              <w:top w:type="dxa" w:w="100"/>
              <w:left w:type="dxa" w:w="120"/>
              <w:bottom w:type="dxa" w:w="100"/>
              <w:right w:type="dxa" w:w="120"/>
            </w:tcMar>
            <w:vAlign w:val="center"/>
          </w:tcPr>
          <w:p>
            <w:pPr>
              <w:pStyle w:val="MdTableHeader"/>
            </w:pPr>
            <w:r>
              <w:t xml:space="preserve">Dimension Score (/50)</w:t>
            </w:r>
          </w:p>
        </w:tc>
        <w:tc>
          <w:tcPr>
            <w:tcMar>
              <w:top w:type="dxa" w:w="100"/>
              <w:left w:type="dxa" w:w="120"/>
              <w:bottom w:type="dxa" w:w="100"/>
              <w:right w:type="dxa" w:w="120"/>
            </w:tcMar>
            <w:vAlign w:val="center"/>
          </w:tcPr>
          <w:p>
            <w:pPr>
              <w:pStyle w:val="MdTableHeader"/>
            </w:pPr>
            <w:r>
              <w:t xml:space="preserve">Combined (/110)</w:t>
            </w:r>
          </w:p>
        </w:tc>
        <w:tc>
          <w:tcPr>
            <w:tcBorders>
              <w:right w:val="none"/>
            </w:tcBorders>
            <w:tcMar>
              <w:top w:type="dxa" w:w="100"/>
              <w:left w:type="dxa" w:w="120"/>
              <w:bottom w:type="dxa" w:w="100"/>
              <w:right w:type="dxa" w:w="120"/>
            </w:tcMar>
            <w:vAlign w:val="center"/>
          </w:tcPr>
          <w:p>
            <w:pPr>
              <w:pStyle w:val="MdTableHeader"/>
            </w:pPr>
            <w:r>
              <w:t xml:space="preserve">IAAI Complementarity</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MIT</w:t>
            </w:r>
          </w:p>
        </w:tc>
        <w:tc>
          <w:tcPr>
            <w:tcMar>
              <w:top w:type="dxa" w:w="80"/>
              <w:left w:type="dxa" w:w="120"/>
              <w:bottom w:type="dxa" w:w="80"/>
              <w:right w:type="dxa" w:w="120"/>
            </w:tcMar>
            <w:vAlign w:val="center"/>
          </w:tcPr>
          <w:p>
            <w:pPr>
              <w:pStyle w:val="MdTableCell"/>
            </w:pPr>
            <w:r>
              <w:t xml:space="preserve">USA</w:t>
            </w:r>
          </w:p>
        </w:tc>
        <w:tc>
          <w:tcPr>
            <w:tcMar>
              <w:top w:type="dxa" w:w="80"/>
              <w:left w:type="dxa" w:w="120"/>
              <w:bottom w:type="dxa" w:w="80"/>
              <w:right w:type="dxa" w:w="120"/>
            </w:tcMar>
            <w:vAlign w:val="center"/>
          </w:tcPr>
          <w:p>
            <w:pPr>
              <w:pStyle w:val="MdTableCell"/>
            </w:pPr>
            <w:r>
              <w:t xml:space="preserve">44</w:t>
            </w:r>
          </w:p>
        </w:tc>
        <w:tc>
          <w:tcPr>
            <w:tcMar>
              <w:top w:type="dxa" w:w="80"/>
              <w:left w:type="dxa" w:w="120"/>
              <w:bottom w:type="dxa" w:w="80"/>
              <w:right w:type="dxa" w:w="120"/>
            </w:tcMar>
            <w:vAlign w:val="center"/>
          </w:tcPr>
          <w:p>
            <w:pPr>
              <w:pStyle w:val="MdTableCell"/>
            </w:pPr>
            <w:r>
              <w:t xml:space="preserve">38</w:t>
            </w:r>
          </w:p>
        </w:tc>
        <w:tc>
          <w:tcPr>
            <w:tcMar>
              <w:top w:type="dxa" w:w="80"/>
              <w:left w:type="dxa" w:w="120"/>
              <w:bottom w:type="dxa" w:w="80"/>
              <w:right w:type="dxa" w:w="120"/>
            </w:tcMar>
            <w:vAlign w:val="center"/>
          </w:tcPr>
          <w:p>
            <w:pPr>
              <w:pStyle w:val="MdTableCell"/>
            </w:pPr>
            <w:r>
              <w:t xml:space="preserve">82</w:t>
            </w:r>
          </w:p>
        </w:tc>
        <w:tc>
          <w:tcPr>
            <w:tcBorders>
              <w:right w:val="none"/>
            </w:tcBorders>
            <w:tcMar>
              <w:top w:type="dxa" w:w="80"/>
              <w:left w:type="dxa" w:w="120"/>
              <w:bottom w:type="dxa" w:w="80"/>
              <w:right w:type="dxa" w:w="120"/>
            </w:tcMar>
            <w:vAlign w:val="center"/>
          </w:tcPr>
          <w:p>
            <w:pPr>
              <w:pStyle w:val="MdTableCell"/>
            </w:pPr>
            <w:r>
              <w:t xml:space="preserve">HIGH — IAAI fills historical/cultural gap</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Stanford</w:t>
            </w:r>
          </w:p>
        </w:tc>
        <w:tc>
          <w:tcPr>
            <w:tcMar>
              <w:top w:type="dxa" w:w="80"/>
              <w:left w:type="dxa" w:w="120"/>
              <w:bottom w:type="dxa" w:w="80"/>
              <w:right w:type="dxa" w:w="120"/>
            </w:tcMar>
            <w:vAlign w:val="center"/>
          </w:tcPr>
          <w:p>
            <w:pPr>
              <w:pStyle w:val="MdTableCell"/>
            </w:pPr>
            <w:r>
              <w:t xml:space="preserve">USA</w:t>
            </w:r>
          </w:p>
        </w:tc>
        <w:tc>
          <w:tcPr>
            <w:tcMar>
              <w:top w:type="dxa" w:w="80"/>
              <w:left w:type="dxa" w:w="120"/>
              <w:bottom w:type="dxa" w:w="80"/>
              <w:right w:type="dxa" w:w="120"/>
            </w:tcMar>
            <w:vAlign w:val="center"/>
          </w:tcPr>
          <w:p>
            <w:pPr>
              <w:pStyle w:val="MdTableCell"/>
            </w:pPr>
            <w:r>
              <w:t xml:space="preserve">44</w:t>
            </w:r>
          </w:p>
        </w:tc>
        <w:tc>
          <w:tcPr>
            <w:tcMar>
              <w:top w:type="dxa" w:w="80"/>
              <w:left w:type="dxa" w:w="120"/>
              <w:bottom w:type="dxa" w:w="80"/>
              <w:right w:type="dxa" w:w="120"/>
            </w:tcMar>
            <w:vAlign w:val="center"/>
          </w:tcPr>
          <w:p>
            <w:pPr>
              <w:pStyle w:val="MdTableCell"/>
            </w:pPr>
            <w:r>
              <w:t xml:space="preserve">38</w:t>
            </w:r>
          </w:p>
        </w:tc>
        <w:tc>
          <w:tcPr>
            <w:tcMar>
              <w:top w:type="dxa" w:w="80"/>
              <w:left w:type="dxa" w:w="120"/>
              <w:bottom w:type="dxa" w:w="80"/>
              <w:right w:type="dxa" w:w="120"/>
            </w:tcMar>
            <w:vAlign w:val="center"/>
          </w:tcPr>
          <w:p>
            <w:pPr>
              <w:pStyle w:val="MdTableCell"/>
            </w:pPr>
            <w:r>
              <w:t xml:space="preserve">82</w:t>
            </w:r>
          </w:p>
        </w:tc>
        <w:tc>
          <w:tcPr>
            <w:tcBorders>
              <w:right w:val="none"/>
            </w:tcBorders>
            <w:tcMar>
              <w:top w:type="dxa" w:w="80"/>
              <w:left w:type="dxa" w:w="120"/>
              <w:bottom w:type="dxa" w:w="80"/>
              <w:right w:type="dxa" w:w="120"/>
            </w:tcMar>
            <w:vAlign w:val="center"/>
          </w:tcPr>
          <w:p>
            <w:pPr>
              <w:pStyle w:val="MdTableCell"/>
            </w:pPr>
            <w:r>
              <w:t xml:space="preserve">HIGH — "people-oriented" philosophy aligns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NUS</w:t>
            </w:r>
          </w:p>
        </w:tc>
        <w:tc>
          <w:tcPr>
            <w:tcMar>
              <w:top w:type="dxa" w:w="80"/>
              <w:left w:type="dxa" w:w="120"/>
              <w:bottom w:type="dxa" w:w="80"/>
              <w:right w:type="dxa" w:w="120"/>
            </w:tcMar>
            <w:vAlign w:val="center"/>
          </w:tcPr>
          <w:p>
            <w:pPr>
              <w:pStyle w:val="MdTableCell"/>
            </w:pPr>
            <w:r>
              <w:t xml:space="preserve">Asia</w:t>
            </w:r>
          </w:p>
        </w:tc>
        <w:tc>
          <w:tcPr>
            <w:tcMar>
              <w:top w:type="dxa" w:w="80"/>
              <w:left w:type="dxa" w:w="120"/>
              <w:bottom w:type="dxa" w:w="80"/>
              <w:right w:type="dxa" w:w="120"/>
            </w:tcMar>
            <w:vAlign w:val="center"/>
          </w:tcPr>
          <w:p>
            <w:pPr>
              <w:pStyle w:val="MdTableCell"/>
            </w:pPr>
            <w:r>
              <w:t xml:space="preserve">40</w:t>
            </w:r>
          </w:p>
        </w:tc>
        <w:tc>
          <w:tcPr>
            <w:tcMar>
              <w:top w:type="dxa" w:w="80"/>
              <w:left w:type="dxa" w:w="120"/>
              <w:bottom w:type="dxa" w:w="80"/>
              <w:right w:type="dxa" w:w="120"/>
            </w:tcMar>
            <w:vAlign w:val="center"/>
          </w:tcPr>
          <w:p>
            <w:pPr>
              <w:pStyle w:val="MdTableCell"/>
            </w:pPr>
            <w:r>
              <w:t xml:space="preserve">38</w:t>
            </w:r>
          </w:p>
        </w:tc>
        <w:tc>
          <w:tcPr>
            <w:tcMar>
              <w:top w:type="dxa" w:w="80"/>
              <w:left w:type="dxa" w:w="120"/>
              <w:bottom w:type="dxa" w:w="80"/>
              <w:right w:type="dxa" w:w="120"/>
            </w:tcMar>
            <w:vAlign w:val="center"/>
          </w:tcPr>
          <w:p>
            <w:pPr>
              <w:pStyle w:val="MdTableCell"/>
            </w:pPr>
            <w:r>
              <w:t xml:space="preserve">78</w:t>
            </w:r>
          </w:p>
        </w:tc>
        <w:tc>
          <w:tcPr>
            <w:tcBorders>
              <w:right w:val="none"/>
            </w:tcBorders>
            <w:tcMar>
              <w:top w:type="dxa" w:w="80"/>
              <w:left w:type="dxa" w:w="120"/>
              <w:bottom w:type="dxa" w:w="80"/>
              <w:right w:type="dxa" w:w="120"/>
            </w:tcMar>
            <w:vAlign w:val="center"/>
          </w:tcPr>
          <w:p>
            <w:pPr>
              <w:pStyle w:val="MdTableCell"/>
            </w:pPr>
            <w:r>
              <w:t xml:space="preserve">MODERATE — already moving toward IAAI model</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Tsinghua</w:t>
            </w:r>
          </w:p>
        </w:tc>
        <w:tc>
          <w:tcPr>
            <w:tcMar>
              <w:top w:type="dxa" w:w="80"/>
              <w:left w:type="dxa" w:w="120"/>
              <w:bottom w:type="dxa" w:w="80"/>
              <w:right w:type="dxa" w:w="120"/>
            </w:tcMar>
            <w:vAlign w:val="center"/>
          </w:tcPr>
          <w:p>
            <w:pPr>
              <w:pStyle w:val="MdTableCell"/>
            </w:pPr>
            <w:r>
              <w:t xml:space="preserve">Asia</w:t>
            </w:r>
          </w:p>
        </w:tc>
        <w:tc>
          <w:tcPr>
            <w:tcMar>
              <w:top w:type="dxa" w:w="80"/>
              <w:left w:type="dxa" w:w="120"/>
              <w:bottom w:type="dxa" w:w="80"/>
              <w:right w:type="dxa" w:w="120"/>
            </w:tcMar>
            <w:vAlign w:val="center"/>
          </w:tcPr>
          <w:p>
            <w:pPr>
              <w:pStyle w:val="MdTableCell"/>
            </w:pPr>
            <w:r>
              <w:t xml:space="preserve">40</w:t>
            </w:r>
          </w:p>
        </w:tc>
        <w:tc>
          <w:tcPr>
            <w:tcMar>
              <w:top w:type="dxa" w:w="80"/>
              <w:left w:type="dxa" w:w="120"/>
              <w:bottom w:type="dxa" w:w="80"/>
              <w:right w:type="dxa" w:w="120"/>
            </w:tcMar>
            <w:vAlign w:val="center"/>
          </w:tcPr>
          <w:p>
            <w:pPr>
              <w:pStyle w:val="MdTableCell"/>
            </w:pPr>
            <w:r>
              <w:t xml:space="preserve">31</w:t>
            </w:r>
          </w:p>
        </w:tc>
        <w:tc>
          <w:tcPr>
            <w:tcMar>
              <w:top w:type="dxa" w:w="80"/>
              <w:left w:type="dxa" w:w="120"/>
              <w:bottom w:type="dxa" w:w="80"/>
              <w:right w:type="dxa" w:w="120"/>
            </w:tcMar>
            <w:vAlign w:val="center"/>
          </w:tcPr>
          <w:p>
            <w:pPr>
              <w:pStyle w:val="MdTableCell"/>
            </w:pPr>
            <w:r>
              <w:t xml:space="preserve">71</w:t>
            </w:r>
          </w:p>
        </w:tc>
        <w:tc>
          <w:tcPr>
            <w:tcBorders>
              <w:right w:val="none"/>
            </w:tcBorders>
            <w:tcMar>
              <w:top w:type="dxa" w:w="80"/>
              <w:left w:type="dxa" w:w="120"/>
              <w:bottom w:type="dxa" w:w="80"/>
              <w:right w:type="dxa" w:w="120"/>
            </w:tcMar>
            <w:vAlign w:val="center"/>
          </w:tcPr>
          <w:p>
            <w:pPr>
              <w:pStyle w:val="MdTableCell"/>
            </w:pPr>
            <w:r>
              <w:t xml:space="preserve">MODERATE — cultural depth already embedded</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UC Berkeley</w:t>
            </w:r>
          </w:p>
        </w:tc>
        <w:tc>
          <w:tcPr>
            <w:tcMar>
              <w:top w:type="dxa" w:w="80"/>
              <w:left w:type="dxa" w:w="120"/>
              <w:bottom w:type="dxa" w:w="80"/>
              <w:right w:type="dxa" w:w="120"/>
            </w:tcMar>
            <w:vAlign w:val="center"/>
          </w:tcPr>
          <w:p>
            <w:pPr>
              <w:pStyle w:val="MdTableCell"/>
            </w:pPr>
            <w:r>
              <w:t xml:space="preserve">USA</w:t>
            </w:r>
          </w:p>
        </w:tc>
        <w:tc>
          <w:tcPr>
            <w:tcMar>
              <w:top w:type="dxa" w:w="80"/>
              <w:left w:type="dxa" w:w="120"/>
              <w:bottom w:type="dxa" w:w="80"/>
              <w:right w:type="dxa" w:w="120"/>
            </w:tcMar>
            <w:vAlign w:val="center"/>
          </w:tcPr>
          <w:p>
            <w:pPr>
              <w:pStyle w:val="MdTableCell"/>
            </w:pPr>
            <w:r>
              <w:t xml:space="preserve">39</w:t>
            </w:r>
          </w:p>
        </w:tc>
        <w:tc>
          <w:tcPr>
            <w:tcMar>
              <w:top w:type="dxa" w:w="80"/>
              <w:left w:type="dxa" w:w="120"/>
              <w:bottom w:type="dxa" w:w="80"/>
              <w:right w:type="dxa" w:w="120"/>
            </w:tcMar>
            <w:vAlign w:val="center"/>
          </w:tcPr>
          <w:p>
            <w:pPr>
              <w:pStyle w:val="MdTableCell"/>
            </w:pPr>
            <w:r>
              <w:t xml:space="preserve">34</w:t>
            </w:r>
          </w:p>
        </w:tc>
        <w:tc>
          <w:tcPr>
            <w:tcMar>
              <w:top w:type="dxa" w:w="80"/>
              <w:left w:type="dxa" w:w="120"/>
              <w:bottom w:type="dxa" w:w="80"/>
              <w:right w:type="dxa" w:w="120"/>
            </w:tcMar>
            <w:vAlign w:val="center"/>
          </w:tcPr>
          <w:p>
            <w:pPr>
              <w:pStyle w:val="MdTableCell"/>
            </w:pPr>
            <w:r>
              <w:t xml:space="preserve">73</w:t>
            </w:r>
          </w:p>
        </w:tc>
        <w:tc>
          <w:tcPr>
            <w:tcBorders>
              <w:right w:val="none"/>
            </w:tcBorders>
            <w:tcMar>
              <w:top w:type="dxa" w:w="80"/>
              <w:left w:type="dxa" w:w="120"/>
              <w:bottom w:type="dxa" w:w="80"/>
              <w:right w:type="dxa" w:w="120"/>
            </w:tcMar>
            <w:vAlign w:val="center"/>
          </w:tcPr>
          <w:p>
            <w:pPr>
              <w:pStyle w:val="MdTableCell"/>
            </w:pPr>
            <w:r>
              <w:t xml:space="preserve">HIGH — IAAI fills systems/historical gap</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KFUPM</w:t>
            </w:r>
          </w:p>
        </w:tc>
        <w:tc>
          <w:tcPr>
            <w:tcMar>
              <w:top w:type="dxa" w:w="80"/>
              <w:left w:type="dxa" w:w="120"/>
              <w:bottom w:type="dxa" w:w="80"/>
              <w:right w:type="dxa" w:w="120"/>
            </w:tcMar>
            <w:vAlign w:val="center"/>
          </w:tcPr>
          <w:p>
            <w:pPr>
              <w:pStyle w:val="MdTableCell"/>
            </w:pPr>
            <w:r>
              <w:t xml:space="preserve">ME</w:t>
            </w:r>
          </w:p>
        </w:tc>
        <w:tc>
          <w:tcPr>
            <w:tcMar>
              <w:top w:type="dxa" w:w="80"/>
              <w:left w:type="dxa" w:w="120"/>
              <w:bottom w:type="dxa" w:w="80"/>
              <w:right w:type="dxa" w:w="120"/>
            </w:tcMar>
            <w:vAlign w:val="center"/>
          </w:tcPr>
          <w:p>
            <w:pPr>
              <w:pStyle w:val="MdTableCell"/>
            </w:pPr>
            <w:r>
              <w:t xml:space="preserve">38</w:t>
            </w:r>
          </w:p>
        </w:tc>
        <w:tc>
          <w:tcPr>
            <w:tcMar>
              <w:top w:type="dxa" w:w="80"/>
              <w:left w:type="dxa" w:w="120"/>
              <w:bottom w:type="dxa" w:w="80"/>
              <w:right w:type="dxa" w:w="120"/>
            </w:tcMar>
            <w:vAlign w:val="center"/>
          </w:tcPr>
          <w:p>
            <w:pPr>
              <w:pStyle w:val="MdTableCell"/>
            </w:pPr>
            <w:r>
              <w:t xml:space="preserve">31</w:t>
            </w:r>
          </w:p>
        </w:tc>
        <w:tc>
          <w:tcPr>
            <w:tcMar>
              <w:top w:type="dxa" w:w="80"/>
              <w:left w:type="dxa" w:w="120"/>
              <w:bottom w:type="dxa" w:w="80"/>
              <w:right w:type="dxa" w:w="120"/>
            </w:tcMar>
            <w:vAlign w:val="center"/>
          </w:tcPr>
          <w:p>
            <w:pPr>
              <w:pStyle w:val="MdTableCell"/>
            </w:pPr>
            <w:r>
              <w:t xml:space="preserve">69</w:t>
            </w:r>
          </w:p>
        </w:tc>
        <w:tc>
          <w:tcPr>
            <w:tcBorders>
              <w:right w:val="none"/>
            </w:tcBorders>
            <w:tcMar>
              <w:top w:type="dxa" w:w="80"/>
              <w:left w:type="dxa" w:w="120"/>
              <w:bottom w:type="dxa" w:w="80"/>
              <w:right w:type="dxa" w:w="120"/>
            </w:tcMar>
            <w:vAlign w:val="center"/>
          </w:tcPr>
          <w:p>
            <w:pPr>
              <w:pStyle w:val="MdTableCell"/>
            </w:pPr>
            <w:r>
              <w:t xml:space="preserve">VERY HIGH — IAAI provides historical depth for Vision 2030</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IIT Bombay</w:t>
            </w:r>
          </w:p>
        </w:tc>
        <w:tc>
          <w:tcPr>
            <w:tcMar>
              <w:top w:type="dxa" w:w="80"/>
              <w:left w:type="dxa" w:w="120"/>
              <w:bottom w:type="dxa" w:w="80"/>
              <w:right w:type="dxa" w:w="120"/>
            </w:tcMar>
            <w:vAlign w:val="center"/>
          </w:tcPr>
          <w:p>
            <w:pPr>
              <w:pStyle w:val="MdTableCell"/>
            </w:pPr>
            <w:r>
              <w:t xml:space="preserve">Asia</w:t>
            </w:r>
          </w:p>
        </w:tc>
        <w:tc>
          <w:tcPr>
            <w:tcMar>
              <w:top w:type="dxa" w:w="80"/>
              <w:left w:type="dxa" w:w="120"/>
              <w:bottom w:type="dxa" w:w="80"/>
              <w:right w:type="dxa" w:w="120"/>
            </w:tcMar>
            <w:vAlign w:val="center"/>
          </w:tcPr>
          <w:p>
            <w:pPr>
              <w:pStyle w:val="MdTableCell"/>
            </w:pPr>
            <w:r>
              <w:t xml:space="preserve">37</w:t>
            </w:r>
          </w:p>
        </w:tc>
        <w:tc>
          <w:tcPr>
            <w:tcMar>
              <w:top w:type="dxa" w:w="80"/>
              <w:left w:type="dxa" w:w="120"/>
              <w:bottom w:type="dxa" w:w="80"/>
              <w:right w:type="dxa" w:w="120"/>
            </w:tcMar>
            <w:vAlign w:val="center"/>
          </w:tcPr>
          <w:p>
            <w:pPr>
              <w:pStyle w:val="MdTableCell"/>
            </w:pPr>
            <w:r>
              <w:t xml:space="preserve">30</w:t>
            </w:r>
          </w:p>
        </w:tc>
        <w:tc>
          <w:tcPr>
            <w:tcMar>
              <w:top w:type="dxa" w:w="80"/>
              <w:left w:type="dxa" w:w="120"/>
              <w:bottom w:type="dxa" w:w="80"/>
              <w:right w:type="dxa" w:w="120"/>
            </w:tcMar>
            <w:vAlign w:val="center"/>
          </w:tcPr>
          <w:p>
            <w:pPr>
              <w:pStyle w:val="MdTableCell"/>
            </w:pPr>
            <w:r>
              <w:t xml:space="preserve">67</w:t>
            </w:r>
          </w:p>
        </w:tc>
        <w:tc>
          <w:tcPr>
            <w:tcBorders>
              <w:right w:val="none"/>
            </w:tcBorders>
            <w:tcMar>
              <w:top w:type="dxa" w:w="80"/>
              <w:left w:type="dxa" w:w="120"/>
              <w:bottom w:type="dxa" w:w="80"/>
              <w:right w:type="dxa" w:w="120"/>
            </w:tcMar>
            <w:vAlign w:val="center"/>
          </w:tcPr>
          <w:p>
            <w:pPr>
              <w:pStyle w:val="MdTableCell"/>
            </w:pPr>
            <w:r>
              <w:t xml:space="preserve">HIGH — IAAI fills cross-cultural gap</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Imperial</w:t>
            </w:r>
          </w:p>
        </w:tc>
        <w:tc>
          <w:tcPr>
            <w:tcMar>
              <w:top w:type="dxa" w:w="80"/>
              <w:left w:type="dxa" w:w="120"/>
              <w:bottom w:type="dxa" w:w="80"/>
              <w:right w:type="dxa" w:w="120"/>
            </w:tcMar>
            <w:vAlign w:val="center"/>
          </w:tcPr>
          <w:p>
            <w:pPr>
              <w:pStyle w:val="MdTableCell"/>
            </w:pPr>
            <w:r>
              <w:t xml:space="preserve">UK</w:t>
            </w:r>
          </w:p>
        </w:tc>
        <w:tc>
          <w:tcPr>
            <w:tcMar>
              <w:top w:type="dxa" w:w="80"/>
              <w:left w:type="dxa" w:w="120"/>
              <w:bottom w:type="dxa" w:w="80"/>
              <w:right w:type="dxa" w:w="120"/>
            </w:tcMar>
            <w:vAlign w:val="center"/>
          </w:tcPr>
          <w:p>
            <w:pPr>
              <w:pStyle w:val="MdTableCell"/>
            </w:pPr>
            <w:r>
              <w:t xml:space="preserve">36</w:t>
            </w:r>
          </w:p>
        </w:tc>
        <w:tc>
          <w:tcPr>
            <w:tcMar>
              <w:top w:type="dxa" w:w="80"/>
              <w:left w:type="dxa" w:w="120"/>
              <w:bottom w:type="dxa" w:w="80"/>
              <w:right w:type="dxa" w:w="120"/>
            </w:tcMar>
            <w:vAlign w:val="center"/>
          </w:tcPr>
          <w:p>
            <w:pPr>
              <w:pStyle w:val="MdTableCell"/>
            </w:pPr>
            <w:r>
              <w:t xml:space="preserve">32</w:t>
            </w:r>
          </w:p>
        </w:tc>
        <w:tc>
          <w:tcPr>
            <w:tcMar>
              <w:top w:type="dxa" w:w="80"/>
              <w:left w:type="dxa" w:w="120"/>
              <w:bottom w:type="dxa" w:w="80"/>
              <w:right w:type="dxa" w:w="120"/>
            </w:tcMar>
            <w:vAlign w:val="center"/>
          </w:tcPr>
          <w:p>
            <w:pPr>
              <w:pStyle w:val="MdTableCell"/>
            </w:pPr>
            <w:r>
              <w:t xml:space="preserve">68</w:t>
            </w:r>
          </w:p>
        </w:tc>
        <w:tc>
          <w:tcPr>
            <w:tcBorders>
              <w:right w:val="none"/>
            </w:tcBorders>
            <w:tcMar>
              <w:top w:type="dxa" w:w="80"/>
              <w:left w:type="dxa" w:w="120"/>
              <w:bottom w:type="dxa" w:w="80"/>
              <w:right w:type="dxa" w:w="120"/>
            </w:tcMar>
            <w:vAlign w:val="center"/>
          </w:tcPr>
          <w:p>
            <w:pPr>
              <w:pStyle w:val="MdTableCell"/>
            </w:pPr>
            <w:r>
              <w:t xml:space="preserve">HIGH — IAAI fills interdisciplinary/cultural gap</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Cambridge</w:t>
            </w:r>
          </w:p>
        </w:tc>
        <w:tc>
          <w:tcPr>
            <w:tcMar>
              <w:top w:type="dxa" w:w="80"/>
              <w:left w:type="dxa" w:w="120"/>
              <w:bottom w:type="dxa" w:w="80"/>
              <w:right w:type="dxa" w:w="120"/>
            </w:tcMar>
            <w:vAlign w:val="center"/>
          </w:tcPr>
          <w:p>
            <w:pPr>
              <w:pStyle w:val="MdTableCell"/>
            </w:pPr>
            <w:r>
              <w:t xml:space="preserve">UK</w:t>
            </w:r>
          </w:p>
        </w:tc>
        <w:tc>
          <w:tcPr>
            <w:tcMar>
              <w:top w:type="dxa" w:w="80"/>
              <w:left w:type="dxa" w:w="120"/>
              <w:bottom w:type="dxa" w:w="80"/>
              <w:right w:type="dxa" w:w="120"/>
            </w:tcMar>
            <w:vAlign w:val="center"/>
          </w:tcPr>
          <w:p>
            <w:pPr>
              <w:pStyle w:val="MdTableCell"/>
            </w:pPr>
            <w:r>
              <w:t xml:space="preserve">36</w:t>
            </w:r>
          </w:p>
        </w:tc>
        <w:tc>
          <w:tcPr>
            <w:tcMar>
              <w:top w:type="dxa" w:w="80"/>
              <w:left w:type="dxa" w:w="120"/>
              <w:bottom w:type="dxa" w:w="80"/>
              <w:right w:type="dxa" w:w="120"/>
            </w:tcMar>
            <w:vAlign w:val="center"/>
          </w:tcPr>
          <w:p>
            <w:pPr>
              <w:pStyle w:val="MdTableCell"/>
            </w:pPr>
            <w:r>
              <w:t xml:space="preserve">36</w:t>
            </w:r>
          </w:p>
        </w:tc>
        <w:tc>
          <w:tcPr>
            <w:tcMar>
              <w:top w:type="dxa" w:w="80"/>
              <w:left w:type="dxa" w:w="120"/>
              <w:bottom w:type="dxa" w:w="80"/>
              <w:right w:type="dxa" w:w="120"/>
            </w:tcMar>
            <w:vAlign w:val="center"/>
          </w:tcPr>
          <w:p>
            <w:pPr>
              <w:pStyle w:val="MdTableCell"/>
            </w:pPr>
            <w:r>
              <w:t xml:space="preserve">72</w:t>
            </w:r>
          </w:p>
        </w:tc>
        <w:tc>
          <w:tcPr>
            <w:tcBorders>
              <w:right w:val="none"/>
            </w:tcBorders>
            <w:tcMar>
              <w:top w:type="dxa" w:w="80"/>
              <w:left w:type="dxa" w:w="120"/>
              <w:bottom w:type="dxa" w:w="80"/>
              <w:right w:type="dxa" w:w="120"/>
            </w:tcMar>
            <w:vAlign w:val="center"/>
          </w:tcPr>
          <w:p>
            <w:pPr>
              <w:pStyle w:val="MdTableCell"/>
            </w:pPr>
            <w:r>
              <w:t xml:space="preserve">MODERATE — already cross-disciplinary</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Khalifa</w:t>
            </w:r>
          </w:p>
        </w:tc>
        <w:tc>
          <w:tcPr>
            <w:tcMar>
              <w:top w:type="dxa" w:w="80"/>
              <w:left w:type="dxa" w:w="120"/>
              <w:bottom w:type="dxa" w:w="80"/>
              <w:right w:type="dxa" w:w="120"/>
            </w:tcMar>
            <w:vAlign w:val="center"/>
          </w:tcPr>
          <w:p>
            <w:pPr>
              <w:pStyle w:val="MdTableCell"/>
            </w:pPr>
            <w:r>
              <w:t xml:space="preserve">ME</w:t>
            </w:r>
          </w:p>
        </w:tc>
        <w:tc>
          <w:tcPr>
            <w:tcMar>
              <w:top w:type="dxa" w:w="80"/>
              <w:left w:type="dxa" w:w="120"/>
              <w:bottom w:type="dxa" w:w="80"/>
              <w:right w:type="dxa" w:w="120"/>
            </w:tcMar>
            <w:vAlign w:val="center"/>
          </w:tcPr>
          <w:p>
            <w:pPr>
              <w:pStyle w:val="MdTableCell"/>
            </w:pPr>
            <w:r>
              <w:t xml:space="preserve">36</w:t>
            </w:r>
          </w:p>
        </w:tc>
        <w:tc>
          <w:tcPr>
            <w:tcMar>
              <w:top w:type="dxa" w:w="80"/>
              <w:left w:type="dxa" w:w="120"/>
              <w:bottom w:type="dxa" w:w="80"/>
              <w:right w:type="dxa" w:w="120"/>
            </w:tcMar>
            <w:vAlign w:val="center"/>
          </w:tcPr>
          <w:p>
            <w:pPr>
              <w:pStyle w:val="MdTableCell"/>
            </w:pPr>
            <w:r>
              <w:t xml:space="preserve">31</w:t>
            </w:r>
          </w:p>
        </w:tc>
        <w:tc>
          <w:tcPr>
            <w:tcMar>
              <w:top w:type="dxa" w:w="80"/>
              <w:left w:type="dxa" w:w="120"/>
              <w:bottom w:type="dxa" w:w="80"/>
              <w:right w:type="dxa" w:w="120"/>
            </w:tcMar>
            <w:vAlign w:val="center"/>
          </w:tcPr>
          <w:p>
            <w:pPr>
              <w:pStyle w:val="MdTableCell"/>
            </w:pPr>
            <w:r>
              <w:t xml:space="preserve">67</w:t>
            </w:r>
          </w:p>
        </w:tc>
        <w:tc>
          <w:tcPr>
            <w:tcBorders>
              <w:right w:val="none"/>
            </w:tcBorders>
            <w:tcMar>
              <w:top w:type="dxa" w:w="80"/>
              <w:left w:type="dxa" w:w="120"/>
              <w:bottom w:type="dxa" w:w="80"/>
              <w:right w:type="dxa" w:w="120"/>
            </w:tcMar>
            <w:vAlign w:val="center"/>
          </w:tcPr>
          <w:p>
            <w:pPr>
              <w:pStyle w:val="MdTableCell"/>
            </w:pPr>
            <w:r>
              <w:t xml:space="preserve">VERY HIGH — infrastructure-first language aligns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Qatar U</w:t>
            </w:r>
          </w:p>
        </w:tc>
        <w:tc>
          <w:tcPr>
            <w:tcMar>
              <w:top w:type="dxa" w:w="80"/>
              <w:left w:type="dxa" w:w="120"/>
              <w:bottom w:type="dxa" w:w="80"/>
              <w:right w:type="dxa" w:w="120"/>
            </w:tcMar>
            <w:vAlign w:val="center"/>
          </w:tcPr>
          <w:p>
            <w:pPr>
              <w:pStyle w:val="MdTableCell"/>
            </w:pPr>
            <w:r>
              <w:t xml:space="preserve">ME</w:t>
            </w:r>
          </w:p>
        </w:tc>
        <w:tc>
          <w:tcPr>
            <w:tcMar>
              <w:top w:type="dxa" w:w="80"/>
              <w:left w:type="dxa" w:w="120"/>
              <w:bottom w:type="dxa" w:w="80"/>
              <w:right w:type="dxa" w:w="120"/>
            </w:tcMar>
            <w:vAlign w:val="center"/>
          </w:tcPr>
          <w:p>
            <w:pPr>
              <w:pStyle w:val="MdTableCell"/>
            </w:pPr>
            <w:r>
              <w:t xml:space="preserve">32</w:t>
            </w:r>
          </w:p>
        </w:tc>
        <w:tc>
          <w:tcPr>
            <w:tcMar>
              <w:top w:type="dxa" w:w="80"/>
              <w:left w:type="dxa" w:w="120"/>
              <w:bottom w:type="dxa" w:w="80"/>
              <w:right w:type="dxa" w:w="120"/>
            </w:tcMar>
            <w:vAlign w:val="center"/>
          </w:tcPr>
          <w:p>
            <w:pPr>
              <w:pStyle w:val="MdTableCell"/>
            </w:pPr>
            <w:r>
              <w:t xml:space="preserve">27</w:t>
            </w:r>
          </w:p>
        </w:tc>
        <w:tc>
          <w:tcPr>
            <w:tcMar>
              <w:top w:type="dxa" w:w="80"/>
              <w:left w:type="dxa" w:w="120"/>
              <w:bottom w:type="dxa" w:w="80"/>
              <w:right w:type="dxa" w:w="120"/>
            </w:tcMar>
            <w:vAlign w:val="center"/>
          </w:tcPr>
          <w:p>
            <w:pPr>
              <w:pStyle w:val="MdTableCell"/>
            </w:pPr>
            <w:r>
              <w:t xml:space="preserve">59</w:t>
            </w:r>
          </w:p>
        </w:tc>
        <w:tc>
          <w:tcPr>
            <w:tcBorders>
              <w:right w:val="none"/>
            </w:tcBorders>
            <w:tcMar>
              <w:top w:type="dxa" w:w="80"/>
              <w:left w:type="dxa" w:w="120"/>
              <w:bottom w:type="dxa" w:w="80"/>
              <w:right w:type="dxa" w:w="120"/>
            </w:tcMar>
            <w:vAlign w:val="center"/>
          </w:tcPr>
          <w:p>
            <w:pPr>
              <w:pStyle w:val="MdTableCell"/>
            </w:pPr>
            <w:r>
              <w:t xml:space="preserve">VERY HIGH — IAAI provides global context for local building</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Nottingham</w:t>
            </w:r>
          </w:p>
        </w:tc>
        <w:tc>
          <w:tcPr>
            <w:tcMar>
              <w:top w:type="dxa" w:w="80"/>
              <w:left w:type="dxa" w:w="120"/>
              <w:bottom w:type="dxa" w:w="80"/>
              <w:right w:type="dxa" w:w="120"/>
            </w:tcMar>
            <w:vAlign w:val="center"/>
          </w:tcPr>
          <w:p>
            <w:pPr>
              <w:pStyle w:val="MdTableCell"/>
            </w:pPr>
            <w:r>
              <w:t xml:space="preserve">UK</w:t>
            </w:r>
          </w:p>
        </w:tc>
        <w:tc>
          <w:tcPr>
            <w:tcMar>
              <w:top w:type="dxa" w:w="80"/>
              <w:left w:type="dxa" w:w="120"/>
              <w:bottom w:type="dxa" w:w="80"/>
              <w:right w:type="dxa" w:w="120"/>
            </w:tcMar>
            <w:vAlign w:val="center"/>
          </w:tcPr>
          <w:p>
            <w:pPr>
              <w:pStyle w:val="MdTableCell"/>
            </w:pPr>
            <w:r>
              <w:t xml:space="preserve">31</w:t>
            </w:r>
          </w:p>
        </w:tc>
        <w:tc>
          <w:tcPr>
            <w:tcMar>
              <w:top w:type="dxa" w:w="80"/>
              <w:left w:type="dxa" w:w="120"/>
              <w:bottom w:type="dxa" w:w="80"/>
              <w:right w:type="dxa" w:w="120"/>
            </w:tcMar>
            <w:vAlign w:val="center"/>
          </w:tcPr>
          <w:p>
            <w:pPr>
              <w:pStyle w:val="MdTableCell"/>
            </w:pPr>
            <w:r>
              <w:t xml:space="preserve">26</w:t>
            </w:r>
          </w:p>
        </w:tc>
        <w:tc>
          <w:tcPr>
            <w:tcMar>
              <w:top w:type="dxa" w:w="80"/>
              <w:left w:type="dxa" w:w="120"/>
              <w:bottom w:type="dxa" w:w="80"/>
              <w:right w:type="dxa" w:w="120"/>
            </w:tcMar>
            <w:vAlign w:val="center"/>
          </w:tcPr>
          <w:p>
            <w:pPr>
              <w:pStyle w:val="MdTableCell"/>
            </w:pPr>
            <w:r>
              <w:t xml:space="preserve">57</w:t>
            </w:r>
          </w:p>
        </w:tc>
        <w:tc>
          <w:tcPr>
            <w:tcBorders>
              <w:right w:val="none"/>
            </w:tcBorders>
            <w:tcMar>
              <w:top w:type="dxa" w:w="80"/>
              <w:left w:type="dxa" w:w="120"/>
              <w:bottom w:type="dxa" w:w="80"/>
              <w:right w:type="dxa" w:w="120"/>
            </w:tcMar>
            <w:vAlign w:val="center"/>
          </w:tcPr>
          <w:p>
            <w:pPr>
              <w:pStyle w:val="MdTableCell"/>
            </w:pPr>
            <w:r>
              <w:t xml:space="preserve">HIGH — IAAI fills almost every non-technical gap</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rPr>
                <w:rStyle w:val="MdStrong"/>
                <w:b/>
                <w:bCs/>
              </w:rPr>
              <w:t xml:space="preserve">IAAI</w:t>
            </w:r>
          </w:p>
        </w:tc>
        <w:tc>
          <w:tcPr>
            <w:tcBorders>
              <w:bottom w:val="single" w:color="E1E4E8" w:sz="4"/>
            </w:tcBorders>
            <w:tcMar>
              <w:top w:type="dxa" w:w="80"/>
              <w:left w:type="dxa" w:w="120"/>
              <w:bottom w:type="dxa" w:w="80"/>
              <w:right w:type="dxa" w:w="120"/>
            </w:tcMar>
            <w:vAlign w:val="center"/>
          </w:tcPr>
          <w:p>
            <w:pPr>
              <w:pStyle w:val="MdTableCell"/>
            </w:pPr>
            <w:r>
              <w:rPr>
                <w:rStyle w:val="MdStrong"/>
                <w:b/>
                <w:bCs/>
              </w:rPr>
              <w:t xml:space="preserve">Global</w:t>
            </w:r>
          </w:p>
        </w:tc>
        <w:tc>
          <w:tcPr>
            <w:tcBorders>
              <w:bottom w:val="single" w:color="E1E4E8" w:sz="4"/>
            </w:tcBorders>
            <w:tcMar>
              <w:top w:type="dxa" w:w="80"/>
              <w:left w:type="dxa" w:w="120"/>
              <w:bottom w:type="dxa" w:w="80"/>
              <w:right w:type="dxa" w:w="120"/>
            </w:tcMar>
            <w:vAlign w:val="center"/>
          </w:tcPr>
          <w:p>
            <w:pPr>
              <w:pStyle w:val="MdTableCell"/>
            </w:pPr>
            <w:r>
              <w:rPr>
                <w:rStyle w:val="MdStrong"/>
                <w:b/>
                <w:bCs/>
              </w:rPr>
              <w:t xml:space="preserve">47</w:t>
            </w:r>
          </w:p>
        </w:tc>
        <w:tc>
          <w:tcPr>
            <w:tcBorders>
              <w:bottom w:val="single" w:color="E1E4E8" w:sz="4"/>
            </w:tcBorders>
            <w:tcMar>
              <w:top w:type="dxa" w:w="80"/>
              <w:left w:type="dxa" w:w="120"/>
              <w:bottom w:type="dxa" w:w="80"/>
              <w:right w:type="dxa" w:w="120"/>
            </w:tcMar>
            <w:vAlign w:val="center"/>
          </w:tcPr>
          <w:p>
            <w:pPr>
              <w:pStyle w:val="MdTableCell"/>
            </w:pPr>
            <w:r>
              <w:rPr>
                <w:rStyle w:val="MdStrong"/>
                <w:b/>
                <w:bCs/>
              </w:rPr>
              <w:t xml:space="preserve">36</w:t>
            </w:r>
          </w:p>
        </w:tc>
        <w:tc>
          <w:tcPr>
            <w:tcBorders>
              <w:bottom w:val="single" w:color="E1E4E8" w:sz="4"/>
            </w:tcBorders>
            <w:tcMar>
              <w:top w:type="dxa" w:w="80"/>
              <w:left w:type="dxa" w:w="120"/>
              <w:bottom w:type="dxa" w:w="80"/>
              <w:right w:type="dxa" w:w="120"/>
            </w:tcMar>
            <w:vAlign w:val="center"/>
          </w:tcPr>
          <w:p>
            <w:pPr>
              <w:pStyle w:val="MdTableCell"/>
            </w:pPr>
            <w:r>
              <w:rPr>
                <w:rStyle w:val="MdStrong"/>
                <w:b/>
                <w:bCs/>
              </w:rPr>
              <w:t xml:space="preserve">83</w:t>
            </w:r>
          </w:p>
        </w:tc>
        <w:tc>
          <w:tcPr>
            <w:tcBorders>
              <w:bottom w:val="single" w:color="E1E4E8" w:sz="4"/>
              <w:right w:val="none"/>
            </w:tcBorders>
            <w:tcMar>
              <w:top w:type="dxa" w:w="80"/>
              <w:left w:type="dxa" w:w="120"/>
              <w:bottom w:type="dxa" w:w="80"/>
              <w:right w:type="dxa" w:w="120"/>
            </w:tcMar>
            <w:vAlign w:val="center"/>
          </w:tcPr>
          <w:p>
            <w:pPr>
              <w:pStyle w:val="MdTableCell"/>
            </w:pPr>
            <w:r>
              <w:rPr>
                <w:rStyle w:val="MdStrong"/>
                <w:b/>
                <w:bCs/>
              </w:rPr>
              <w:t xml:space="preserve">N/A — the benchmark itself</w:t>
            </w:r>
          </w:p>
        </w:tc>
      </w:tr>
    </w:tbl>
    <w:p>
      <w:pPr>
        <w:pStyle w:val="MdHr"/>
        <w:pBdr>
          <w:bottom w:val="single" w:color="auto" w:sz="6" w:space="1"/>
        </w:pBdr>
      </w:pPr>
    </w:p>
    <w:p>
      <w:pPr>
        <w:pStyle w:val="MdSpace"/>
        <w:spacing w:before="0" w:after="60"/>
      </w:pPr>
    </w:p>
    <w:p>
      <w:pPr>
        <w:pStyle w:val="Heading2"/>
        <w:pStyle w:val="MdHeading2"/>
      </w:pPr>
      <w:r>
        <w:t xml:space="preserve">Part 3: Key Cultural Observations by Region</w:t>
      </w:r>
    </w:p>
    <w:p>
      <w:pPr>
        <w:pStyle w:val="Heading3"/>
        <w:pStyle w:val="MdHeading3"/>
      </w:pPr>
      <w:r>
        <w:t xml:space="preserve">United Kingdom — The Establishment</w:t>
      </w:r>
    </w:p>
    <w:p>
      <w:pPr>
        <w:pStyle w:val="MdParagraph"/>
      </w:pPr>
      <w:r>
        <w:t xml:space="preserve">UK programmes are </w:t>
      </w:r>
      <w:r>
        <w:rPr>
          <w:rStyle w:val="MdStrong"/>
          <w:b/>
          <w:bCs/>
        </w:rPr>
        <w:t xml:space="preserve">specialisation-first</w:t>
      </w:r>
      <w:r>
        <w:t xml:space="preserve">: they teach you to be a civil engineer through prescribed, year-by-year structures leading to professional chartership. Historical context is almost entirely absent. The assumption is that students arrive knowing WHY infrastructure matters and need to learn HOW to build it. IAAI inverts this: it teaches WHY first, then points toward HOW. The two approaches are complementary, not competitive. IAAI would function as a pre-university or parallel enrichment programme for UK students — the philosophical foundation that the technical curriculum assumes but never provides.</w:t>
      </w:r>
    </w:p>
    <w:p>
      <w:pPr>
        <w:pStyle w:val="MdSpace"/>
        <w:spacing w:before="0" w:after="60"/>
      </w:pPr>
    </w:p>
    <w:p>
      <w:pPr>
        <w:pStyle w:val="Heading3"/>
        <w:pStyle w:val="MdHeading3"/>
      </w:pPr>
      <w:r>
        <w:t xml:space="preserve">Asia-Pacific — The Continuous Tradition</w:t>
      </w:r>
    </w:p>
    <w:p>
      <w:pPr>
        <w:pStyle w:val="MdParagraph"/>
      </w:pPr>
      <w:r>
        <w:t xml:space="preserve">Asian universities carry civilisational infrastructure knowledge in their cultural DNA. Tsinghua doesn't need to teach "why infrastructure matters" because Chinese students grow up with the Great Wall, the Grand Canal, and 12,000 years of continuous building. NUS is the most interesting case: Singapore is actively moving TOWARD IAAI's interdisciplinary model with its "Build Your Own Degree" approach. IIT Bombay exposes IAAI's biggest weakness most starkly — the absence of mathematical rigour. India's engineering tradition is numbers-first; IAAI is narrative-first. HKU (referenced in IAAI's Institutions page) embodies the Outrider position — neither purely East nor West.</w:t>
      </w:r>
    </w:p>
    <w:p>
      <w:pPr>
        <w:pStyle w:val="MdSpace"/>
        <w:spacing w:before="0" w:after="60"/>
      </w:pPr>
    </w:p>
    <w:p>
      <w:pPr>
        <w:pStyle w:val="Heading3"/>
        <w:pStyle w:val="MdHeading3"/>
      </w:pPr>
      <w:r>
        <w:t xml:space="preserve">United States — The Innovators</w:t>
      </w:r>
    </w:p>
    <w:p>
      <w:pPr>
        <w:pStyle w:val="MdParagraph"/>
      </w:pPr>
      <w:r>
        <w:t xml:space="preserve">US programmes are the most flexible and the most aligned with IAAI's interdisciplinary philosophy. MIT's "nano to global" framing, Stanford's "people-oriented + technical" approach, and Berkeley's "Economics &amp; Policy" core area all point toward the same systems-level thinking that IAAI advocates. The US is where IAAI has the highest natural affinity — American engineering education already values breadth, innovation, and cross-disciplinary thinking. The gap IAAI fills for US students is historical depth and civilisational context. American students know how to innovate; IAAI teaches them what they're innovating FROM.</w:t>
      </w:r>
    </w:p>
    <w:p>
      <w:pPr>
        <w:pStyle w:val="MdSpace"/>
        <w:spacing w:before="0" w:after="60"/>
      </w:pPr>
    </w:p>
    <w:p>
      <w:pPr>
        <w:pStyle w:val="Heading3"/>
        <w:pStyle w:val="MdHeading3"/>
      </w:pPr>
      <w:r>
        <w:t xml:space="preserve">Middle East — The Builders</w:t>
      </w:r>
    </w:p>
    <w:p>
      <w:pPr>
        <w:pStyle w:val="MdParagraph"/>
      </w:pPr>
      <w:r>
        <w:t xml:space="preserve">The Middle East is the most fertile ground for IAAI adoption. These nations are building at unprecedented scale RIGHT NOW — NEOM ($500B), Qatar World Cup infrastructure ($200B+), Masdar City, The Line. Their universities produce engineers for immediate deployment on megaprojects. What they lack is historical depth: WHY does infrastructure matter across 12,000 years? IAAI provides the civilisational context that transforms a construction worker into an infrastructure thinker. Khalifa University's use of "Civil Infrastructure" (not just "Civil Engineering") in its department name is closer to IAAI's language than any other university in this comparison. Qatar University's Arabic language requirement alongside engineering shows cultural identity preservation within technical education — a principle IAAI embodies through its cross-cultural relay framework.</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Part 4: The Olympiad Connection</w:t>
      </w:r>
    </w:p>
    <w:p>
      <w:pPr>
        <w:pStyle w:val="MdParagraph"/>
      </w:pPr>
      <w:r>
        <w:t xml:space="preserve">This 12-university benchmark is not merely an academic exercise. It IS the founding matrix for the Infrastructure Olympiad Challenge. Consider:</w:t>
      </w:r>
    </w:p>
    <w:p>
      <w:pPr>
        <w:pStyle w:val="MdSpace"/>
        <w:spacing w:before="0" w:after="60"/>
      </w:pPr>
    </w:p>
    <w:p>
      <w:pPr>
        <w:pStyle w:val="MdParagraph"/>
      </w:pPr>
      <w:r>
        <w:t xml:space="preserve">The 12 universities map to 12 different relationships with infrastructure. Imperial represents the historical establishment. MIT represents computational innovation. Tsinghua represents continuous tradition. KFUPM represents national reinvention. Each university's curriculum reveals what its civilisation VALUES about infrastructure — and what it NEGLECTS.</w:t>
      </w:r>
    </w:p>
    <w:p>
      <w:pPr>
        <w:pStyle w:val="MdSpace"/>
        <w:spacing w:before="0" w:after="60"/>
      </w:pPr>
    </w:p>
    <w:p>
      <w:pPr>
        <w:pStyle w:val="MdParagraph"/>
      </w:pPr>
      <w:r>
        <w:t xml:space="preserve">The Olympiad's first event could be precisely this exercise: "Map your university's curriculum to the 12 Civilisational Relays. Where are the gaps? Where are the strengths? What does your civilisation's engineering education reveal about its relationship with infrastructure?"</w:t>
      </w:r>
    </w:p>
    <w:p>
      <w:pPr>
        <w:pStyle w:val="MdSpace"/>
        <w:spacing w:before="0" w:after="60"/>
      </w:pPr>
    </w:p>
    <w:p>
      <w:pPr>
        <w:pStyle w:val="MdParagraph"/>
      </w:pPr>
      <w:r>
        <w:t xml:space="preserve">This transforms the benchmarking exercise from a static comparison into a dynamic, competitive, educational event. Students from MIT compete with students from Tsinghua, not on technical problems, but on civilisational understanding. The playing field is levelled because no single university covers all 12 relays — IAAI's combined score of 47/60 exceeds every individual university, which is precisely the point.</w:t>
      </w:r>
    </w:p>
    <w:p>
      <w:pPr>
        <w:pStyle w:val="MdSpace"/>
        <w:spacing w:before="0" w:after="60"/>
      </w:pPr>
    </w:p>
    <w:p>
      <w:pPr>
        <w:pStyle w:val="MdParagraph"/>
      </w:pPr>
      <w:r>
        <w:t xml:space="preserve">The 120 player nodes generated by this exercise (12 universities × ~10 simulated interactions each) join the existing beta testing cohort, creating a founding dataset for the Olympiad's scoring system.</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Part 5: Summary Verdict</w:t>
      </w:r>
    </w:p>
    <w:p>
      <w:pPr>
        <w:pStyle w:val="MdParagraph"/>
      </w:pPr>
      <w:r>
        <w:t xml:space="preserve">IAAI scores 83/110 on its own combined matrix — higher than any individual university. This is not because IAAI is "better" than MIT or Imperial. It is because IAAI measures something different: civilisational breadth rather than technical depth. The two are complementary. IAAI without mathematics is incomplete. MIT without historical context is incomplete. Together, they would be formidable.</w:t>
      </w:r>
    </w:p>
    <w:p>
      <w:pPr>
        <w:pStyle w:val="MdSpace"/>
        <w:spacing w:before="0" w:after="60"/>
      </w:pPr>
    </w:p>
    <w:p>
      <w:pPr>
        <w:pStyle w:val="MdParagraph"/>
      </w:pPr>
      <w:r>
        <w:t xml:space="preserve">The strongest adoption pathway by region:</w:t>
      </w:r>
    </w:p>
    <w:p>
      <w:pPr>
        <w:pStyle w:val="MdSpace"/>
        <w:spacing w:before="0" w:after="60"/>
      </w:pP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Region</w:t>
            </w:r>
          </w:p>
        </w:tc>
        <w:tc>
          <w:tcPr>
            <w:tcMar>
              <w:top w:type="dxa" w:w="100"/>
              <w:left w:type="dxa" w:w="120"/>
              <w:bottom w:type="dxa" w:w="100"/>
              <w:right w:type="dxa" w:w="120"/>
            </w:tcMar>
            <w:vAlign w:val="center"/>
          </w:tcPr>
          <w:p>
            <w:pPr>
              <w:pStyle w:val="MdTableHeader"/>
            </w:pPr>
            <w:r>
              <w:t xml:space="preserve">Adoption Model</w:t>
            </w:r>
          </w:p>
        </w:tc>
        <w:tc>
          <w:tcPr>
            <w:tcBorders>
              <w:right w:val="none"/>
            </w:tcBorders>
            <w:tcMar>
              <w:top w:type="dxa" w:w="100"/>
              <w:left w:type="dxa" w:w="120"/>
              <w:bottom w:type="dxa" w:w="100"/>
              <w:right w:type="dxa" w:w="120"/>
            </w:tcMar>
            <w:vAlign w:val="center"/>
          </w:tcPr>
          <w:p>
            <w:pPr>
              <w:pStyle w:val="MdTableHeader"/>
            </w:pPr>
            <w:r>
              <w:t xml:space="preserve">Rationale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UK</w:t>
            </w:r>
          </w:p>
        </w:tc>
        <w:tc>
          <w:tcPr>
            <w:tcMar>
              <w:top w:type="dxa" w:w="80"/>
              <w:left w:type="dxa" w:w="120"/>
              <w:bottom w:type="dxa" w:w="80"/>
              <w:right w:type="dxa" w:w="120"/>
            </w:tcMar>
            <w:vAlign w:val="center"/>
          </w:tcPr>
          <w:p>
            <w:pPr>
              <w:pStyle w:val="MdTableCell"/>
            </w:pPr>
            <w:r>
              <w:t xml:space="preserve">Pre-university enrichment / CPD supplement</w:t>
            </w:r>
          </w:p>
        </w:tc>
        <w:tc>
          <w:tcPr>
            <w:tcBorders>
              <w:right w:val="none"/>
            </w:tcBorders>
            <w:tcMar>
              <w:top w:type="dxa" w:w="80"/>
              <w:left w:type="dxa" w:w="120"/>
              <w:bottom w:type="dxa" w:w="80"/>
              <w:right w:type="dxa" w:w="120"/>
            </w:tcMar>
            <w:vAlign w:val="center"/>
          </w:tcPr>
          <w:p>
            <w:pPr>
              <w:pStyle w:val="MdTableCell"/>
            </w:pPr>
            <w:r>
              <w:t xml:space="preserve">Fills the "why" gap before the "how" curriculum</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Asia</w:t>
            </w:r>
          </w:p>
        </w:tc>
        <w:tc>
          <w:tcPr>
            <w:tcMar>
              <w:top w:type="dxa" w:w="80"/>
              <w:left w:type="dxa" w:w="120"/>
              <w:bottom w:type="dxa" w:w="80"/>
              <w:right w:type="dxa" w:w="120"/>
            </w:tcMar>
            <w:vAlign w:val="center"/>
          </w:tcPr>
          <w:p>
            <w:pPr>
              <w:pStyle w:val="MdTableCell"/>
            </w:pPr>
            <w:r>
              <w:t xml:space="preserve">Parallel cultural programme / Olympiad partner</w:t>
            </w:r>
          </w:p>
        </w:tc>
        <w:tc>
          <w:tcPr>
            <w:tcBorders>
              <w:right w:val="none"/>
            </w:tcBorders>
            <w:tcMar>
              <w:top w:type="dxa" w:w="80"/>
              <w:left w:type="dxa" w:w="120"/>
              <w:bottom w:type="dxa" w:w="80"/>
              <w:right w:type="dxa" w:w="120"/>
            </w:tcMar>
            <w:vAlign w:val="center"/>
          </w:tcPr>
          <w:p>
            <w:pPr>
              <w:pStyle w:val="MdTableCell"/>
            </w:pPr>
            <w:r>
              <w:t xml:space="preserve">Provides global lens for civilisations that already have depth</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USA</w:t>
            </w:r>
          </w:p>
        </w:tc>
        <w:tc>
          <w:tcPr>
            <w:tcMar>
              <w:top w:type="dxa" w:w="80"/>
              <w:left w:type="dxa" w:w="120"/>
              <w:bottom w:type="dxa" w:w="80"/>
              <w:right w:type="dxa" w:w="120"/>
            </w:tcMar>
            <w:vAlign w:val="center"/>
          </w:tcPr>
          <w:p>
            <w:pPr>
              <w:pStyle w:val="MdTableCell"/>
            </w:pPr>
            <w:r>
              <w:t xml:space="preserve">Interdisciplinary elective / Innovation lab partner</w:t>
            </w:r>
          </w:p>
        </w:tc>
        <w:tc>
          <w:tcPr>
            <w:tcBorders>
              <w:right w:val="none"/>
            </w:tcBorders>
            <w:tcMar>
              <w:top w:type="dxa" w:w="80"/>
              <w:left w:type="dxa" w:w="120"/>
              <w:bottom w:type="dxa" w:w="80"/>
              <w:right w:type="dxa" w:w="120"/>
            </w:tcMar>
            <w:vAlign w:val="center"/>
          </w:tcPr>
          <w:p>
            <w:pPr>
              <w:pStyle w:val="MdTableCell"/>
            </w:pPr>
            <w:r>
              <w:t xml:space="preserve">Natural philosophical alignment, fills historical gap</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Middle East</w:t>
            </w:r>
          </w:p>
        </w:tc>
        <w:tc>
          <w:tcPr>
            <w:tcBorders>
              <w:bottom w:val="single" w:color="E1E4E8" w:sz="4"/>
            </w:tcBorders>
            <w:tcMar>
              <w:top w:type="dxa" w:w="80"/>
              <w:left w:type="dxa" w:w="120"/>
              <w:bottom w:type="dxa" w:w="80"/>
              <w:right w:type="dxa" w:w="120"/>
            </w:tcMar>
            <w:vAlign w:val="center"/>
          </w:tcPr>
          <w:p>
            <w:pPr>
              <w:pStyle w:val="MdTableCell"/>
            </w:pPr>
            <w:r>
              <w:t xml:space="preserve">National strategy companion / Vision 2030 educational tool</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Provides 12,000-year context for nations building their future NOW</w:t>
            </w:r>
          </w:p>
        </w:tc>
      </w:tr>
    </w:tbl>
    <w:p>
      <w:pPr>
        <w:pStyle w:val="MdParagraph"/>
      </w:pPr>
      <w:r>
        <w:t xml:space="preserve">The 12-university matrix confirms: </w:t>
      </w:r>
      <w:r>
        <w:rPr>
          <w:rStyle w:val="MdStrong"/>
          <w:b/>
          <w:bCs/>
        </w:rPr>
        <w:t xml:space="preserve">IAAI has no direct competitor.</w:t>
      </w:r>
      <w:r>
        <w:t xml:space="preserve"> No university teaches what IAAI teaches. The question is not whether IAAI replaces these programmes — it cannot and should not. The question is whether IAAI COMPLEMENTS them. The answer, across all four regions, is yes.</w:t>
      </w:r>
    </w:p>
    <w:p>
      <w:pPr>
        <w:pStyle w:val="MdSpace"/>
        <w:spacing w:before="0" w:after="60"/>
      </w:pPr>
    </w:p>
    <w:p>
      <w:pPr>
        <w:pStyle w:val="MdHr"/>
        <w:pBdr>
          <w:bottom w:val="single" w:color="auto" w:sz="6" w:space="1"/>
        </w:pBdr>
      </w:pPr>
    </w:p>
    <w:p>
      <w:pPr>
        <w:pStyle w:val="MdSpace"/>
        <w:spacing w:before="0" w:after="60"/>
      </w:pPr>
    </w:p>
    <w:p>
      <w:pPr>
        <w:pStyle w:val="MdParagraph"/>
      </w:pPr>
      <w:r>
        <w:rPr>
          <w:rStyle w:val="MdStrong"/>
          <w:b/>
          <w:bCs/>
        </w:rPr>
        <w:t xml:space="preserve">Document Classification:</w:t>
      </w:r>
      <w:r>
        <w:t xml:space="preserve"> Due Diligence — Confidential
</w:t>
      </w:r>
      <w:r>
        <w:rPr>
          <w:rStyle w:val="MdStrong"/>
          <w:b/>
          <w:bCs/>
        </w:rPr>
        <w:t xml:space="preserve">Hard-saved to:</w:t>
      </w:r>
      <w:r>
        <w:t xml:space="preserve"> </w:t>
      </w:r>
      <w:r>
        <w:rPr>
          <w:rStyle w:val="MdCode"/>
          <w:u w:val="single"/>
        </w:rPr>
        <w:t xml:space="preserve">/home/ubuntu/infrastructure-academy-v2/data/review_package/</w:t>
      </w:r>
      <w:r>
        <w:t xml:space="preserve">
</w:t>
      </w:r>
      <w:r>
        <w:rPr>
          <w:rStyle w:val="MdStrong"/>
          <w:b/>
          <w:bCs/>
        </w:rPr>
        <w:t xml:space="preserve">Player nodes generated:</w:t>
      </w:r>
      <w:r>
        <w:t xml:space="preserve"> 120 (12 universities × 10 simulated interactions)</w:t>
      </w:r>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decimal"/>
      <w:lvlText w:val="%1"/>
      <w:lvlJc w:val="left"/>
      <w:pPr>
        <w:ind w:left="720" w:hanging="360"/>
      </w:pPr>
    </w:lvl>
    <w:lvl w:ilvl="1" w15:tentative="1">
      <w:start w:val="1"/>
      <w:numFmt w:val="decimal"/>
      <w:lvlText w:val="%1.%2"/>
      <w:lvlJc w:val="left"/>
      <w:pPr>
        <w:ind w:left="1440" w:hanging="360"/>
      </w:pPr>
    </w:lvl>
    <w:lvl w:ilvl="2" w15:tentative="1">
      <w:start w:val="1"/>
      <w:numFmt w:val="decimal"/>
      <w:lvlText w:val="%1.%2.%3"/>
      <w:lvlJc w:val="left"/>
      <w:pPr>
        <w:ind w:left="2160" w:hanging="360"/>
      </w:pPr>
    </w:lvl>
    <w:lvl w:ilvl="3" w15:tentative="1">
      <w:start w:val="1"/>
      <w:numFmt w:val="decimal"/>
      <w:lvlText w:val="%4)"/>
      <w:lvlJc w:val="left"/>
      <w:pPr>
        <w:ind w:left="2880" w:hanging="360"/>
      </w:pPr>
    </w:lvl>
    <w:lvl w:ilvl="4" w15:tentative="1">
      <w:start w:val="1"/>
      <w:numFmt w:val="decimal"/>
      <w:lvlText w:val="%5)"/>
      <w:lvlJc w:val="left"/>
      <w:pPr>
        <w:ind w:left="3600" w:hanging="360"/>
      </w:pPr>
    </w:lvl>
    <w:lvl w:ilvl="5" w15:tentative="1">
      <w:start w:val="1"/>
      <w:numFmt w:val="decimal"/>
      <w:lvlText w:val="%6)"/>
      <w:lvlJc w:val="left"/>
      <w:pPr>
        <w:ind w:left="4320" w:hanging="360"/>
      </w:pPr>
    </w:lvl>
    <w:lvl w:ilvl="6" w15:tentative="1">
      <w:start w:val="1"/>
      <w:numFmt w:val="decimal"/>
      <w:lvlText w:val="%7)"/>
      <w:lvlJc w:val="left"/>
      <w:pPr>
        <w:ind w:left="5040" w:hanging="360"/>
      </w:pPr>
    </w:lvl>
    <w:lvl w:ilvl="7" w15:tentative="1">
      <w:start w:val="1"/>
      <w:numFmt w:val="decimal"/>
      <w:lvlText w:val="%8)"/>
      <w:lvlJc w:val="left"/>
      <w:pPr>
        <w:ind w:left="5760" w:hanging="360"/>
      </w:pPr>
    </w:lvl>
    <w:lvl w:ilvl="8" w15:tentative="1">
      <w:start w:val="1"/>
      <w:numFmt w:val="decimal"/>
      <w:lvlText w:val="%9)"/>
      <w:lvlJc w:val="left"/>
      <w:pPr>
        <w:ind w:left="6480" w:hanging="360"/>
      </w:pPr>
    </w:lvl>
  </w:abstractNum>
  <w:abstractNum w:abstractNumId="3"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sz w:val="24"/>
        <w:szCs w:val="24"/>
      </w:rPr>
    </w:rPrDefault>
    <w:pPrDefault>
      <w:pPr>
        <w:spacing w:lineRule="auto"/>
      </w:pPr>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color="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MdSpace">
    <w:name w:val="MdSpace"/>
    <w:basedOn w:val="Normal"/>
    <w:next w:val="Normal"/>
    <w:qFormat/>
    <w:pPr>
      <w:spacing w:before="0" w:after="0"/>
    </w:pPr>
    <w:rPr>
      <w:sz w:val="12"/>
      <w:szCs w:val="12"/>
    </w:rPr>
  </w:style>
  <w:style w:type="paragraph" w:styleId="MdCode">
    <w:name w:val="MdCode"/>
    <w:basedOn w:val="Normal"/>
    <w:next w:val="Normal"/>
    <w:qFormat/>
    <w:pPr>
      <w:pBdr>
        <w:top w:val="single" w:color="A5A5A5" w:sz="1" w:space="8"/>
        <w:bottom w:val="single" w:color="A5A5A5" w:sz="1" w:space="8"/>
        <w:left w:val="single" w:color="A5A5A5" w:sz="1" w:space="8"/>
        <w:right w:val="single" w:color="A5A5A5" w:sz="1" w:space="8"/>
      </w:pBdr>
      <w:spacing w:before="200" w:after="200"/>
    </w:pPr>
    <w:rPr>
      <w:rFonts w:ascii="Courier New" w:cs="Courier New" w:eastAsia="Courier New" w:hAnsi="Courier New"/>
      <w:color w:val="70AD47"/>
      <w:sz w:val="22"/>
      <w:szCs w:val="22"/>
    </w:rPr>
  </w:style>
  <w:style w:type="paragraph" w:styleId="MdHr">
    <w:name w:val="MdHr"/>
    <w:basedOn w:val="Normal"/>
    <w:next w:val="Normal"/>
    <w:qFormat/>
    <w:pPr>
      <w:pBdr>
        <w:bottom w:val="single" w:color="A5A5A5" w:sz="1" w:space="1"/>
      </w:pBdr>
      <w:spacing w:before="240" w:after="240"/>
    </w:pPr>
  </w:style>
  <w:style w:type="paragraph" w:styleId="MdBlockquote">
    <w:name w:val="MdBlockquote"/>
    <w:basedOn w:val="Normal"/>
    <w:next w:val="Normal"/>
    <w:qFormat/>
    <w:pPr>
      <w:pBdr>
        <w:left w:val="single" w:color="A5A5A5" w:sz="20" w:space="12"/>
      </w:pBdr>
      <w:spacing w:before="200" w:after="200"/>
      <w:ind w:left="360"/>
    </w:pPr>
    <w:rPr>
      <w:i/>
      <w:iCs/>
      <w:color w:val="666666"/>
    </w:rPr>
  </w:style>
  <w:style w:type="paragraph" w:styleId="MdHtml">
    <w:name w:val="MdHtml"/>
    <w:basedOn w:val="Normal"/>
    <w:next w:val="Normal"/>
    <w:qFormat/>
    <w:rPr>
      <w:rFonts w:ascii="Courier New" w:cs="Courier New" w:eastAsia="Courier New" w:hAnsi="Courier New"/>
      <w:color w:val="ED7D31"/>
    </w:rPr>
  </w:style>
  <w:style w:type="paragraph" w:styleId="MdDef">
    <w:name w:val="MdDef"/>
    <w:basedOn w:val="Normal"/>
    <w:next w:val="Normal"/>
    <w:qFormat/>
    <w:pPr>
      <w:ind w:left="720" w:hanging="360"/>
    </w:pPr>
  </w:style>
  <w:style w:type="paragraph" w:styleId="MdParagraph">
    <w:name w:val="MdParagraph"/>
    <w:basedOn w:val="Normal"/>
    <w:next w:val="Normal"/>
    <w:qFormat/>
    <w:pPr>
      <w:spacing w:before="120" w:after="120"/>
    </w:pPr>
  </w:style>
  <w:style w:type="paragraph" w:styleId="MdText">
    <w:name w:val="MdText"/>
    <w:basedOn w:val="Normal"/>
    <w:next w:val="Normal"/>
    <w:qFormat/>
  </w:style>
  <w:style w:type="paragraph" w:styleId="MdFootnote">
    <w:name w:val="MdFootnote"/>
    <w:basedOn w:val="Normal"/>
    <w:next w:val="Normal"/>
    <w:qFormat/>
    <w:rPr>
      <w:vertAlign w:val="superscript"/>
    </w:rPr>
  </w:style>
  <w:style w:type="paragraph" w:styleId="MdListItem">
    <w:name w:val="MdListItem"/>
    <w:basedOn w:val="Normal"/>
    <w:next w:val="Normal"/>
    <w:qFormat/>
    <w:pPr>
      <w:spacing w:before="60" w:after="60"/>
      <w:ind w:left="720" w:hanging="360"/>
    </w:pPr>
  </w:style>
  <w:style w:type="paragraph" w:styleId="MdTable">
    <w:name w:val="MdTable"/>
    <w:basedOn w:val="Normal"/>
    <w:next w:val="Normal"/>
    <w:qFormat/>
    <w:pPr>
      <w:spacing w:before="60" w:after="60"/>
    </w:pPr>
  </w:style>
  <w:style w:type="paragraph" w:styleId="MdTableHeader">
    <w:name w:val="MdTableHeader"/>
    <w:basedOn w:val="Normal"/>
    <w:next w:val="Normal"/>
    <w:qFormat/>
    <w:pPr>
      <w:spacing w:before="60" w:after="60"/>
    </w:pPr>
    <w:rPr>
      <w:b/>
      <w:bCs/>
      <w:sz w:val="22"/>
      <w:szCs w:val="22"/>
    </w:rPr>
  </w:style>
  <w:style w:type="paragraph" w:styleId="MdTableCell">
    <w:name w:val="MdTableCell"/>
    <w:basedOn w:val="Normal"/>
    <w:next w:val="Normal"/>
    <w:qFormat/>
    <w:pPr>
      <w:spacing w:before="40" w:after="40"/>
    </w:pPr>
    <w:rPr>
      <w:sz w:val="20"/>
      <w:szCs w:val="20"/>
    </w:rPr>
  </w:style>
  <w:style w:type="paragraph" w:styleId="MdHeading1">
    <w:name w:val="MdHeading1"/>
    <w:basedOn w:val="Normal"/>
    <w:next w:val="Normal"/>
    <w:qFormat/>
    <w:pPr>
      <w:keepNext/>
      <w:spacing w:before="480" w:after="240"/>
      <w:outlineLvl w:val="0"/>
    </w:pPr>
    <w:rPr>
      <w:b/>
      <w:bCs/>
      <w:sz w:val="36"/>
      <w:szCs w:val="36"/>
    </w:rPr>
  </w:style>
  <w:style w:type="paragraph" w:styleId="MdHeading2">
    <w:name w:val="MdHeading2"/>
    <w:basedOn w:val="Normal"/>
    <w:next w:val="Normal"/>
    <w:qFormat/>
    <w:pPr>
      <w:keepNext/>
      <w:spacing w:before="400" w:after="200"/>
      <w:outlineLvl w:val="1"/>
    </w:pPr>
    <w:rPr>
      <w:b/>
      <w:bCs/>
      <w:sz w:val="32"/>
      <w:szCs w:val="32"/>
    </w:rPr>
  </w:style>
  <w:style w:type="paragraph" w:styleId="MdHeading3">
    <w:name w:val="MdHeading3"/>
    <w:basedOn w:val="Normal"/>
    <w:next w:val="Normal"/>
    <w:qFormat/>
    <w:pPr>
      <w:keepNext/>
      <w:spacing w:before="320" w:after="160"/>
      <w:outlineLvl w:val="2"/>
    </w:pPr>
    <w:rPr>
      <w:b/>
      <w:bCs/>
      <w:sz w:val="28"/>
      <w:szCs w:val="28"/>
    </w:rPr>
  </w:style>
  <w:style w:type="paragraph" w:styleId="MdHeading4">
    <w:name w:val="MdHeading4"/>
    <w:basedOn w:val="Normal"/>
    <w:next w:val="Normal"/>
    <w:qFormat/>
    <w:pPr>
      <w:keepNext/>
      <w:spacing w:before="280" w:after="140"/>
      <w:outlineLvl w:val="3"/>
    </w:pPr>
    <w:rPr>
      <w:b/>
      <w:bCs/>
      <w:sz w:val="26"/>
      <w:szCs w:val="26"/>
    </w:rPr>
  </w:style>
  <w:style w:type="paragraph" w:styleId="MdHeading5">
    <w:name w:val="MdHeading5"/>
    <w:basedOn w:val="Normal"/>
    <w:next w:val="Normal"/>
    <w:qFormat/>
    <w:pPr>
      <w:keepNext/>
      <w:spacing w:before="240" w:after="120"/>
      <w:outlineLvl w:val="4"/>
    </w:pPr>
    <w:rPr>
      <w:b/>
      <w:bCs/>
      <w:i/>
      <w:iCs/>
      <w:sz w:val="24"/>
      <w:szCs w:val="24"/>
    </w:rPr>
  </w:style>
  <w:style w:type="paragraph" w:styleId="MdHeading6">
    <w:name w:val="MdHeading6"/>
    <w:basedOn w:val="Normal"/>
    <w:next w:val="Normal"/>
    <w:qFormat/>
    <w:pPr>
      <w:keepNext/>
      <w:spacing w:before="240" w:after="120"/>
      <w:outlineLvl w:val="5"/>
    </w:pPr>
    <w:rPr>
      <w:b w:val="false"/>
      <w:bCs w:val="false"/>
      <w:i/>
      <w:iCs/>
      <w:sz w:val="24"/>
      <w:szCs w:val="24"/>
    </w:rPr>
  </w:style>
  <w:style w:type="character" w:styleId="MdTag">
    <w:name w:val="MdTag"/>
    <w:basedOn w:val="Normal"/>
    <w:next w:val="Normal"/>
    <w:uiPriority w:val="99"/>
    <w:unhideWhenUsed/>
    <w:qFormat/>
    <w:rPr>
      <w:rFonts w:ascii="Courier New" w:cs="Courier New" w:eastAsia="Courier New" w:hAnsi="Courier New"/>
      <w:color w:val="ED7D31"/>
    </w:rPr>
  </w:style>
  <w:style w:type="character" w:styleId="MdLink">
    <w:name w:val="MdLink"/>
    <w:basedOn w:val="Normal"/>
    <w:next w:val="Normal"/>
    <w:uiPriority w:val="99"/>
    <w:unhideWhenUsed/>
    <w:qFormat/>
    <w:rPr>
      <w:color w:val="0563C1"/>
      <w:u w:val="single"/>
    </w:rPr>
  </w:style>
  <w:style w:type="character" w:styleId="MdStrong">
    <w:name w:val="MdStrong"/>
    <w:basedOn w:val="Normal"/>
    <w:next w:val="Normal"/>
    <w:uiPriority w:val="99"/>
    <w:unhideWhenUsed/>
    <w:qFormat/>
    <w:rPr>
      <w:b/>
      <w:bCs/>
    </w:rPr>
  </w:style>
  <w:style w:type="character" w:styleId="MdEm">
    <w:name w:val="MdEm"/>
    <w:basedOn w:val="Normal"/>
    <w:next w:val="Normal"/>
    <w:uiPriority w:val="99"/>
    <w:unhideWhenUsed/>
    <w:qFormat/>
    <w:rPr>
      <w:i/>
      <w:iCs/>
    </w:rPr>
  </w:style>
  <w:style w:type="character" w:styleId="MdCodespan">
    <w:name w:val="MdCodespan"/>
    <w:basedOn w:val="Normal"/>
    <w:next w:val="Normal"/>
    <w:uiPriority w:val="99"/>
    <w:unhideWhenUsed/>
    <w:qFormat/>
    <w:rPr>
      <w:rFonts w:ascii="Courier New" w:cs="Courier New" w:eastAsia="Courier New" w:hAnsi="Courier New"/>
      <w:color w:val="70AD47"/>
    </w:rPr>
  </w:style>
  <w:style w:type="character" w:styleId="MdDel">
    <w:name w:val="MdDel"/>
    <w:basedOn w:val="Normal"/>
    <w:next w:val="Normal"/>
    <w:uiPriority w:val="99"/>
    <w:unhideWhenUsed/>
    <w:qFormat/>
    <w:rPr>
      <w:strike/>
    </w:rPr>
  </w:style>
  <w:style w:type="character" w:styleId="MdBr">
    <w:name w:val="MdBr"/>
    <w:basedOn w:val="Normal"/>
    <w:next w:val="Normal"/>
    <w:uiPriority w:val="99"/>
    <w:unhideWhenUsed/>
    <w:qFormat/>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Converted Document</dc:title>
  <dc:creator>md2docx converter</dc:creator>
  <dc:description>Converted from Markdown</dc:description>
  <cp:lastModifiedBy>Un-named</cp:lastModifiedBy>
  <cp:revision>1</cp:revision>
  <dcterms:created xsi:type="dcterms:W3CDTF">2026-02-27T06:47:17.153Z</dcterms:created>
  <dcterms:modified xsi:type="dcterms:W3CDTF">2026-02-27T06:47:17.153Z</dcterms:modified>
</cp:coreProperties>
</file>

<file path=docProps/custom.xml><?xml version="1.0" encoding="utf-8"?>
<Properties xmlns="http://schemas.openxmlformats.org/officeDocument/2006/custom-properties" xmlns:vt="http://schemas.openxmlformats.org/officeDocument/2006/docPropsVTypes"/>
</file>