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12-University Review Responses</w:t>
      </w:r>
    </w:p>
    <w:p>
      <w:pPr>
        <w:pStyle w:val="Heading2"/>
        <w:pStyle w:val="MdHeading2"/>
      </w:pPr>
      <w:r>
        <w:t xml:space="preserve">Independent Checking Engineer Assessment — 12 Global Perspectives</w:t>
      </w:r>
    </w:p>
    <w:p>
      <w:pPr>
        <w:pStyle w:val="MdParagraph"/>
      </w:pPr>
      <w:r>
        <w:rPr>
          <w:rStyle w:val="MdStrong"/>
          <w:b/>
          <w:bCs/>
        </w:rPr>
        <w:t xml:space="preserve">Date:</w:t>
      </w:r>
      <w:r>
        <w:t xml:space="preserve"> 27 February 2026
</w:t>
      </w:r>
      <w:r>
        <w:rPr>
          <w:rStyle w:val="MdStrong"/>
          <w:b/>
          <w:bCs/>
        </w:rPr>
        <w:t xml:space="preserve">Method:</w:t>
      </w:r>
      <w:r>
        <w:t xml:space="preserve"> Each review is written from the perspective of a senior academic at the named institution, assessing IAAI as a 3rd-party ICE reviewer would assess a client design team's work.
</w:t>
      </w:r>
      <w:r>
        <w:rPr>
          <w:rStyle w:val="MdStrong"/>
          <w:b/>
          <w:bCs/>
        </w:rPr>
        <w:t xml:space="preserve">Scoring:</w:t>
      </w:r>
      <w:r>
        <w:t xml:space="preserve"> 4 categories × 25 points = 100 total. No right or wrong answers — these are foundation piers, not finished spans.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1: Imperial College London (UK)</w:t>
      </w:r>
    </w:p>
    <w:p>
      <w:pPr>
        <w:pStyle w:val="MdParagraph"/>
      </w:pPr>
      <w:r>
        <w:rPr>
          <w:rStyle w:val="MdStrong"/>
          <w:b/>
          <w:bCs/>
        </w:rPr>
        <w:t xml:space="preserve">Reviewer Perspective:</w:t>
      </w:r>
      <w:r>
        <w:t xml:space="preserve"> Senior Lecturer,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Strong overlap on Relays 1-3 (Fire/Energy, Tree/Materials, River/Water) which map directly to our Yr1 core: Materials, Fluid Mechanics, Energy &amp; Environmental Engineering. Relays 5 (Roads) and 9 (Engine) align with Transport and Mechanics modules. However, IAAI lacks the quantitative backbone that defines Imperial — no stress analysis, no partial differential equations, no computational methods. The relay framework is conceptually rich but mathematically empty.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Genuinely useful as a pre-university preparation tool. Our incoming students often lack contextual understanding of WHY civil engineering matters — they chose the degree because of A-level grades, not civilisational conviction. IAAI would give them that conviction. As CPD material for practicing engineers, the cross-cultural framework (East/West/Outrider) offers perspectives that our professional development courses do not. Not suitable as a substitute for any taught module.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14</w:t>
            </w:r>
          </w:p>
        </w:tc>
        <w:tc>
          <w:tcPr>
            <w:tcBorders>
              <w:right w:val="none"/>
            </w:tcBorders>
            <w:tcMar>
              <w:top w:type="dxa" w:w="80"/>
              <w:left w:type="dxa" w:w="120"/>
              <w:bottom w:type="dxa" w:w="80"/>
              <w:right w:type="dxa" w:w="120"/>
            </w:tcMar>
            <w:vAlign w:val="center"/>
          </w:tcPr>
          <w:p>
            <w:pPr>
              <w:pStyle w:val="MdTableCell"/>
            </w:pPr>
            <w:r>
              <w:t xml:space="preserve">Imperial's student body is 60%+ international, with significant representation from China, India, and the Middle East. The cross-cultural framework would resonate. However, the platform's current content is heavily Western-centric in its narrative voice despite referencing Eastern traditions. A Chinese student at Imperial would notice that Sima Qian is mentioned but not deeply explored. The Outrider mode feels underdeveloped compared to Western and Eastern.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gamified approach is genuinely novel in engineering education. Our students would engage with the RPG — the FITS party system is clever, and the XP mechanics are well-calibrated. Whether they would reach 24M XP depends on content depth per relay; currently, some relays feel thin. The Infrastructure Olympiad concept would interest our department — we already run the Constructionarium and inter-university design competitions. Partnership is plausible if the academic rigour improves.</w:t>
            </w:r>
          </w:p>
        </w:tc>
      </w:tr>
    </w:tbl>
    <w:p>
      <w:pPr>
        <w:pStyle w:val="MdParagraph"/>
      </w:pPr>
      <w:r>
        <w:rPr>
          <w:rStyle w:val="MdStrong"/>
          <w:b/>
          <w:bCs/>
        </w:rPr>
        <w:t xml:space="preserve">Total Score: 68/100</w:t>
      </w:r>
    </w:p>
    <w:p>
      <w:pPr>
        <w:pStyle w:val="MdSpace"/>
        <w:spacing w:before="0" w:after="60"/>
      </w:pPr>
    </w:p>
    <w:p>
      <w:pPr>
        <w:pStyle w:val="MdParagraph"/>
      </w:pPr>
      <w:r>
        <w:rPr>
          <w:rStyle w:val="MdStrong"/>
          <w:b/>
          <w:bCs/>
        </w:rPr>
        <w:t xml:space="preserve">Overall Verdict:</w:t>
      </w:r>
      <w:r>
        <w:t xml:space="preserve"> IAAI is an ambitious and original platform that fills a genuine gap in engineering education — the civilisational "why" that technical programmes assume but never teach. At Imperial, we produce engineers who can calculate but often cannot contextualise. IAAI addresses that deficit. However, the absence of mathematical content means it cannot be integrated into our assessed curriculum. It belongs in the pre-arrival reading list or the enrichment programme, not the lecture theatre.</w:t>
      </w:r>
    </w:p>
    <w:p>
      <w:pPr>
        <w:pStyle w:val="MdSpace"/>
        <w:spacing w:before="0" w:after="60"/>
      </w:pPr>
    </w:p>
    <w:p>
      <w:pPr>
        <w:pStyle w:val="MdParagraph"/>
      </w:pPr>
      <w:r>
        <w:rPr>
          <w:rStyle w:val="MdStrong"/>
          <w:b/>
          <w:bCs/>
        </w:rPr>
        <w:t xml:space="preserve">Should Nigel Continue?</w:t>
      </w:r>
      <w:r>
        <w:t xml:space="preserve"> Yes — the concept is sound and the execution is remarkably advanced for a 5-month build. The gap it fills is real. The risk is positioning: if IAAI tries to compete with formal engineering education, it will fail. If it positions as the philosophical companion to technical training, it could become essential.</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Mathematical absence — without quantitative content, engineering faculties cannot formally endorse it</w:t>
      </w:r>
    </w:p>
    <w:p>
      <w:pPr>
        <w:pStyle w:val="MdListItem"/>
        <w:numPr>
          <w:ilvl w:val="0"/>
          <w:numId w:val="2"/>
        </w:numPr>
      </w:pPr>
      <w:r>
        <w:t xml:space="preserve">Content depth inconsistency — some relays are chapter-grade, others are executive summaries</w:t>
      </w:r>
    </w:p>
    <w:p>
      <w:pPr>
        <w:pStyle w:val="MdListItem"/>
        <w:numPr>
          <w:ilvl w:val="0"/>
          <w:numId w:val="2"/>
        </w:numPr>
      </w:pPr>
      <w:r>
        <w:t xml:space="preserve">Single-author dependency — the entire platform reflects one person's vision, which is both its strength and its fragility</w:t>
      </w:r>
    </w:p>
    <w:p>
      <w:pPr>
        <w:pStyle w:val="MdSpace"/>
        <w:spacing w:before="0" w:after="60"/>
      </w:pPr>
    </w:p>
    <w:p>
      <w:pPr>
        <w:pStyle w:val="MdParagraph"/>
      </w:pPr>
      <w:r>
        <w:rPr>
          <w:rStyle w:val="MdStrong"/>
          <w:b/>
          <w:bCs/>
        </w:rPr>
        <w:t xml:space="preserve">Endorsement Conditions:</w:t>
      </w:r>
      <w:r>
        <w:t xml:space="preserve"> (1) Add dimensional analysis and basic engineering mathematics as optional layers within each relay. (2) Peer-review the historical content through an academic advisory board. (3) Achieve ICE or JBM recognition as supplementary CPD material.</w:t>
      </w:r>
    </w:p>
    <w:p>
      <w:pPr>
        <w:pStyle w:val="MdSpace"/>
        <w:spacing w:before="0" w:after="60"/>
      </w:pPr>
    </w:p>
    <w:p>
      <w:pPr>
        <w:pStyle w:val="MdParagraph"/>
      </w:pPr>
      <w:r>
        <w:rPr>
          <w:rStyle w:val="MdStrong"/>
          <w:b/>
          <w:bCs/>
        </w:rPr>
        <w:t xml:space="preserve">Relay Gaps:</w:t>
      </w:r>
      <w:r>
        <w:t xml:space="preserve"> Strong: 1 (Fire), 2 (Tree), 3 (River), 5 (Roads), 10 (AAA Triad). Weak: 6 (Ships — underexplored), 8 (Loom — needs industrial depth), 11 (Orbit — too brief).</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2: University of Nottingham (UK)</w:t>
      </w:r>
    </w:p>
    <w:p>
      <w:pPr>
        <w:pStyle w:val="MdParagraph"/>
      </w:pPr>
      <w:r>
        <w:rPr>
          <w:rStyle w:val="MdStrong"/>
          <w:b/>
          <w:bCs/>
        </w:rPr>
        <w:t xml:space="preserve">Reviewer Perspective:</w:t>
      </w:r>
      <w:r>
        <w:t xml:space="preserve"> Programme Director, BEng Civil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15</w:t>
            </w:r>
          </w:p>
        </w:tc>
        <w:tc>
          <w:tcPr>
            <w:tcBorders>
              <w:right w:val="none"/>
            </w:tcBorders>
            <w:tcMar>
              <w:top w:type="dxa" w:w="80"/>
              <w:left w:type="dxa" w:w="120"/>
              <w:bottom w:type="dxa" w:w="80"/>
              <w:right w:type="dxa" w:w="120"/>
            </w:tcMar>
            <w:vAlign w:val="center"/>
          </w:tcPr>
          <w:p>
            <w:pPr>
              <w:pStyle w:val="MdTableCell"/>
            </w:pPr>
            <w:r>
              <w:t xml:space="preserve">Our BEng is practical and progressive — Hydraulics 1 to Hydraulic Design, Geotechnics 1 to 3, Structural Analysis to Concrete Design. IAAI's relays map to our pillars (River→Hydraulics, Tree→Materials, Roads→Transport) but at a narrative level, not a technical one. Our students need to calculate flow rates, not read about the Nile. The alignment is thematic, not operational.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This is where IAAI shines for a programme like ours. Nottingham students are solid technically but often lack the broader vision of what they're contributing to. The Portfolio of Civil Engineering Studies modules in Years 1-2 could directly incorporate IAAI content as contextual reading. The game would work well as an optional enrichment activity. As a CPD tool for our graduates entering industry, it fills the "big picture" gap that employers consistently report.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13</w:t>
            </w:r>
          </w:p>
        </w:tc>
        <w:tc>
          <w:tcPr>
            <w:tcBorders>
              <w:right w:val="none"/>
            </w:tcBorders>
            <w:tcMar>
              <w:top w:type="dxa" w:w="80"/>
              <w:left w:type="dxa" w:w="120"/>
              <w:bottom w:type="dxa" w:w="80"/>
              <w:right w:type="dxa" w:w="120"/>
            </w:tcMar>
            <w:vAlign w:val="center"/>
          </w:tcPr>
          <w:p>
            <w:pPr>
              <w:pStyle w:val="MdTableCell"/>
            </w:pPr>
            <w:r>
              <w:t xml:space="preserve">Nottingham's student body is predominantly UK-based with growing international intake. The cross-cultural framework is interesting but may feel distant to students focused on UK construction practice. The Outrider mode's relevance to British engineering heritage is unclear. The platform would benefit from more explicit UK case studies — Brunel is mentioned but the broader British engineering story (Telford, Stephenson, Bazalgette) could be deeper.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17</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gamification is genuinely innovative for our context — we have nothing like this. Students would try the game. Whether they persist to 24M XP is doubtful without more interactive depth per relay. The current tap-to-reveal discovery mechanic needs evolution toward problem-solving challenges. The Olympiad concept is attractive — Nottingham already participates in inter-university engineering competitions.</w:t>
            </w:r>
          </w:p>
        </w:tc>
      </w:tr>
    </w:tbl>
    <w:p>
      <w:pPr>
        <w:pStyle w:val="MdParagraph"/>
      </w:pPr>
      <w:r>
        <w:rPr>
          <w:rStyle w:val="MdStrong"/>
          <w:b/>
          <w:bCs/>
        </w:rPr>
        <w:t xml:space="preserve">Total Score: 65/100</w:t>
      </w:r>
    </w:p>
    <w:p>
      <w:pPr>
        <w:pStyle w:val="MdSpace"/>
        <w:spacing w:before="0" w:after="60"/>
      </w:pPr>
    </w:p>
    <w:p>
      <w:pPr>
        <w:pStyle w:val="MdParagraph"/>
      </w:pPr>
      <w:r>
        <w:rPr>
          <w:rStyle w:val="MdStrong"/>
          <w:b/>
          <w:bCs/>
        </w:rPr>
        <w:t xml:space="preserve">Overall Verdict:</w:t>
      </w:r>
      <w:r>
        <w:t xml:space="preserve"> IAAI is a creative and well-intentioned platform that would serve our students as enrichment material. It fills the contextual gap that our technically-focused BEng cannot address within its credit structure. The execution is impressive for its age and scale. The main concern is sustainability — can a single author maintain and deepen 74 pages of content across 12 relays while also building a game and running a business?</w:t>
      </w:r>
    </w:p>
    <w:p>
      <w:pPr>
        <w:pStyle w:val="MdSpace"/>
        <w:spacing w:before="0" w:after="60"/>
      </w:pPr>
    </w:p>
    <w:p>
      <w:pPr>
        <w:pStyle w:val="MdParagraph"/>
      </w:pPr>
      <w:r>
        <w:rPr>
          <w:rStyle w:val="MdStrong"/>
          <w:b/>
          <w:bCs/>
        </w:rPr>
        <w:t xml:space="preserve">Should Nigel Continue?</w:t>
      </w:r>
      <w:r>
        <w:t xml:space="preserve"> Yes, but with realistic expectations about adoption timelines. University integration moves slowly — 12-18 months minimum for any formal recognition.</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Content maintenance burden — 74 pages need continuous updating</w:t>
      </w:r>
    </w:p>
    <w:p>
      <w:pPr>
        <w:pStyle w:val="MdListItem"/>
        <w:numPr>
          <w:ilvl w:val="0"/>
          <w:numId w:val="2"/>
        </w:numPr>
      </w:pPr>
      <w:r>
        <w:t xml:space="preserve">UK university adoption inertia — curriculum changes require committee approval cycles</w:t>
      </w:r>
    </w:p>
    <w:p>
      <w:pPr>
        <w:pStyle w:val="MdListItem"/>
        <w:numPr>
          <w:ilvl w:val="0"/>
          <w:numId w:val="2"/>
        </w:numPr>
      </w:pPr>
      <w:r>
        <w:t xml:space="preserve">Competition from established EdTech platforms (Coursera, FutureLearn) that have institutional relationships</w:t>
      </w:r>
    </w:p>
    <w:p>
      <w:pPr>
        <w:pStyle w:val="MdSpace"/>
        <w:spacing w:before="0" w:after="60"/>
      </w:pPr>
    </w:p>
    <w:p>
      <w:pPr>
        <w:pStyle w:val="MdParagraph"/>
      </w:pPr>
      <w:r>
        <w:rPr>
          <w:rStyle w:val="MdStrong"/>
          <w:b/>
          <w:bCs/>
        </w:rPr>
        <w:t xml:space="preserve">Endorsement Conditions:</w:t>
      </w:r>
      <w:r>
        <w:t xml:space="preserve"> (1) Demonstrate student engagement data from pilot testing. (2) Align specific relay content with JBM learning outcomes. (3) Provide lecturer resources (teaching guides, assessment rubrics).</w:t>
      </w:r>
    </w:p>
    <w:p>
      <w:pPr>
        <w:pStyle w:val="MdSpace"/>
        <w:spacing w:before="0" w:after="60"/>
      </w:pPr>
    </w:p>
    <w:p>
      <w:pPr>
        <w:pStyle w:val="MdParagraph"/>
      </w:pPr>
      <w:r>
        <w:rPr>
          <w:rStyle w:val="MdStrong"/>
          <w:b/>
          <w:bCs/>
        </w:rPr>
        <w:t xml:space="preserve">Relay Gaps:</w:t>
      </w:r>
      <w:r>
        <w:t xml:space="preserve"> Strong: 3 (River), 5 (Roads), 9 (Engine). Weak: 4 (Horse — too abstract), 6 (Ships — limited), 12 (Human Nodes — needs more digital infrastructure content).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3: University of Cambridge (UK)</w:t>
      </w:r>
    </w:p>
    <w:p>
      <w:pPr>
        <w:pStyle w:val="MdParagraph"/>
      </w:pPr>
      <w:r>
        <w:rPr>
          <w:rStyle w:val="MdStrong"/>
          <w:b/>
          <w:bCs/>
        </w:rPr>
        <w:t xml:space="preserve">Reviewer Perspective:</w:t>
      </w:r>
      <w:r>
        <w:t xml:space="preserve"> Director of Studies, Engineering Department</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Cambridge Engineering starts broad — our students study ALL engineering disciplines before specialising. IAAI's cross-disciplinary, systems-level approach is philosophically aligned with our programme more than any other UK university. The 12 relays map to our breadth requirement. The 5 Webs taxonomy (Natural, Machine, Information, Intelligence, Knowledge) mirrors our own progression from physical to computational engineering. This is the closest external framework to Cambridge's educational philosophy I have encountered.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21</w:t>
            </w:r>
          </w:p>
        </w:tc>
        <w:tc>
          <w:tcPr>
            <w:tcBorders>
              <w:right w:val="none"/>
            </w:tcBorders>
            <w:tcMar>
              <w:top w:type="dxa" w:w="80"/>
              <w:left w:type="dxa" w:w="120"/>
              <w:bottom w:type="dxa" w:w="80"/>
              <w:right w:type="dxa" w:w="120"/>
            </w:tcMar>
            <w:vAlign w:val="center"/>
          </w:tcPr>
          <w:p>
            <w:pPr>
              <w:pStyle w:val="MdTableCell"/>
            </w:pPr>
            <w:r>
              <w:t xml:space="preserve">Exceptional as a pre-arrival resource. Cambridge admits students who are technically brilliant but often narrowly focused. IAAI would broaden their perspective before they arrive. The 4-Pillar Framework (Observational → Educational → Application → Thesis) is a sound pedagogical structure that mirrors our own supervision-based learning. The game could serve as a first-year enrichment activity. The thesis-level content in Volume 2 (The Guide) is genuinely academic in ambition.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16</w:t>
            </w:r>
          </w:p>
        </w:tc>
        <w:tc>
          <w:tcPr>
            <w:tcBorders>
              <w:right w:val="none"/>
            </w:tcBorders>
            <w:tcMar>
              <w:top w:type="dxa" w:w="80"/>
              <w:left w:type="dxa" w:w="120"/>
              <w:bottom w:type="dxa" w:w="80"/>
              <w:right w:type="dxa" w:w="120"/>
            </w:tcMar>
            <w:vAlign w:val="center"/>
          </w:tcPr>
          <w:p>
            <w:pPr>
              <w:pStyle w:val="MdTableCell"/>
            </w:pPr>
            <w:r>
              <w:t xml:space="preserve">Cambridge's international intake is substantial, and the cross-cultural framework would resonate. The 7 scholars referenced (Homer to Berners-Lee) are well-chosen but Western-heavy. Adding Eastern scholars beyond Sun Tzu and Sima Qian would strengthen the framework. The 3 Modes of civilisational continuity is an intellectually interesting construct but needs more rigorous historical grounding — a historian would challenge some of the periodisation.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gamified approach is novel and would attract our students' curiosity. Cambridge students are competitive — the Olympiad concept would appeal strongly. The FITS temperament system is psychologically interesting and could generate genuine self-reflection. The 24M XP target is ambitious; our students would want to optimise the path to it (they would treat it as an engineering problem). The dual Sage/Builder pathway is well-conceived.</w:t>
            </w:r>
          </w:p>
        </w:tc>
      </w:tr>
    </w:tbl>
    <w:p>
      <w:pPr>
        <w:pStyle w:val="MdParagraph"/>
      </w:pPr>
      <w:r>
        <w:rPr>
          <w:rStyle w:val="MdStrong"/>
          <w:b/>
          <w:bCs/>
        </w:rPr>
        <w:t xml:space="preserve">Total Score: 76/100</w:t>
      </w:r>
    </w:p>
    <w:p>
      <w:pPr>
        <w:pStyle w:val="MdSpace"/>
        <w:spacing w:before="0" w:after="60"/>
      </w:pPr>
    </w:p>
    <w:p>
      <w:pPr>
        <w:pStyle w:val="MdParagraph"/>
      </w:pPr>
      <w:r>
        <w:rPr>
          <w:rStyle w:val="MdStrong"/>
          <w:b/>
          <w:bCs/>
        </w:rPr>
        <w:t xml:space="preserve">Overall Verdict:</w:t>
      </w:r>
      <w:r>
        <w:t xml:space="preserve"> IAAI is the most intellectually ambitious educational platform in infrastructure I have reviewed. Its cross-disciplinary, civilisational approach aligns with Cambridge's own educational philosophy of breadth before depth. The thesis-level content in The Guide demonstrates genuine scholarly ambition. The platform's weakness is the gap between ambition and execution — some relays are deeply developed while others remain sketches. If the content depth were consistent across all 12 relays, this would merit serious academic attention.</w:t>
      </w:r>
    </w:p>
    <w:p>
      <w:pPr>
        <w:pStyle w:val="MdSpace"/>
        <w:spacing w:before="0" w:after="60"/>
      </w:pPr>
    </w:p>
    <w:p>
      <w:pPr>
        <w:pStyle w:val="MdParagraph"/>
      </w:pPr>
      <w:r>
        <w:rPr>
          <w:rStyle w:val="MdStrong"/>
          <w:b/>
          <w:bCs/>
        </w:rPr>
        <w:t xml:space="preserve">Should Nigel Continue?</w:t>
      </w:r>
      <w:r>
        <w:t xml:space="preserve"> Yes — emphatically. This is original work that fills a genuine intellectual gap. The risk is not the concept but the execution timeline and resource constraints.</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Inconsistent depth across relays undermines the scholarly credibility</w:t>
      </w:r>
    </w:p>
    <w:p>
      <w:pPr>
        <w:pStyle w:val="MdListItem"/>
        <w:numPr>
          <w:ilvl w:val="0"/>
          <w:numId w:val="2"/>
        </w:numPr>
      </w:pPr>
      <w:r>
        <w:t xml:space="preserve">Absence of peer review — the content needs academic validation</w:t>
      </w:r>
    </w:p>
    <w:p>
      <w:pPr>
        <w:pStyle w:val="MdListItem"/>
        <w:numPr>
          <w:ilvl w:val="0"/>
          <w:numId w:val="2"/>
        </w:numPr>
      </w:pPr>
      <w:r>
        <w:t xml:space="preserve">The business model may force commercial compromises that dilute academic quality</w:t>
      </w:r>
    </w:p>
    <w:p>
      <w:pPr>
        <w:pStyle w:val="MdSpace"/>
        <w:spacing w:before="0" w:after="60"/>
      </w:pPr>
    </w:p>
    <w:p>
      <w:pPr>
        <w:pStyle w:val="MdParagraph"/>
      </w:pPr>
      <w:r>
        <w:rPr>
          <w:rStyle w:val="MdStrong"/>
          <w:b/>
          <w:bCs/>
        </w:rPr>
        <w:t xml:space="preserve">Endorsement Conditions:</w:t>
      </w:r>
      <w:r>
        <w:t xml:space="preserve"> (1) Submit the thesis framework for academic peer review. (2) Achieve consistent depth across all 12 relays. (3) Establish an academic advisory board with representation from at least 3 universities.</w:t>
      </w:r>
    </w:p>
    <w:p>
      <w:pPr>
        <w:pStyle w:val="MdSpace"/>
        <w:spacing w:before="0" w:after="60"/>
      </w:pPr>
    </w:p>
    <w:p>
      <w:pPr>
        <w:pStyle w:val="MdParagraph"/>
      </w:pPr>
      <w:r>
        <w:rPr>
          <w:rStyle w:val="MdStrong"/>
          <w:b/>
          <w:bCs/>
        </w:rPr>
        <w:t xml:space="preserve">Relay Gaps:</w:t>
      </w:r>
      <w:r>
        <w:t xml:space="preserve"> Strong: 1 (Fire), 5 (Roads), 10 (AAA Triad), 12 (Human Nodes). Weak: 4 (Horse — needs more on animal power's role in civilisation), 8 (Loom — Industrial Revolution deserves more depth).</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4: National University of Singapore (NUS)</w:t>
      </w:r>
    </w:p>
    <w:p>
      <w:pPr>
        <w:pStyle w:val="MdParagraph"/>
      </w:pPr>
      <w:r>
        <w:rPr>
          <w:rStyle w:val="MdStrong"/>
          <w:b/>
          <w:bCs/>
        </w:rPr>
        <w:t xml:space="preserve">Reviewer Perspective:</w:t>
      </w:r>
      <w:r>
        <w:t xml:space="preserve"> Associate Professor,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NUS is moving toward IAAI's model with our "Build Your Own Degree" approach and the new Liveable Cities module. The 12-relay framework maps well to our interdisciplinary vision. Relays 3 (River — water management is existential for Singapore), 5 (Roads — urban connectivity), and 12 (Human Nodes — smart nation initiative) are directly relevant. The alignment is stronger than with traditional UK programmes because NUS already values breadth.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Strong value as a supplementary resource. Our Liveable Cities module could directly reference IAAI's framework. The game would engage our students — Singaporean students are digitally native and gamification-receptive. The 4-Pillar Framework aligns with our outcomes-based education approach. As a pre-university tool, it would help students understand why Singapore's infrastructure story is part of a global civilisational narrative, not an isolated national achievement.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Singapore sits at the crossroads of East and West — IAAI's 3 Modes framework resonates deeply. We ARE the Outrider. The Strait of Malacca (Relay 6: Ships) is our history. The platform's acknowledgment of Eastern continuous civilisation alongside Western linear progress validates what our students intuitively know but rarely see articulated in engineering education. However, Southeast Asian infrastructure heritage (Angkor Wat, Borobudur, the Malay maritime networks) deserves more explicit coverage.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20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gamification is well-suited to our student demographic. The FITS temperament system would generate interesting discussions in tutorial groups. The Infrastructure Olympiad aligns with Singapore's competitive academic culture. NUS would consider participating — we already host international engineering competitions. The 24M XP target is achievable for motivated students; our concern would be ensuring the learning outcomes are assessable.</w:t>
            </w:r>
          </w:p>
        </w:tc>
      </w:tr>
    </w:tbl>
    <w:p>
      <w:pPr>
        <w:pStyle w:val="MdParagraph"/>
      </w:pPr>
      <w:r>
        <w:rPr>
          <w:rStyle w:val="MdStrong"/>
          <w:b/>
          <w:bCs/>
        </w:rPr>
        <w:t xml:space="preserve">Total Score: 78/100</w:t>
      </w:r>
    </w:p>
    <w:p>
      <w:pPr>
        <w:pStyle w:val="MdSpace"/>
        <w:spacing w:before="0" w:after="60"/>
      </w:pPr>
    </w:p>
    <w:p>
      <w:pPr>
        <w:pStyle w:val="MdParagraph"/>
      </w:pPr>
      <w:r>
        <w:rPr>
          <w:rStyle w:val="MdStrong"/>
          <w:b/>
          <w:bCs/>
        </w:rPr>
        <w:t xml:space="preserve">Overall Verdict:</w:t>
      </w:r>
      <w:r>
        <w:t xml:space="preserve"> IAAI is remarkably well-aligned with NUS's educational direction. We are independently moving toward the same interdisciplinary, systems-level approach that IAAI embodies. The platform would serve as both validation of our curricular evolution and a practical resource for our students. The cross-cultural framework is particularly valuable in Singapore's multiethnic context. The main gap is Southeast Asian representation — the platform's Asian content is China/India-heavy.</w:t>
      </w:r>
    </w:p>
    <w:p>
      <w:pPr>
        <w:pStyle w:val="MdSpace"/>
        <w:spacing w:before="0" w:after="60"/>
      </w:pPr>
    </w:p>
    <w:p>
      <w:pPr>
        <w:pStyle w:val="MdParagraph"/>
      </w:pPr>
      <w:r>
        <w:rPr>
          <w:rStyle w:val="MdStrong"/>
          <w:b/>
          <w:bCs/>
        </w:rPr>
        <w:t xml:space="preserve">Should Nigel Continue?</w:t>
      </w:r>
      <w:r>
        <w:t xml:space="preserve"> Yes — NUS would be a natural early adopter. The alignment with our curricular direction is genuine, not forced.</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Southeast Asian content gap — Singapore, Malaysia, Indonesia, Thailand have rich infrastructure heritage that's absent</w:t>
      </w:r>
    </w:p>
    <w:p>
      <w:pPr>
        <w:pStyle w:val="MdListItem"/>
        <w:numPr>
          <w:ilvl w:val="0"/>
          <w:numId w:val="2"/>
        </w:numPr>
      </w:pPr>
      <w:r>
        <w:t xml:space="preserve">Language accessibility — the platform is English-only, which limits reach in non-Anglophone Asian markets</w:t>
      </w:r>
    </w:p>
    <w:p>
      <w:pPr>
        <w:pStyle w:val="MdListItem"/>
        <w:numPr>
          <w:ilvl w:val="0"/>
          <w:numId w:val="2"/>
        </w:numPr>
      </w:pPr>
      <w:r>
        <w:t xml:space="preserve">Competition from Singapore's own EdTech ecosystem (which is well-funded and government-supported)</w:t>
      </w:r>
    </w:p>
    <w:p>
      <w:pPr>
        <w:pStyle w:val="MdSpace"/>
        <w:spacing w:before="0" w:after="60"/>
      </w:pPr>
    </w:p>
    <w:p>
      <w:pPr>
        <w:pStyle w:val="MdParagraph"/>
      </w:pPr>
      <w:r>
        <w:rPr>
          <w:rStyle w:val="MdStrong"/>
          <w:b/>
          <w:bCs/>
        </w:rPr>
        <w:t xml:space="preserve">Endorsement Conditions:</w:t>
      </w:r>
      <w:r>
        <w:t xml:space="preserve"> (1) Add Southeast Asian infrastructure content (Strait of Malacca, Angkor Wat, Singapore's water story). (2) Provide learning outcome mapping compatible with NUS's outcomes-based education framework. (3) Pilot with one cohort of NUS students and publish engagement data.</w:t>
      </w:r>
    </w:p>
    <w:p>
      <w:pPr>
        <w:pStyle w:val="MdSpace"/>
        <w:spacing w:before="0" w:after="60"/>
      </w:pPr>
    </w:p>
    <w:p>
      <w:pPr>
        <w:pStyle w:val="MdParagraph"/>
      </w:pPr>
      <w:r>
        <w:rPr>
          <w:rStyle w:val="MdStrong"/>
          <w:b/>
          <w:bCs/>
        </w:rPr>
        <w:t xml:space="preserve">Relay Gaps:</w:t>
      </w:r>
      <w:r>
        <w:t xml:space="preserve"> Strong: 3 (River), 5 (Roads), 6 (Ships — Malacca connection), 12 (Human Nodes). Weak: 8 (Loom — Southeast Asian textile traditions missing), 4 (Horse — less relevant to maritime cultures).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5: Tsinghua University (Beijing, China)</w:t>
      </w:r>
    </w:p>
    <w:p>
      <w:pPr>
        <w:pStyle w:val="MdParagraph"/>
      </w:pPr>
      <w:r>
        <w:rPr>
          <w:rStyle w:val="MdStrong"/>
          <w:b/>
          <w:bCs/>
        </w:rPr>
        <w:t xml:space="preserve">Reviewer Perspective:</w:t>
      </w:r>
      <w:r>
        <w:t xml:space="preserve"> Professor, Department of Civil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16</w:t>
            </w:r>
          </w:p>
        </w:tc>
        <w:tc>
          <w:tcPr>
            <w:tcBorders>
              <w:right w:val="none"/>
            </w:tcBorders>
            <w:tcMar>
              <w:top w:type="dxa" w:w="80"/>
              <w:left w:type="dxa" w:w="120"/>
              <w:bottom w:type="dxa" w:w="80"/>
              <w:right w:type="dxa" w:w="120"/>
            </w:tcMar>
            <w:vAlign w:val="center"/>
          </w:tcPr>
          <w:p>
            <w:pPr>
              <w:pStyle w:val="MdTableCell"/>
            </w:pPr>
            <w:r>
              <w:t xml:space="preserve">Tsinghua's programme is technically rigorous — Mathematics, Physics, Engineering Mechanics, Building Materials form our core. IAAI's relay framework is conceptually interesting but operates at a different level from our curriculum. The alignment is philosophical rather than operational. Relay 3 (River — the Dujiangyan irrigation system is ours) and Relay 5 (Roads — the Silk Road) have direct Chinese relevance, but the treatment is surface-level compared to what our students already know from their cultural education.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Moderate value. Chinese engineering students already possess deep civilisational context — we grow up with the Great Wall, the Grand Canal, and 5,000 years of continuous building. IAAI's value for Tsinghua students is not the Eastern content (which we already have) but the Western and Outrider perspectives that our curriculum does not provide. The comparative framework (3 Modes) is genuinely useful for helping Chinese students understand how other civilisations approached infrastructure.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t xml:space="preserve">The platform's acknowledgment of Eastern Continuous civilisation is respectful and largely accurate. The China Mirror concept is intellectually interesting. However, the treatment of Chinese engineering heritage is inevitably simplified — a platform that covers 12,000 years across all civilisations cannot match the depth of Chinese-language scholarship on Chinese infrastructure. The 7 scholars include Sun Tzu and Sima Qian, which is appropriate. The absence of Li Bing (Dujiangyan), Zheng He, and other Chinese engineers is notable.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16</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Chinese students are highly receptive to gamification — the mobile gaming market in China is the world's largest. However, the platform is English-only, which limits accessibility. The FITS temperament system is interesting but may not resonate with Chinese psychological frameworks (which tend toward collective rather than individual temperament classification). The Olympiad concept would interest Tsinghua — we are competitive by nature.</w:t>
            </w:r>
          </w:p>
        </w:tc>
      </w:tr>
    </w:tbl>
    <w:p>
      <w:pPr>
        <w:pStyle w:val="MdParagraph"/>
      </w:pPr>
      <w:r>
        <w:rPr>
          <w:rStyle w:val="MdStrong"/>
          <w:b/>
          <w:bCs/>
        </w:rPr>
        <w:t xml:space="preserve">Total Score: 67/100</w:t>
      </w:r>
    </w:p>
    <w:p>
      <w:pPr>
        <w:pStyle w:val="MdSpace"/>
        <w:spacing w:before="0" w:after="60"/>
      </w:pPr>
    </w:p>
    <w:p>
      <w:pPr>
        <w:pStyle w:val="MdParagraph"/>
      </w:pPr>
      <w:r>
        <w:rPr>
          <w:rStyle w:val="MdStrong"/>
          <w:b/>
          <w:bCs/>
        </w:rPr>
        <w:t xml:space="preserve">Overall Verdict:</w:t>
      </w:r>
      <w:r>
        <w:t xml:space="preserve"> IAAI is a Western-originated platform that makes a genuine effort to include Eastern perspectives. For Tsinghua, its value lies not in teaching us about our own heritage (which we know) but in providing a global comparative framework that helps our students understand infrastructure as a civilisational phenomenon beyond China. The platform is more useful for Western students learning about the East than for Eastern students learning about themselves. This is not a criticism — it is a positioning observation.</w:t>
      </w:r>
    </w:p>
    <w:p>
      <w:pPr>
        <w:pStyle w:val="MdSpace"/>
        <w:spacing w:before="0" w:after="60"/>
      </w:pPr>
    </w:p>
    <w:p>
      <w:pPr>
        <w:pStyle w:val="MdParagraph"/>
      </w:pPr>
      <w:r>
        <w:rPr>
          <w:rStyle w:val="MdStrong"/>
          <w:b/>
          <w:bCs/>
        </w:rPr>
        <w:t xml:space="preserve">Should Nigel Continue?</w:t>
      </w:r>
      <w:r>
        <w:t xml:space="preserve"> Yes — but with awareness that the Chinese market requires Chinese-language content and deeper Chinese engineering scholarship. The global framework is the unique value proposition.</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Language barrier — English-only excludes 90%+ of Chinese engineering students</w:t>
      </w:r>
    </w:p>
    <w:p>
      <w:pPr>
        <w:pStyle w:val="MdListItem"/>
        <w:numPr>
          <w:ilvl w:val="0"/>
          <w:numId w:val="2"/>
        </w:numPr>
      </w:pPr>
      <w:r>
        <w:t xml:space="preserve">Simplified treatment of Chinese heritage may be perceived as superficial by Chinese academics</w:t>
      </w:r>
    </w:p>
    <w:p>
      <w:pPr>
        <w:pStyle w:val="MdListItem"/>
        <w:numPr>
          <w:ilvl w:val="0"/>
          <w:numId w:val="2"/>
        </w:numPr>
      </w:pPr>
      <w:r>
        <w:t xml:space="preserve">China's own EdTech ecosystem (Zhihu, Bilibili educational content) is massive and locally dominant</w:t>
      </w:r>
    </w:p>
    <w:p>
      <w:pPr>
        <w:pStyle w:val="MdSpace"/>
        <w:spacing w:before="0" w:after="60"/>
      </w:pPr>
    </w:p>
    <w:p>
      <w:pPr>
        <w:pStyle w:val="MdParagraph"/>
      </w:pPr>
      <w:r>
        <w:rPr>
          <w:rStyle w:val="MdStrong"/>
          <w:b/>
          <w:bCs/>
        </w:rPr>
        <w:t xml:space="preserve">Endorsement Conditions:</w:t>
      </w:r>
      <w:r>
        <w:t xml:space="preserve"> (1) Chinese-language version with content reviewed by Chinese engineering historians. (2) Deeper treatment of Chinese engineering achievements (Dujiangyan, Grand Canal, Zheng He's fleet). (3) Formal partnership with a Chinese university for content co-development.</w:t>
      </w:r>
    </w:p>
    <w:p>
      <w:pPr>
        <w:pStyle w:val="MdSpace"/>
        <w:spacing w:before="0" w:after="60"/>
      </w:pPr>
    </w:p>
    <w:p>
      <w:pPr>
        <w:pStyle w:val="MdParagraph"/>
      </w:pPr>
      <w:r>
        <w:rPr>
          <w:rStyle w:val="MdStrong"/>
          <w:b/>
          <w:bCs/>
        </w:rPr>
        <w:t xml:space="preserve">Relay Gaps:</w:t>
      </w:r>
      <w:r>
        <w:t xml:space="preserve"> Strong: 5 (Roads — Silk Road), 6 (Ships — Zheng He), 10 (AAA Triad). Weak: 2 (Tree — Chinese timber engineering traditions underrepresented), 7 (Rail — China's HSR revolution deserves more).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6: IIT Bombay (India)</w:t>
      </w:r>
    </w:p>
    <w:p>
      <w:pPr>
        <w:pStyle w:val="MdParagraph"/>
      </w:pPr>
      <w:r>
        <w:rPr>
          <w:rStyle w:val="MdStrong"/>
          <w:b/>
          <w:bCs/>
        </w:rPr>
        <w:t xml:space="preserve">Reviewer Perspective:</w:t>
      </w:r>
      <w:r>
        <w:t xml:space="preserve"> Professor, Department of Civil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14</w:t>
            </w:r>
          </w:p>
        </w:tc>
        <w:tc>
          <w:tcPr>
            <w:tcBorders>
              <w:right w:val="none"/>
            </w:tcBorders>
            <w:tcMar>
              <w:top w:type="dxa" w:w="80"/>
              <w:left w:type="dxa" w:w="120"/>
              <w:bottom w:type="dxa" w:w="80"/>
              <w:right w:type="dxa" w:w="120"/>
            </w:tcMar>
            <w:vAlign w:val="center"/>
          </w:tcPr>
          <w:p>
            <w:pPr>
              <w:pStyle w:val="MdTableCell"/>
            </w:pPr>
            <w:r>
              <w:t xml:space="preserve">IIT Bombay's BTech is mathematically intensive — our students solve differential equations before they design structures. IAAI operates in a different register entirely. The relay framework is culturally interesting but cannot substitute for or supplement our technical curriculum. The alignment is at the level of inspiration, not instruction. Relay 5 (Roads — the Grand Trunk Road is Indian heritage) and Relay 3 (River — the Indus Valley) have direct relevance.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t xml:space="preserve">Surprisingly high value as a humanities supplement. IIT students are technically exceptional but often lack historical and cultural context for their engineering work. India's engineering education system, inherited from the British colonial model, is numbers-first. IAAI provides the narrative context that our curriculum deliberately excludes. The 4-Pillar Framework's progression from Observational to Thesis mirrors the research methodology we teach at postgraduate level.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India's infrastructure heritage is acknowledged (Indus Valley, Harappan cities) but could be much deeper. The subcontinent's engineering achievements — stepwells, temple engineering, the Grand Trunk Road, the Indian railway network (the world's 4th largest) — deserve more than passing mention. The 3 Modes framework is interesting; India arguably represents a fourth mode — the Syncretic, absorbing and transforming influences from multiple civilisations.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16</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Indian students are highly competitive and digitally engaged. The game mechanics would attract initial interest. The FITS system is psychologically interesting. However, Indian students are pragmatic — they would ask "does this help me get a job?" If IAAI cannot demonstrate career value (CPD points, employer recognition), engagement will be curiosity-driven rather than sustained. The Olympiad would interest IIT — we compete fiercely in everything.</w:t>
            </w:r>
          </w:p>
        </w:tc>
      </w:tr>
    </w:tbl>
    <w:p>
      <w:pPr>
        <w:pStyle w:val="MdParagraph"/>
      </w:pPr>
      <w:r>
        <w:rPr>
          <w:rStyle w:val="MdStrong"/>
          <w:b/>
          <w:bCs/>
        </w:rPr>
        <w:t xml:space="preserve">Total Score: 65/100</w:t>
      </w:r>
    </w:p>
    <w:p>
      <w:pPr>
        <w:pStyle w:val="MdSpace"/>
        <w:spacing w:before="0" w:after="60"/>
      </w:pPr>
    </w:p>
    <w:p>
      <w:pPr>
        <w:pStyle w:val="MdParagraph"/>
      </w:pPr>
      <w:r>
        <w:rPr>
          <w:rStyle w:val="MdStrong"/>
          <w:b/>
          <w:bCs/>
        </w:rPr>
        <w:t xml:space="preserve">Overall Verdict:</w:t>
      </w:r>
      <w:r>
        <w:t xml:space="preserve"> IAAI fills a genuine gap in Indian engineering education — the civilisational context that the IIT system's technical focus deliberately excludes. The platform's value for Indian students is as a humanities bridge: connecting their mathematical rigour to the human story of infrastructure. The treatment of Indian heritage needs deepening. The absence of mathematical content is the single biggest barrier to formal adoption at IIT.</w:t>
      </w:r>
    </w:p>
    <w:p>
      <w:pPr>
        <w:pStyle w:val="MdSpace"/>
        <w:spacing w:before="0" w:after="60"/>
      </w:pPr>
    </w:p>
    <w:p>
      <w:pPr>
        <w:pStyle w:val="MdParagraph"/>
      </w:pPr>
      <w:r>
        <w:rPr>
          <w:rStyle w:val="MdStrong"/>
          <w:b/>
          <w:bCs/>
        </w:rPr>
        <w:t xml:space="preserve">Should Nigel Continue?</w:t>
      </w:r>
      <w:r>
        <w:t xml:space="preserve"> Yes — India's engineering student population (1.5M+ annually) represents a massive addressable market. The platform needs Indian content depth and Hindi/regional language support to penetrate it.</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No mathematical content — IIT faculty cannot recommend a platform without quantitative rigour</w:t>
      </w:r>
    </w:p>
    <w:p>
      <w:pPr>
        <w:pStyle w:val="MdListItem"/>
        <w:numPr>
          <w:ilvl w:val="0"/>
          <w:numId w:val="2"/>
        </w:numPr>
      </w:pPr>
      <w:r>
        <w:t xml:space="preserve">Indian infrastructure heritage is underrepresented relative to its significance</w:t>
      </w:r>
    </w:p>
    <w:p>
      <w:pPr>
        <w:pStyle w:val="MdListItem"/>
        <w:numPr>
          <w:ilvl w:val="0"/>
          <w:numId w:val="2"/>
        </w:numPr>
      </w:pPr>
      <w:r>
        <w:t xml:space="preserve">Price sensitivity — Indian students expect free or very low-cost educational resources</w:t>
      </w:r>
    </w:p>
    <w:p>
      <w:pPr>
        <w:pStyle w:val="MdSpace"/>
        <w:spacing w:before="0" w:after="60"/>
      </w:pPr>
    </w:p>
    <w:p>
      <w:pPr>
        <w:pStyle w:val="MdParagraph"/>
      </w:pPr>
      <w:r>
        <w:rPr>
          <w:rStyle w:val="MdStrong"/>
          <w:b/>
          <w:bCs/>
        </w:rPr>
        <w:t xml:space="preserve">Endorsement Conditions:</w:t>
      </w:r>
      <w:r>
        <w:t xml:space="preserve"> (1) Add Indian engineering case studies (stepwells, temple engineering, Indian Railways). (2) Include basic dimensional analysis and engineering mathematics. (3) Offer free access tier for Indian students.</w:t>
      </w:r>
    </w:p>
    <w:p>
      <w:pPr>
        <w:pStyle w:val="MdSpace"/>
        <w:spacing w:before="0" w:after="60"/>
      </w:pPr>
    </w:p>
    <w:p>
      <w:pPr>
        <w:pStyle w:val="MdParagraph"/>
      </w:pPr>
      <w:r>
        <w:rPr>
          <w:rStyle w:val="MdStrong"/>
          <w:b/>
          <w:bCs/>
        </w:rPr>
        <w:t xml:space="preserve">Relay Gaps:</w:t>
      </w:r>
      <w:r>
        <w:t xml:space="preserve"> Strong: 5 (Roads — Grand Trunk Road), 3 (River — Indus Valley). Weak: 7 (Rail — Indian Railways is a massive omission), 2 (Tree — Indian timber and bamboo traditions), 8 (Loom — Indian textile heritage is world-class and directly relevant).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7: Massachusetts Institute of Technology (USA)</w:t>
      </w:r>
    </w:p>
    <w:p>
      <w:pPr>
        <w:pStyle w:val="MdParagraph"/>
      </w:pPr>
      <w:r>
        <w:rPr>
          <w:rStyle w:val="MdStrong"/>
          <w:b/>
          <w:bCs/>
        </w:rPr>
        <w:t xml:space="preserve">Reviewer Perspective:</w:t>
      </w:r>
      <w:r>
        <w:t xml:space="preserve"> Professor,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21</w:t>
            </w:r>
          </w:p>
        </w:tc>
        <w:tc>
          <w:tcPr>
            <w:tcBorders>
              <w:right w:val="none"/>
            </w:tcBorders>
            <w:tcMar>
              <w:top w:type="dxa" w:w="80"/>
              <w:left w:type="dxa" w:w="120"/>
              <w:bottom w:type="dxa" w:w="80"/>
              <w:right w:type="dxa" w:w="120"/>
            </w:tcMar>
            <w:vAlign w:val="center"/>
          </w:tcPr>
          <w:p>
            <w:pPr>
              <w:pStyle w:val="MdTableCell"/>
            </w:pPr>
            <w:r>
              <w:t xml:space="preserve">MIT's "nano to global" approach and our two centres of gravity (Environment + Infrastructure) are philosophically aligned with IAAI's civilisational lens. Our Systems Engineering course (1.107) teaches exactly the kind of interconnected thinking that IAAI embodies. The 12-relay framework maps well to our breadth requirements. The joint Climate System Science programme (1-12) shows MIT moving toward the same integrated thinking. IAAI could serve as a conceptual companion to our technical courses.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22</w:t>
            </w:r>
          </w:p>
        </w:tc>
        <w:tc>
          <w:tcPr>
            <w:tcBorders>
              <w:right w:val="none"/>
            </w:tcBorders>
            <w:tcMar>
              <w:top w:type="dxa" w:w="80"/>
              <w:left w:type="dxa" w:w="120"/>
              <w:bottom w:type="dxa" w:w="80"/>
              <w:right w:type="dxa" w:w="120"/>
            </w:tcMar>
            <w:vAlign w:val="center"/>
          </w:tcPr>
          <w:p>
            <w:pPr>
              <w:pStyle w:val="MdTableCell"/>
            </w:pPr>
            <w:r>
              <w:t xml:space="preserve">High value. MIT students are intellectually curious beyond their technical specialisation — they take humanities courses at MIT and cross-register at Harvard. IAAI's thesis-level content would appeal to their intellectual ambition. The 4-Pillar Framework is pedagogically sound. The game would engage MIT students as both players and critics (they would want to improve the game mechanics). As a pre-arrival resource, it would set the civilisational context for our technical curriculum.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MIT's student body is globally diverse, and the cross-cultural framework would resonate. However, American engineering education has its own civilisational narrative (the Erie Canal, the Transcontinental Railroad, the Interstate Highway System, the Apollo programme) that IAAI underrepresents. The platform's Western mode is European-centric rather than inclusive of American engineering achievement. The Outrider mode's relevance to American innovation culture is unexplored.</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21</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MIT students would engage deeply with the game — they are gamers, hackers, and builders by nature. The FITS temperament system would generate interesting discussions in our seminar courses. The Infrastructure Olympiad aligns with MIT's competitive culture (we host HackMIT, Battlecode, and other competitions). The 24M XP target would be treated as an optimisation challenge. Partnership is plausible — MIT values interdisciplinary innovation.</w:t>
            </w:r>
          </w:p>
        </w:tc>
      </w:tr>
    </w:tbl>
    <w:p>
      <w:pPr>
        <w:pStyle w:val="MdParagraph"/>
      </w:pPr>
      <w:r>
        <w:rPr>
          <w:rStyle w:val="MdStrong"/>
          <w:b/>
          <w:bCs/>
        </w:rPr>
        <w:t xml:space="preserve">Total Score: 81/100</w:t>
      </w:r>
    </w:p>
    <w:p>
      <w:pPr>
        <w:pStyle w:val="MdSpace"/>
        <w:spacing w:before="0" w:after="60"/>
      </w:pPr>
    </w:p>
    <w:p>
      <w:pPr>
        <w:pStyle w:val="MdParagraph"/>
      </w:pPr>
      <w:r>
        <w:rPr>
          <w:rStyle w:val="MdStrong"/>
          <w:b/>
          <w:bCs/>
        </w:rPr>
        <w:t xml:space="preserve">Overall Verdict:</w:t>
      </w:r>
      <w:r>
        <w:t xml:space="preserve"> IAAI is the most philosophically aligned external educational platform I have encountered for MIT's CEE programme. Its civilisational, systems-level approach mirrors our own educational direction. The content quality is impressive for its scale and age. The platform's weakness is the gap between its conceptual ambition and its technical depth — MIT students would want both the narrative AND the equations. If IAAI added optional quantitative layers (dimensional analysis, basic systems modelling), it could become a genuinely valuable resource for our department.</w:t>
      </w:r>
    </w:p>
    <w:p>
      <w:pPr>
        <w:pStyle w:val="MdSpace"/>
        <w:spacing w:before="0" w:after="60"/>
      </w:pPr>
    </w:p>
    <w:p>
      <w:pPr>
        <w:pStyle w:val="MdParagraph"/>
      </w:pPr>
      <w:r>
        <w:rPr>
          <w:rStyle w:val="MdStrong"/>
          <w:b/>
          <w:bCs/>
        </w:rPr>
        <w:t xml:space="preserve">Should Nigel Continue?</w:t>
      </w:r>
      <w:r>
        <w:t xml:space="preserve"> Yes — this is original, ambitious work that fills a gap no other platform addresses. MIT would be interested in a pilot partnership if the academic rigour deepens.</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American engineering heritage underrepresented (Erie Canal, Interstate System, Apollo)</w:t>
      </w:r>
    </w:p>
    <w:p>
      <w:pPr>
        <w:pStyle w:val="MdListItem"/>
        <w:numPr>
          <w:ilvl w:val="0"/>
          <w:numId w:val="2"/>
        </w:numPr>
      </w:pPr>
      <w:r>
        <w:t xml:space="preserve">No computational/quantitative layer limits integration with MIT's data-driven approach</w:t>
      </w:r>
    </w:p>
    <w:p>
      <w:pPr>
        <w:pStyle w:val="MdListItem"/>
        <w:numPr>
          <w:ilvl w:val="0"/>
          <w:numId w:val="2"/>
        </w:numPr>
      </w:pPr>
      <w:r>
        <w:t xml:space="preserve">Scale challenge — maintaining quality across 74 pages while building a business</w:t>
      </w:r>
    </w:p>
    <w:p>
      <w:pPr>
        <w:pStyle w:val="MdSpace"/>
        <w:spacing w:before="0" w:after="60"/>
      </w:pPr>
    </w:p>
    <w:p>
      <w:pPr>
        <w:pStyle w:val="MdParagraph"/>
      </w:pPr>
      <w:r>
        <w:rPr>
          <w:rStyle w:val="MdStrong"/>
          <w:b/>
          <w:bCs/>
        </w:rPr>
        <w:t xml:space="preserve">Endorsement Conditions:</w:t>
      </w:r>
      <w:r>
        <w:t xml:space="preserve"> (1) Add American infrastructure case studies. (2) Include optional quantitative modules (dimensional analysis, systems modelling). (3) Publish engagement data from pilot testing at a peer-reviewed education conference.</w:t>
      </w:r>
    </w:p>
    <w:p>
      <w:pPr>
        <w:pStyle w:val="MdSpace"/>
        <w:spacing w:before="0" w:after="60"/>
      </w:pPr>
    </w:p>
    <w:p>
      <w:pPr>
        <w:pStyle w:val="MdParagraph"/>
      </w:pPr>
      <w:r>
        <w:rPr>
          <w:rStyle w:val="MdStrong"/>
          <w:b/>
          <w:bCs/>
        </w:rPr>
        <w:t xml:space="preserve">Relay Gaps:</w:t>
      </w:r>
      <w:r>
        <w:t xml:space="preserve"> Strong: 1 (Fire), 9 (Engine), 10 (AAA Triad), 11 (Orbit — space is MIT territory), 12 (Human Nodes). Weak: 6 (Ships — American maritime heritage missing), 7 (Rail — Transcontinental Railroad).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8: Stanford University (USA)</w:t>
      </w:r>
    </w:p>
    <w:p>
      <w:pPr>
        <w:pStyle w:val="MdParagraph"/>
      </w:pPr>
      <w:r>
        <w:rPr>
          <w:rStyle w:val="MdStrong"/>
          <w:b/>
          <w:bCs/>
        </w:rPr>
        <w:t xml:space="preserve">Reviewer Perspective:</w:t>
      </w:r>
      <w:r>
        <w:t xml:space="preserve"> Associate Professor,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Stanford's "both technical and people-oriented" framing is directly aligned with IAAI's human-infrastructure thesis. Our 7 Focus Areas map to IAAI's relays: Structural Engineering → Relay 2 (Tree), Environmental Fluid Mechanics → Relay 3 (River), Energy &amp; Climate → Relay 1 (Fire), Urban Systems → Relay 12 (Human Nodes). Our early-access courses like "Clean Water Now!" and "How Buildings Are Made" share IAAI's accessible, narrative-first approach. The alignment is genuine.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22</w:t>
            </w:r>
          </w:p>
        </w:tc>
        <w:tc>
          <w:tcPr>
            <w:tcBorders>
              <w:right w:val="none"/>
            </w:tcBorders>
            <w:tcMar>
              <w:top w:type="dxa" w:w="80"/>
              <w:left w:type="dxa" w:w="120"/>
              <w:bottom w:type="dxa" w:w="80"/>
              <w:right w:type="dxa" w:w="120"/>
            </w:tcMar>
            <w:vAlign w:val="center"/>
          </w:tcPr>
          <w:p>
            <w:pPr>
              <w:pStyle w:val="MdTableCell"/>
            </w:pPr>
            <w:r>
              <w:t xml:space="preserve">Stanford values interdisciplinary thinking and entrepreneurial approaches to education. IAAI embodies both. The game-based learning approach aligns with Stanford's d.school design thinking methodology. The 4-Pillar Framework (Observational → Educational → Application → Thesis) mirrors our own project-based learning progression. As a pre-university resource or a breadth elective companion, IAAI adds significant value. The thesis-level ambition would appeal to our graduate students.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t xml:space="preserve">Stanford's Silicon Valley context means our students think in terms of disruption and innovation. IAAI's Trojan Horse strategy (game as entry point, learning as outcome) speaks their language. The cross-cultural framework resonates with our diverse student body. However, the platform could better connect to the American West Coast engineering narrative — the Golden Gate Bridge, Silicon Valley's infrastructure, California's water wars, earthquake engineering.</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22</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Stanford students would be the ideal early adopters. They are gamers, builders, and entrepreneurs. The FITS system would generate self-reflection. The Olympiad concept aligns with Stanford's competitive culture. Several students would likely want to IMPROVE the platform as a project — which is the highest form of engagement. The 24M XP target would be treated as a design challenge. Partnership interest: high.</w:t>
            </w:r>
          </w:p>
        </w:tc>
      </w:tr>
    </w:tbl>
    <w:p>
      <w:pPr>
        <w:pStyle w:val="MdParagraph"/>
      </w:pPr>
      <w:r>
        <w:rPr>
          <w:rStyle w:val="MdStrong"/>
          <w:b/>
          <w:bCs/>
        </w:rPr>
        <w:t xml:space="preserve">Total Score: 82/100</w:t>
      </w:r>
    </w:p>
    <w:p>
      <w:pPr>
        <w:pStyle w:val="MdSpace"/>
        <w:spacing w:before="0" w:after="60"/>
      </w:pPr>
    </w:p>
    <w:p>
      <w:pPr>
        <w:pStyle w:val="MdParagraph"/>
      </w:pPr>
      <w:r>
        <w:rPr>
          <w:rStyle w:val="MdStrong"/>
          <w:b/>
          <w:bCs/>
        </w:rPr>
        <w:t xml:space="preserve">Overall Verdict:</w:t>
      </w:r>
      <w:r>
        <w:t xml:space="preserve"> IAAI is remarkably well-aligned with Stanford's educational philosophy. The people-oriented, systems-level, interdisciplinary approach mirrors our own values. The execution is impressive — this feels like a well-funded EdTech startup, not a solo project. The platform's greatest strength is its originality: no competitor exists in this space. The greatest risk is the gap between solo-founder capacity and the scale of ambition. Stanford would be interested in a formal evaluation if pilot data were available.</w:t>
      </w:r>
    </w:p>
    <w:p>
      <w:pPr>
        <w:pStyle w:val="MdSpace"/>
        <w:spacing w:before="0" w:after="60"/>
      </w:pPr>
    </w:p>
    <w:p>
      <w:pPr>
        <w:pStyle w:val="MdParagraph"/>
      </w:pPr>
      <w:r>
        <w:rPr>
          <w:rStyle w:val="MdStrong"/>
          <w:b/>
          <w:bCs/>
        </w:rPr>
        <w:t xml:space="preserve">Should Nigel Continue?</w:t>
      </w:r>
      <w:r>
        <w:t xml:space="preserve"> Yes — Stanford's d.school would find this fascinating as a case study in design thinking applied to civilisational education. The concept is fundable.</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Solo-founder risk — the platform needs a team to scale</w:t>
      </w:r>
    </w:p>
    <w:p>
      <w:pPr>
        <w:pStyle w:val="MdListItem"/>
        <w:numPr>
          <w:ilvl w:val="0"/>
          <w:numId w:val="2"/>
        </w:numPr>
      </w:pPr>
      <w:r>
        <w:t xml:space="preserve">West Coast / American engineering narrative is underrepresented</w:t>
      </w:r>
    </w:p>
    <w:p>
      <w:pPr>
        <w:pStyle w:val="MdListItem"/>
        <w:numPr>
          <w:ilvl w:val="0"/>
          <w:numId w:val="2"/>
        </w:numPr>
      </w:pPr>
      <w:r>
        <w:t xml:space="preserve">The EdTech market is crowded; differentiation must be crystal clear</w:t>
      </w:r>
    </w:p>
    <w:p>
      <w:pPr>
        <w:pStyle w:val="MdSpace"/>
        <w:spacing w:before="0" w:after="60"/>
      </w:pPr>
    </w:p>
    <w:p>
      <w:pPr>
        <w:pStyle w:val="MdParagraph"/>
      </w:pPr>
      <w:r>
        <w:rPr>
          <w:rStyle w:val="MdStrong"/>
          <w:b/>
          <w:bCs/>
        </w:rPr>
        <w:t xml:space="preserve">Endorsement Conditions:</w:t>
      </w:r>
      <w:r>
        <w:t xml:space="preserve"> (1) Pilot with 50+ Stanford students and publish results. (2) Add California/West Coast infrastructure case studies. (3) Present at Stanford's d.school or Engineering Education conference.</w:t>
      </w:r>
    </w:p>
    <w:p>
      <w:pPr>
        <w:pStyle w:val="MdSpace"/>
        <w:spacing w:before="0" w:after="60"/>
      </w:pPr>
    </w:p>
    <w:p>
      <w:pPr>
        <w:pStyle w:val="MdParagraph"/>
      </w:pPr>
      <w:r>
        <w:rPr>
          <w:rStyle w:val="MdStrong"/>
          <w:b/>
          <w:bCs/>
        </w:rPr>
        <w:t xml:space="preserve">Relay Gaps:</w:t>
      </w:r>
      <w:r>
        <w:t xml:space="preserve"> Strong: 1 (Fire), 3 (River), 10 (AAA Triad), 12 (Human Nodes). Weak: 6 (Ships — Pacific maritime history), 7 (Rail — Transcontinental Railroad), 11 (Orbit — could connect to Stanford's space engineering).</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9: University of California, Berkeley (USA)</w:t>
      </w:r>
    </w:p>
    <w:p>
      <w:pPr>
        <w:pStyle w:val="MdParagraph"/>
      </w:pPr>
      <w:r>
        <w:rPr>
          <w:rStyle w:val="MdStrong"/>
          <w:b/>
          <w:bCs/>
        </w:rPr>
        <w:t xml:space="preserve">Reviewer Perspective:</w:t>
      </w:r>
      <w:r>
        <w:t xml:space="preserve"> Professor,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t xml:space="preserve">Berkeley's three core areas (Environmental Science &amp; Engineering, Civil Infrastructure, Economics &amp; Policy) align with IAAI's framework. The "Economics &amp; Policy" area is particularly interesting — IAAI's Relay 10 (AAA Triad: Accountability, Assurance, Advocacy) directly addresses governance and policy dimensions that most engineering programmes treat as peripheral. Our GeoSystems and Transportation tracks map to Relays 3-5.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Strong value as contextual enrichment. Berkeley's proximity to Silicon Valley means our students are technology-focused; IAAI provides the historical grounding that technology-first thinking often lacks. The game would engage our students — Berkeley has a strong gaming culture. The thesis-level content could serve as reading material for our graduate seminars on infrastructure policy.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Berkeley's diverse student body (significant Asian-American, Latino, and international representation) would find the cross-cultural framework relevant. California's own infrastructure story — the Gold Rush, the Transcontinental Railroad, the Central Valley water system, earthquake engineering — is rich and underrepresented in IAAI. The platform's Western mode should include American infrastructure narratives alongside European ones.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gamification is innovative for engineering education. Berkeley students would engage but would also critique — they are politically aware and would question the platform's framing of civilisation, colonialism, and infrastructure's role in power structures. This is not a weakness; it is an opportunity for deeper engagement. The Olympiad concept aligns with Berkeley's competitive academic culture.</w:t>
            </w:r>
          </w:p>
        </w:tc>
      </w:tr>
    </w:tbl>
    <w:p>
      <w:pPr>
        <w:pStyle w:val="MdParagraph"/>
      </w:pPr>
      <w:r>
        <w:rPr>
          <w:rStyle w:val="MdStrong"/>
          <w:b/>
          <w:bCs/>
        </w:rPr>
        <w:t xml:space="preserve">Total Score: 72/100</w:t>
      </w:r>
    </w:p>
    <w:p>
      <w:pPr>
        <w:pStyle w:val="MdSpace"/>
        <w:spacing w:before="0" w:after="60"/>
      </w:pPr>
    </w:p>
    <w:p>
      <w:pPr>
        <w:pStyle w:val="MdParagraph"/>
      </w:pPr>
      <w:r>
        <w:rPr>
          <w:rStyle w:val="MdStrong"/>
          <w:b/>
          <w:bCs/>
        </w:rPr>
        <w:t xml:space="preserve">Overall Verdict:</w:t>
      </w:r>
      <w:r>
        <w:t xml:space="preserve"> IAAI is a thoughtful platform that addresses a genuine gap in engineering education. Berkeley's perspective adds a critical dimension: the platform should engage more explicitly with infrastructure's role in power, inequality, and environmental justice — themes that are central to Berkeley's academic culture. The relay framework is strong but could be more critically self-aware. The execution is impressive and the concept is original.</w:t>
      </w:r>
    </w:p>
    <w:p>
      <w:pPr>
        <w:pStyle w:val="MdSpace"/>
        <w:spacing w:before="0" w:after="60"/>
      </w:pPr>
    </w:p>
    <w:p>
      <w:pPr>
        <w:pStyle w:val="MdParagraph"/>
      </w:pPr>
      <w:r>
        <w:rPr>
          <w:rStyle w:val="MdStrong"/>
          <w:b/>
          <w:bCs/>
        </w:rPr>
        <w:t xml:space="preserve">Should Nigel Continue?</w:t>
      </w:r>
      <w:r>
        <w:t xml:space="preserve"> Yes — with awareness that American academic audiences will expect critical engagement with infrastructure's darker history (colonialism, displacement, environmental destruction).</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Insufficient critical engagement with infrastructure's role in colonialism and inequality</w:t>
      </w:r>
    </w:p>
    <w:p>
      <w:pPr>
        <w:pStyle w:val="MdListItem"/>
        <w:numPr>
          <w:ilvl w:val="0"/>
          <w:numId w:val="2"/>
        </w:numPr>
      </w:pPr>
      <w:r>
        <w:t xml:space="preserve">American infrastructure narrative underrepresented</w:t>
      </w:r>
    </w:p>
    <w:p>
      <w:pPr>
        <w:pStyle w:val="MdListItem"/>
        <w:numPr>
          <w:ilvl w:val="0"/>
          <w:numId w:val="2"/>
        </w:numPr>
      </w:pPr>
      <w:r>
        <w:t xml:space="preserve">Academic credibility requires peer review and published research</w:t>
      </w:r>
    </w:p>
    <w:p>
      <w:pPr>
        <w:pStyle w:val="MdSpace"/>
        <w:spacing w:before="0" w:after="60"/>
      </w:pPr>
    </w:p>
    <w:p>
      <w:pPr>
        <w:pStyle w:val="MdParagraph"/>
      </w:pPr>
      <w:r>
        <w:rPr>
          <w:rStyle w:val="MdStrong"/>
          <w:b/>
          <w:bCs/>
        </w:rPr>
        <w:t xml:space="preserve">Endorsement Conditions:</w:t>
      </w:r>
      <w:r>
        <w:t xml:space="preserve"> (1) Add critical perspectives on infrastructure and power. (2) Include American infrastructure case studies. (3) Publish in a peer-reviewed engineering education journal.</w:t>
      </w:r>
    </w:p>
    <w:p>
      <w:pPr>
        <w:pStyle w:val="MdSpace"/>
        <w:spacing w:before="0" w:after="60"/>
      </w:pPr>
    </w:p>
    <w:p>
      <w:pPr>
        <w:pStyle w:val="MdParagraph"/>
      </w:pPr>
      <w:r>
        <w:rPr>
          <w:rStyle w:val="MdStrong"/>
          <w:b/>
          <w:bCs/>
        </w:rPr>
        <w:t xml:space="preserve">Relay Gaps:</w:t>
      </w:r>
      <w:r>
        <w:t xml:space="preserve"> Strong: 3 (River), 5 (Roads), 10 (AAA Triad), 12 (Human Nodes). Weak: 6 (Ships — Pacific maritime), 7 (Rail — Transcontinental Railroad), 8 (Loom — labour and industrialisation).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10: Khalifa University (Abu Dhabi, UAE)</w:t>
      </w:r>
    </w:p>
    <w:p>
      <w:pPr>
        <w:pStyle w:val="MdParagraph"/>
      </w:pPr>
      <w:r>
        <w:rPr>
          <w:rStyle w:val="MdStrong"/>
          <w:b/>
          <w:bCs/>
        </w:rPr>
        <w:t xml:space="preserve">Reviewer Perspective:</w:t>
      </w:r>
      <w:r>
        <w:t xml:space="preserve"> Associate Professor, Department of Civil Infrastructure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Khalifa's department is named "Civil Infrastructure and Environmental Engineering" — we already speak IAAI's language. Our curriculum is infrastructure-first because the UAE is building at unprecedented scale. IAAI's 12-relay framework provides the historical depth that our forward-looking curriculum lacks. We teach students HOW to build Masdar City; IAAI teaches them WHY infrastructure matters across 12,000 years. The complementarity is exceptional.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21</w:t>
            </w:r>
          </w:p>
        </w:tc>
        <w:tc>
          <w:tcPr>
            <w:tcBorders>
              <w:right w:val="none"/>
            </w:tcBorders>
            <w:tcMar>
              <w:top w:type="dxa" w:w="80"/>
              <w:left w:type="dxa" w:w="120"/>
              <w:bottom w:type="dxa" w:w="80"/>
              <w:right w:type="dxa" w:w="120"/>
            </w:tcMar>
            <w:vAlign w:val="center"/>
          </w:tcPr>
          <w:p>
            <w:pPr>
              <w:pStyle w:val="MdTableCell"/>
            </w:pPr>
            <w:r>
              <w:t xml:space="preserve">Very high value. Our students are building the future but often lack historical context for what they're building. IAAI provides that context. The game would engage our students — the UAE's young population is highly digitally engaged. The 4-Pillar Framework aligns with our outcomes-based education approach. As a CPD resource for engineers working on NEOM, Masdar, and other megaprojects, IAAI would provide civilisational perspective that no technical manual offers.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The Middle East's infrastructure heritage is acknowledged but could be deeper. The Islamic Golden Age's engineering achievements (irrigation systems, windcatchers, the qanat network, Islamic geometric architecture) deserve more explicit coverage. The platform's treatment of the Silk Road and maritime trade routes is relevant to the UAE's historical position as a trading hub. The 3 Modes framework is interesting — the Middle East arguably represents a bridge between all three modes.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gamification would resonate strongly with UAE students. The FITS temperament system is culturally neutral enough to work across the region's diverse student body (Emirati, South Asian, Arab, Western expat). The Infrastructure Olympiad aligns with the UAE's ambition to host global events and competitions. The 24M XP target is achievable for engaged students. Partnership interest: very high — the UAE government actively seeks innovative educational partnerships.</w:t>
            </w:r>
          </w:p>
        </w:tc>
      </w:tr>
    </w:tbl>
    <w:p>
      <w:pPr>
        <w:pStyle w:val="MdParagraph"/>
      </w:pPr>
      <w:r>
        <w:rPr>
          <w:rStyle w:val="MdStrong"/>
          <w:b/>
          <w:bCs/>
        </w:rPr>
        <w:t xml:space="preserve">Total Score: 80/100</w:t>
      </w:r>
    </w:p>
    <w:p>
      <w:pPr>
        <w:pStyle w:val="MdSpace"/>
        <w:spacing w:before="0" w:after="60"/>
      </w:pPr>
    </w:p>
    <w:p>
      <w:pPr>
        <w:pStyle w:val="MdParagraph"/>
      </w:pPr>
      <w:r>
        <w:rPr>
          <w:rStyle w:val="MdStrong"/>
          <w:b/>
          <w:bCs/>
        </w:rPr>
        <w:t xml:space="preserve">Overall Verdict:</w:t>
      </w:r>
      <w:r>
        <w:t xml:space="preserve"> IAAI is exceptionally well-suited to the UAE's educational context. A nation that is literally building itself from desert needs the civilisational perspective that IAAI provides — the understanding that infrastructure is not just construction but the foundation of civilisation itself. Khalifa University's "Civil Infrastructure" naming shows we already think this way. IAAI formalises and deepens that thinking. This is the strongest natural fit in the 12-university comparison.</w:t>
      </w:r>
    </w:p>
    <w:p>
      <w:pPr>
        <w:pStyle w:val="MdSpace"/>
        <w:spacing w:before="0" w:after="60"/>
      </w:pPr>
    </w:p>
    <w:p>
      <w:pPr>
        <w:pStyle w:val="MdParagraph"/>
      </w:pPr>
      <w:r>
        <w:rPr>
          <w:rStyle w:val="MdStrong"/>
          <w:b/>
          <w:bCs/>
        </w:rPr>
        <w:t xml:space="preserve">Should Nigel Continue?</w:t>
      </w:r>
      <w:r>
        <w:t xml:space="preserve"> Yes — the Middle East is the most fertile ground for IAAI adoption. These nations are building NOW and need historical depth. IAAI provides it.</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Islamic Golden Age engineering heritage needs deeper treatment</w:t>
      </w:r>
    </w:p>
    <w:p>
      <w:pPr>
        <w:pStyle w:val="MdListItem"/>
        <w:numPr>
          <w:ilvl w:val="0"/>
          <w:numId w:val="2"/>
        </w:numPr>
      </w:pPr>
      <w:r>
        <w:t xml:space="preserve">Arabic language support essential for regional penetration</w:t>
      </w:r>
    </w:p>
    <w:p>
      <w:pPr>
        <w:pStyle w:val="MdListItem"/>
        <w:numPr>
          <w:ilvl w:val="0"/>
          <w:numId w:val="2"/>
        </w:numPr>
      </w:pPr>
      <w:r>
        <w:t xml:space="preserve">Government partnership processes in the UAE are slow despite enthusiasm</w:t>
      </w:r>
    </w:p>
    <w:p>
      <w:pPr>
        <w:pStyle w:val="MdSpace"/>
        <w:spacing w:before="0" w:after="60"/>
      </w:pPr>
    </w:p>
    <w:p>
      <w:pPr>
        <w:pStyle w:val="MdParagraph"/>
      </w:pPr>
      <w:r>
        <w:rPr>
          <w:rStyle w:val="MdStrong"/>
          <w:b/>
          <w:bCs/>
        </w:rPr>
        <w:t xml:space="preserve">Endorsement Conditions:</w:t>
      </w:r>
      <w:r>
        <w:t xml:space="preserve"> (1) Add Islamic Golden Age engineering content (qanats, windcatchers, geometric architecture). (2) Arabic language version. (3) Align with UAE National Innovation Strategy.</w:t>
      </w:r>
    </w:p>
    <w:p>
      <w:pPr>
        <w:pStyle w:val="MdSpace"/>
        <w:spacing w:before="0" w:after="60"/>
      </w:pPr>
    </w:p>
    <w:p>
      <w:pPr>
        <w:pStyle w:val="MdParagraph"/>
      </w:pPr>
      <w:r>
        <w:rPr>
          <w:rStyle w:val="MdStrong"/>
          <w:b/>
          <w:bCs/>
        </w:rPr>
        <w:t xml:space="preserve">Relay Gaps:</w:t>
      </w:r>
      <w:r>
        <w:t xml:space="preserve"> Strong: 1 (Fire — desert energy), 5 (Roads — trade routes), 6 (Ships — maritime heritage), 10 (AAA Triad — governance). Weak: 7 (Rail — limited regional relevance), 8 (Loom — needs Middle Eastern textile/craft traditions).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11: Qatar University (Doha, Qatar)</w:t>
      </w:r>
    </w:p>
    <w:p>
      <w:pPr>
        <w:pStyle w:val="MdParagraph"/>
      </w:pPr>
      <w:r>
        <w:rPr>
          <w:rStyle w:val="MdStrong"/>
          <w:b/>
          <w:bCs/>
        </w:rPr>
        <w:t xml:space="preserve">Reviewer Perspective:</w:t>
      </w:r>
      <w:r>
        <w:t xml:space="preserve"> Associate Professor, Department of Civil and Architectural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17</w:t>
            </w:r>
          </w:p>
        </w:tc>
        <w:tc>
          <w:tcPr>
            <w:tcBorders>
              <w:right w:val="none"/>
            </w:tcBorders>
            <w:tcMar>
              <w:top w:type="dxa" w:w="80"/>
              <w:left w:type="dxa" w:w="120"/>
              <w:bottom w:type="dxa" w:w="80"/>
              <w:right w:type="dxa" w:w="120"/>
            </w:tcMar>
            <w:vAlign w:val="center"/>
          </w:tcPr>
          <w:p>
            <w:pPr>
              <w:pStyle w:val="MdTableCell"/>
            </w:pPr>
            <w:r>
              <w:t xml:space="preserve">Qatar University's ABET-accredited programme is technically focused with 131 credit hours. IAAI's relay framework provides contextual enrichment that our credit structure cannot accommodate. The alignment is supplementary rather than integrated. Qatar's recent megaproject experience (World Cup infrastructure, Lusail City, Doha Metro) could serve as living case studies for multiple relays.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Strong value as enrichment. Our students built the World Cup — they understand modern infrastructure. What they lack is the 12,000-year perspective. IAAI provides that. The game would engage our students, particularly the competitive elements. The Arabic language requirement in our programme reflects our commitment to cultural identity; IAAI's cross-cultural framework complements this by showing how Arabic-speaking civilisations contributed to global infrastructure.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Qatar sits at the crossroads of ancient trade routes — the pearl diving heritage, the maritime traditions, the desert engineering. IAAI's framework acknowledges this positioning but could go deeper. The platform's treatment of Islamic civilisation's engineering contributions is respectful but brief. Qatar's own story — from pearl diving village to World Cup host in 50 years — is one of the most dramatic infrastructure transformations in human history and deserves explicit mention.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17</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gamification would work well with our student demographic. Qatar's young population is highly digitally engaged. The Olympiad concept aligns with Qatar's post-World Cup ambition to host global events. The FITS system is culturally appropriate. Concern: the platform's English-only format limits accessibility for Arabic-medium students.</w:t>
            </w:r>
          </w:p>
        </w:tc>
      </w:tr>
    </w:tbl>
    <w:p>
      <w:pPr>
        <w:pStyle w:val="MdParagraph"/>
      </w:pPr>
      <w:r>
        <w:rPr>
          <w:rStyle w:val="MdStrong"/>
          <w:b/>
          <w:bCs/>
        </w:rPr>
        <w:t xml:space="preserve">Total Score: 72/100</w:t>
      </w:r>
    </w:p>
    <w:p>
      <w:pPr>
        <w:pStyle w:val="MdSpace"/>
        <w:spacing w:before="0" w:after="60"/>
      </w:pPr>
    </w:p>
    <w:p>
      <w:pPr>
        <w:pStyle w:val="MdParagraph"/>
      </w:pPr>
      <w:r>
        <w:rPr>
          <w:rStyle w:val="MdStrong"/>
          <w:b/>
          <w:bCs/>
        </w:rPr>
        <w:t xml:space="preserve">Overall Verdict:</w:t>
      </w:r>
      <w:r>
        <w:t xml:space="preserve"> IAAI provides the historical depth that Qatar's rapid modernisation narrative needs. A nation that transformed from pearl diving to World Cup hosting in 50 years needs to understand that this transformation is part of a 12,000-year civilisational story, not an isolated miracle. IAAI provides that perspective. The platform would serve as a valuable enrichment resource for our students and a CPD tool for engineers working on Qatar's ongoing megaprojects.</w:t>
      </w:r>
    </w:p>
    <w:p>
      <w:pPr>
        <w:pStyle w:val="MdSpace"/>
        <w:spacing w:before="0" w:after="60"/>
      </w:pPr>
    </w:p>
    <w:p>
      <w:pPr>
        <w:pStyle w:val="MdParagraph"/>
      </w:pPr>
      <w:r>
        <w:rPr>
          <w:rStyle w:val="MdStrong"/>
          <w:b/>
          <w:bCs/>
        </w:rPr>
        <w:t xml:space="preserve">Should Nigel Continue?</w:t>
      </w:r>
      <w:r>
        <w:t xml:space="preserve"> Yes — Qatar's post-World Cup educational investment creates a receptive market for innovative learning platforms.</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Arabic language essential — English-only limits reach</w:t>
      </w:r>
    </w:p>
    <w:p>
      <w:pPr>
        <w:pStyle w:val="MdListItem"/>
        <w:numPr>
          <w:ilvl w:val="0"/>
          <w:numId w:val="2"/>
        </w:numPr>
      </w:pPr>
      <w:r>
        <w:t xml:space="preserve">Qatar's own infrastructure transformation story needs explicit inclusion</w:t>
      </w:r>
    </w:p>
    <w:p>
      <w:pPr>
        <w:pStyle w:val="MdListItem"/>
        <w:numPr>
          <w:ilvl w:val="0"/>
          <w:numId w:val="2"/>
        </w:numPr>
      </w:pPr>
      <w:r>
        <w:t xml:space="preserve">Competition from Qatar Foundation's own educational initiatives (QF, WISE)</w:t>
      </w:r>
    </w:p>
    <w:p>
      <w:pPr>
        <w:pStyle w:val="MdSpace"/>
        <w:spacing w:before="0" w:after="60"/>
      </w:pPr>
    </w:p>
    <w:p>
      <w:pPr>
        <w:pStyle w:val="MdParagraph"/>
      </w:pPr>
      <w:r>
        <w:rPr>
          <w:rStyle w:val="MdStrong"/>
          <w:b/>
          <w:bCs/>
        </w:rPr>
        <w:t xml:space="preserve">Endorsement Conditions:</w:t>
      </w:r>
      <w:r>
        <w:t xml:space="preserve"> (1) Arabic language version. (2) Qatar case study (World Cup infrastructure as a relay example). (3) Alignment with Qatar National Vision 2030.</w:t>
      </w:r>
    </w:p>
    <w:p>
      <w:pPr>
        <w:pStyle w:val="MdSpace"/>
        <w:spacing w:before="0" w:after="60"/>
      </w:pPr>
    </w:p>
    <w:p>
      <w:pPr>
        <w:pStyle w:val="MdParagraph"/>
      </w:pPr>
      <w:r>
        <w:rPr>
          <w:rStyle w:val="MdStrong"/>
          <w:b/>
          <w:bCs/>
        </w:rPr>
        <w:t xml:space="preserve">Relay Gaps:</w:t>
      </w:r>
      <w:r>
        <w:t xml:space="preserve"> Strong: 3 (River — water desalination), 5 (Roads — trade routes), 6 (Ships — maritime heritage). Weak: 7 (Rail — Doha Metro deserves mention), 8 (Loom), 11 (Orbit — Qatar's space ambitions).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Review 12: King Fahd University of Petroleum and Minerals (Dhahran, Saudi Arabia)</w:t>
      </w:r>
    </w:p>
    <w:p>
      <w:pPr>
        <w:pStyle w:val="MdParagraph"/>
      </w:pPr>
      <w:r>
        <w:rPr>
          <w:rStyle w:val="MdStrong"/>
          <w:b/>
          <w:bCs/>
        </w:rPr>
        <w:t xml:space="preserve">Reviewer Perspective:</w:t>
      </w:r>
      <w:r>
        <w:t xml:space="preserve"> Professor, Department of Civil and Environmental Engineering</w:t>
      </w:r>
    </w:p>
    <w:p>
      <w:pPr>
        <w:pStyle w:val="MdSpace"/>
        <w:spacing w:before="0" w:after="60"/>
      </w:pPr>
    </w:p>
    <w:p>
      <w:pPr>
        <w:pStyle w:val="Heading3"/>
        <w:pStyle w:val="MdHeading3"/>
      </w:pPr>
      <w:r>
        <w:t xml:space="preserve">Scores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Category</w:t>
            </w:r>
          </w:p>
        </w:tc>
        <w:tc>
          <w:tcPr>
            <w:tcMar>
              <w:top w:type="dxa" w:w="100"/>
              <w:left w:type="dxa" w:w="120"/>
              <w:bottom w:type="dxa" w:w="100"/>
              <w:right w:type="dxa" w:w="120"/>
            </w:tcMar>
            <w:vAlign w:val="center"/>
          </w:tcPr>
          <w:p>
            <w:pPr>
              <w:pStyle w:val="MdTableHeader"/>
            </w:pPr>
            <w:r>
              <w:t xml:space="preserve">Score (/25)</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Curriculum Alignment</w:t>
            </w:r>
          </w:p>
        </w:tc>
        <w:tc>
          <w:tcPr>
            <w:tcMar>
              <w:top w:type="dxa" w:w="80"/>
              <w:left w:type="dxa" w:w="120"/>
              <w:bottom w:type="dxa" w:w="80"/>
              <w:right w:type="dxa" w:w="120"/>
            </w:tcMar>
            <w:vAlign w:val="center"/>
          </w:tcPr>
          <w:p>
            <w:pPr>
              <w:pStyle w:val="MdTableCell"/>
            </w:pPr>
            <w:r>
              <w:t xml:space="preserve">18</w:t>
            </w:r>
          </w:p>
        </w:tc>
        <w:tc>
          <w:tcPr>
            <w:tcBorders>
              <w:right w:val="none"/>
            </w:tcBorders>
            <w:tcMar>
              <w:top w:type="dxa" w:w="80"/>
              <w:left w:type="dxa" w:w="120"/>
              <w:bottom w:type="dxa" w:w="80"/>
              <w:right w:type="dxa" w:w="120"/>
            </w:tcMar>
            <w:vAlign w:val="center"/>
          </w:tcPr>
          <w:p>
            <w:pPr>
              <w:pStyle w:val="MdTableCell"/>
            </w:pPr>
            <w:r>
              <w:t xml:space="preserve">KFUPM's programme sits at the petroleum-infrastructure nexus. IAAI's Relay 1 (Fire/Energy) is directly relevant to our core identity. The broader relay framework provides the diversification perspective that Vision 2030 demands — our students need to think beyond petroleum infrastructure. IAAI's 12 relays map to the 12 sectors that Vision 2030 targets for economic diversification. The alignment is strategic, not just academic.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Pedagogical Value</w:t>
            </w:r>
          </w:p>
        </w:tc>
        <w:tc>
          <w:tcPr>
            <w:tcMar>
              <w:top w:type="dxa" w:w="80"/>
              <w:left w:type="dxa" w:w="120"/>
              <w:bottom w:type="dxa" w:w="80"/>
              <w:right w:type="dxa" w:w="120"/>
            </w:tcMar>
            <w:vAlign w:val="center"/>
          </w:tcPr>
          <w:p>
            <w:pPr>
              <w:pStyle w:val="MdTableCell"/>
            </w:pPr>
            <w:r>
              <w:t xml:space="preserve">20</w:t>
            </w:r>
          </w:p>
        </w:tc>
        <w:tc>
          <w:tcPr>
            <w:tcBorders>
              <w:right w:val="none"/>
            </w:tcBorders>
            <w:tcMar>
              <w:top w:type="dxa" w:w="80"/>
              <w:left w:type="dxa" w:w="120"/>
              <w:bottom w:type="dxa" w:w="80"/>
              <w:right w:type="dxa" w:w="120"/>
            </w:tcMar>
            <w:vAlign w:val="center"/>
          </w:tcPr>
          <w:p>
            <w:pPr>
              <w:pStyle w:val="MdTableCell"/>
            </w:pPr>
            <w:r>
              <w:t xml:space="preserve">Very high value. Saudi Arabia is building NEOM ($500B), The Line (170km linear city), and transforming its entire infrastructure base. Our students will build this future. IAAI provides the civilisational context that transforms a construction engineer into an infrastructure thinker. The game would engage our students — Saudi Arabia's gaming market is the largest in the Middle East. The thesis-level content could serve as reading material for our graduate programmes.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Cultural Relevance</w:t>
            </w:r>
          </w:p>
        </w:tc>
        <w:tc>
          <w:tcPr>
            <w:tcMar>
              <w:top w:type="dxa" w:w="80"/>
              <w:left w:type="dxa" w:w="120"/>
              <w:bottom w:type="dxa" w:w="80"/>
              <w:right w:type="dxa" w:w="120"/>
            </w:tcMar>
            <w:vAlign w:val="center"/>
          </w:tcPr>
          <w:p>
            <w:pPr>
              <w:pStyle w:val="MdTableCell"/>
            </w:pPr>
            <w:r>
              <w:t xml:space="preserve">19</w:t>
            </w:r>
          </w:p>
        </w:tc>
        <w:tc>
          <w:tcPr>
            <w:tcBorders>
              <w:right w:val="none"/>
            </w:tcBorders>
            <w:tcMar>
              <w:top w:type="dxa" w:w="80"/>
              <w:left w:type="dxa" w:w="120"/>
              <w:bottom w:type="dxa" w:w="80"/>
              <w:right w:type="dxa" w:w="120"/>
            </w:tcMar>
            <w:vAlign w:val="center"/>
          </w:tcPr>
          <w:p>
            <w:pPr>
              <w:pStyle w:val="MdTableCell"/>
            </w:pPr>
            <w:r>
              <w:t xml:space="preserve">Saudi Arabia's infrastructure heritage is ancient — the Nabataean water systems, the Hajj routes, the incense trade roads. IAAI's framework acknowledges Arabian heritage but could go much deeper. The platform's treatment of the Silk Road is relevant (Arabia was a key node). Vision 2030's explicit goal of cultural renaissance means there is government appetite for content that connects Saudi Arabia's past to its future. IAAI does exactly this.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Innovation &amp; Engagement</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Saudi students are highly digitally engaged — the Kingdom has one of the world's highest smartphone penetration rates. The game mechanics would resonate. The FITS system is culturally appropriate. The Olympiad concept aligns with Saudi Arabia's ambition to host global events (Expo 2030, FIFA 2034). KFUPM would consider partnership — we are actively seeking innovative educational content for Vision 2030 alignment.</w:t>
            </w:r>
          </w:p>
        </w:tc>
      </w:tr>
    </w:tbl>
    <w:p>
      <w:pPr>
        <w:pStyle w:val="MdParagraph"/>
      </w:pPr>
      <w:r>
        <w:rPr>
          <w:rStyle w:val="MdStrong"/>
          <w:b/>
          <w:bCs/>
        </w:rPr>
        <w:t xml:space="preserve">Total Score: 76/100</w:t>
      </w:r>
    </w:p>
    <w:p>
      <w:pPr>
        <w:pStyle w:val="MdSpace"/>
        <w:spacing w:before="0" w:after="60"/>
      </w:pPr>
    </w:p>
    <w:p>
      <w:pPr>
        <w:pStyle w:val="MdParagraph"/>
      </w:pPr>
      <w:r>
        <w:rPr>
          <w:rStyle w:val="MdStrong"/>
          <w:b/>
          <w:bCs/>
        </w:rPr>
        <w:t xml:space="preserve">Overall Verdict:</w:t>
      </w:r>
      <w:r>
        <w:t xml:space="preserve"> IAAI is strategically aligned with Saudi Arabia's Vision 2030 educational transformation. A nation that is deliberately reinventing its infrastructure base needs the civilisational perspective that IAAI provides. KFUPM's petroleum-infrastructure nexus means our students understand energy (Relay 1) deeply but lack the broader civilisational framework. IAAI fills that gap. The platform's value proposition for Saudi Arabia is not just educational — it is strategic, aligning with national transformation goals.</w:t>
      </w:r>
    </w:p>
    <w:p>
      <w:pPr>
        <w:pStyle w:val="MdSpace"/>
        <w:spacing w:before="0" w:after="60"/>
      </w:pPr>
    </w:p>
    <w:p>
      <w:pPr>
        <w:pStyle w:val="MdParagraph"/>
      </w:pPr>
      <w:r>
        <w:rPr>
          <w:rStyle w:val="MdStrong"/>
          <w:b/>
          <w:bCs/>
        </w:rPr>
        <w:t xml:space="preserve">Should Nigel Continue?</w:t>
      </w:r>
      <w:r>
        <w:t xml:space="preserve"> Yes — Saudi Arabia's Vision 2030 educational investment creates a massive, well-funded market for innovative learning platforms. IAAI's alignment with national strategy is a significant advantage.</w:t>
      </w:r>
    </w:p>
    <w:p>
      <w:pPr>
        <w:pStyle w:val="MdSpace"/>
        <w:spacing w:before="0" w:after="60"/>
      </w:pPr>
    </w:p>
    <w:p>
      <w:pPr>
        <w:pStyle w:val="MdParagraph"/>
      </w:pPr>
      <w:r>
        <w:rPr>
          <w:rStyle w:val="MdStrong"/>
          <w:b/>
          <w:bCs/>
        </w:rPr>
        <w:t xml:space="preserve">Top 3 Threats:</w:t>
      </w:r>
    </w:p>
    <w:p>
      <w:pPr>
        <w:pStyle w:val="MdListItem"/>
        <w:numPr>
          <w:ilvl w:val="0"/>
          <w:numId w:val="2"/>
        </w:numPr>
      </w:pPr>
      <w:r>
        <w:t xml:space="preserve">Arabic language essential for Saudi market penetration</w:t>
      </w:r>
    </w:p>
    <w:p>
      <w:pPr>
        <w:pStyle w:val="MdListItem"/>
        <w:numPr>
          <w:ilvl w:val="0"/>
          <w:numId w:val="2"/>
        </w:numPr>
      </w:pPr>
      <w:r>
        <w:t xml:space="preserve">Arabian infrastructure heritage (Nabataean, Hajj routes, incense trade) needs deeper treatment</w:t>
      </w:r>
    </w:p>
    <w:p>
      <w:pPr>
        <w:pStyle w:val="MdListItem"/>
        <w:numPr>
          <w:ilvl w:val="0"/>
          <w:numId w:val="2"/>
        </w:numPr>
      </w:pPr>
      <w:r>
        <w:t xml:space="preserve">Saudi government partnership processes require local representation and cultural navigation</w:t>
      </w:r>
    </w:p>
    <w:p>
      <w:pPr>
        <w:pStyle w:val="MdSpace"/>
        <w:spacing w:before="0" w:after="60"/>
      </w:pPr>
    </w:p>
    <w:p>
      <w:pPr>
        <w:pStyle w:val="MdParagraph"/>
      </w:pPr>
      <w:r>
        <w:rPr>
          <w:rStyle w:val="MdStrong"/>
          <w:b/>
          <w:bCs/>
        </w:rPr>
        <w:t xml:space="preserve">Endorsement Conditions:</w:t>
      </w:r>
      <w:r>
        <w:t xml:space="preserve"> (1) Arabic language version. (2) Saudi/Arabian infrastructure case studies (NEOM as a relay example, Nabataean water systems). (3) Local partnership with a Saudi educational institution or government body.</w:t>
      </w:r>
    </w:p>
    <w:p>
      <w:pPr>
        <w:pStyle w:val="MdSpace"/>
        <w:spacing w:before="0" w:after="60"/>
      </w:pPr>
    </w:p>
    <w:p>
      <w:pPr>
        <w:pStyle w:val="MdParagraph"/>
      </w:pPr>
      <w:r>
        <w:rPr>
          <w:rStyle w:val="MdStrong"/>
          <w:b/>
          <w:bCs/>
        </w:rPr>
        <w:t xml:space="preserve">Relay Gaps:</w:t>
      </w:r>
      <w:r>
        <w:t xml:space="preserve"> Strong: 1 (Fire — energy/petroleum), 5 (Roads — trade routes), 9 (Engine — industrialisation). Weak: 6 (Ships — Arabian maritime traditions), 8 (Loom — Arabian craft traditions), 12 (Human Nodes — NEOM's smart city vision).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Consolidated Scorecard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University</w:t>
            </w:r>
          </w:p>
        </w:tc>
        <w:tc>
          <w:tcPr>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Curriculum</w:t>
            </w:r>
          </w:p>
        </w:tc>
        <w:tc>
          <w:tcPr>
            <w:tcMar>
              <w:top w:type="dxa" w:w="100"/>
              <w:left w:type="dxa" w:w="120"/>
              <w:bottom w:type="dxa" w:w="100"/>
              <w:right w:type="dxa" w:w="120"/>
            </w:tcMar>
            <w:vAlign w:val="center"/>
          </w:tcPr>
          <w:p>
            <w:pPr>
              <w:pStyle w:val="MdTableHeader"/>
            </w:pPr>
            <w:r>
              <w:t xml:space="preserve">Pedagogical</w:t>
            </w:r>
          </w:p>
        </w:tc>
        <w:tc>
          <w:tcPr>
            <w:tcMar>
              <w:top w:type="dxa" w:w="100"/>
              <w:left w:type="dxa" w:w="120"/>
              <w:bottom w:type="dxa" w:w="100"/>
              <w:right w:type="dxa" w:w="120"/>
            </w:tcMar>
            <w:vAlign w:val="center"/>
          </w:tcPr>
          <w:p>
            <w:pPr>
              <w:pStyle w:val="MdTableHeader"/>
            </w:pPr>
            <w:r>
              <w:t xml:space="preserve">Cultural</w:t>
            </w:r>
          </w:p>
        </w:tc>
        <w:tc>
          <w:tcPr>
            <w:tcMar>
              <w:top w:type="dxa" w:w="100"/>
              <w:left w:type="dxa" w:w="120"/>
              <w:bottom w:type="dxa" w:w="100"/>
              <w:right w:type="dxa" w:w="120"/>
            </w:tcMar>
            <w:vAlign w:val="center"/>
          </w:tcPr>
          <w:p>
            <w:pPr>
              <w:pStyle w:val="MdTableHeader"/>
            </w:pPr>
            <w:r>
              <w:t xml:space="preserve">Innovation</w:t>
            </w:r>
          </w:p>
        </w:tc>
        <w:tc>
          <w:tcPr>
            <w:tcMar>
              <w:top w:type="dxa" w:w="100"/>
              <w:left w:type="dxa" w:w="120"/>
              <w:bottom w:type="dxa" w:w="100"/>
              <w:right w:type="dxa" w:w="120"/>
            </w:tcMar>
            <w:vAlign w:val="center"/>
          </w:tcPr>
          <w:p>
            <w:pPr>
              <w:pStyle w:val="MdTableHeader"/>
            </w:pPr>
            <w:r>
              <w:rPr>
                <w:rStyle w:val="MdStrong"/>
                <w:b/>
                <w:bCs/>
              </w:rPr>
              <w:t xml:space="preserve">Total</w:t>
            </w:r>
          </w:p>
        </w:tc>
        <w:tc>
          <w:tcPr>
            <w:tcBorders>
              <w:right w:val="none"/>
            </w:tcBorders>
            <w:tcMar>
              <w:top w:type="dxa" w:w="100"/>
              <w:left w:type="dxa" w:w="120"/>
              <w:bottom w:type="dxa" w:w="100"/>
              <w:right w:type="dxa" w:w="120"/>
            </w:tcMar>
            <w:vAlign w:val="center"/>
          </w:tcPr>
          <w:p>
            <w:pPr>
              <w:pStyle w:val="MdTableHeader"/>
            </w:pPr>
            <w:r>
              <w:t xml:space="preserve">Should Continue?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Imperial College London</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rPr>
                <w:rStyle w:val="MdStrong"/>
                <w:b/>
                <w:bCs/>
              </w:rPr>
              <w:t xml:space="preserve">68</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University of Nottingham</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15</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rPr>
                <w:rStyle w:val="MdStrong"/>
                <w:b/>
                <w:bCs/>
              </w:rPr>
              <w:t xml:space="preserve">65</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University of Cambridge</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rPr>
                <w:rStyle w:val="MdStrong"/>
                <w:b/>
                <w:bCs/>
              </w:rPr>
              <w:t xml:space="preserve">76</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NUS Singapore</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rPr>
                <w:rStyle w:val="MdStrong"/>
                <w:b/>
                <w:bCs/>
              </w:rPr>
              <w:t xml:space="preserve">78</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Tsinghua University</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rPr>
                <w:rStyle w:val="MdStrong"/>
                <w:b/>
                <w:bCs/>
              </w:rPr>
              <w:t xml:space="preserve">67</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IIT Bombay</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rPr>
                <w:rStyle w:val="MdStrong"/>
                <w:b/>
                <w:bCs/>
              </w:rPr>
              <w:t xml:space="preserve">65</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MIT</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rPr>
                <w:rStyle w:val="MdStrong"/>
                <w:b/>
                <w:bCs/>
              </w:rPr>
              <w:t xml:space="preserve">81</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w:t>
            </w:r>
          </w:p>
        </w:tc>
        <w:tc>
          <w:tcPr>
            <w:tcMar>
              <w:top w:type="dxa" w:w="80"/>
              <w:left w:type="dxa" w:w="120"/>
              <w:bottom w:type="dxa" w:w="80"/>
              <w:right w:type="dxa" w:w="120"/>
            </w:tcMar>
            <w:vAlign w:val="center"/>
          </w:tcPr>
          <w:p>
            <w:pPr>
              <w:pStyle w:val="MdTableCell"/>
            </w:pPr>
            <w:r>
              <w:t xml:space="preserve">Stanford University</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rPr>
                <w:rStyle w:val="MdStrong"/>
                <w:b/>
                <w:bCs/>
              </w:rPr>
              <w:t xml:space="preserve">82</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w:t>
            </w:r>
          </w:p>
        </w:tc>
        <w:tc>
          <w:tcPr>
            <w:tcMar>
              <w:top w:type="dxa" w:w="80"/>
              <w:left w:type="dxa" w:w="120"/>
              <w:bottom w:type="dxa" w:w="80"/>
              <w:right w:type="dxa" w:w="120"/>
            </w:tcMar>
            <w:vAlign w:val="center"/>
          </w:tcPr>
          <w:p>
            <w:pPr>
              <w:pStyle w:val="MdTableCell"/>
            </w:pPr>
            <w:r>
              <w:t xml:space="preserve">UC Berkeley</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rPr>
                <w:rStyle w:val="MdStrong"/>
                <w:b/>
                <w:bCs/>
              </w:rPr>
              <w:t xml:space="preserve">72</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10</w:t>
            </w:r>
          </w:p>
        </w:tc>
        <w:tc>
          <w:tcPr>
            <w:tcMar>
              <w:top w:type="dxa" w:w="80"/>
              <w:left w:type="dxa" w:w="120"/>
              <w:bottom w:type="dxa" w:w="80"/>
              <w:right w:type="dxa" w:w="120"/>
            </w:tcMar>
            <w:vAlign w:val="center"/>
          </w:tcPr>
          <w:p>
            <w:pPr>
              <w:pStyle w:val="MdTableCell"/>
            </w:pPr>
            <w:r>
              <w:t xml:space="preserve">Khalifa University</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rPr>
                <w:rStyle w:val="MdStrong"/>
                <w:b/>
                <w:bCs/>
              </w:rPr>
              <w:t xml:space="preserve">80</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w:t>
            </w:r>
          </w:p>
        </w:tc>
        <w:tc>
          <w:tcPr>
            <w:tcMar>
              <w:top w:type="dxa" w:w="80"/>
              <w:left w:type="dxa" w:w="120"/>
              <w:bottom w:type="dxa" w:w="80"/>
              <w:right w:type="dxa" w:w="120"/>
            </w:tcMar>
            <w:vAlign w:val="center"/>
          </w:tcPr>
          <w:p>
            <w:pPr>
              <w:pStyle w:val="MdTableCell"/>
            </w:pPr>
            <w:r>
              <w:t xml:space="preserve">Qatar University</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rPr>
                <w:rStyle w:val="MdStrong"/>
                <w:b/>
                <w:bCs/>
              </w:rPr>
              <w:t xml:space="preserve">72</w:t>
            </w:r>
          </w:p>
        </w:tc>
        <w:tc>
          <w:tcPr>
            <w:tcBorders>
              <w:right w:val="none"/>
            </w:tcBorders>
            <w:tcMar>
              <w:top w:type="dxa" w:w="80"/>
              <w:left w:type="dxa" w:w="120"/>
              <w:bottom w:type="dxa" w:w="80"/>
              <w:right w:type="dxa" w:w="120"/>
            </w:tcMar>
            <w:vAlign w:val="center"/>
          </w:tcPr>
          <w:p>
            <w:pPr>
              <w:pStyle w:val="MdTableCell"/>
            </w:pPr>
            <w:r>
              <w:t xml:space="preserve">Yes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12</w:t>
            </w:r>
          </w:p>
        </w:tc>
        <w:tc>
          <w:tcPr>
            <w:tcBorders>
              <w:bottom w:val="single" w:color="E1E4E8" w:sz="4"/>
            </w:tcBorders>
            <w:tcMar>
              <w:top w:type="dxa" w:w="80"/>
              <w:left w:type="dxa" w:w="120"/>
              <w:bottom w:type="dxa" w:w="80"/>
              <w:right w:type="dxa" w:w="120"/>
            </w:tcMar>
            <w:vAlign w:val="center"/>
          </w:tcPr>
          <w:p>
            <w:pPr>
              <w:pStyle w:val="MdTableCell"/>
            </w:pPr>
            <w:r>
              <w:t xml:space="preserve">KFUPM</w:t>
            </w:r>
          </w:p>
        </w:tc>
        <w:tc>
          <w:tcPr>
            <w:tcBorders>
              <w:bottom w:val="single" w:color="E1E4E8" w:sz="4"/>
            </w:tcBorders>
            <w:tcMar>
              <w:top w:type="dxa" w:w="80"/>
              <w:left w:type="dxa" w:w="120"/>
              <w:bottom w:type="dxa" w:w="80"/>
              <w:right w:type="dxa" w:w="120"/>
            </w:tcMar>
            <w:vAlign w:val="center"/>
          </w:tcPr>
          <w:p>
            <w:pPr>
              <w:pStyle w:val="MdTableCell"/>
            </w:pPr>
            <w:r>
              <w:t xml:space="preserve">ME</w:t>
            </w:r>
          </w:p>
        </w:tc>
        <w:tc>
          <w:tcPr>
            <w:tcBorders>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tcBorders>
            <w:tcMar>
              <w:top w:type="dxa" w:w="80"/>
              <w:left w:type="dxa" w:w="120"/>
              <w:bottom w:type="dxa" w:w="80"/>
              <w:right w:type="dxa" w:w="120"/>
            </w:tcMar>
            <w:vAlign w:val="center"/>
          </w:tcPr>
          <w:p>
            <w:pPr>
              <w:pStyle w:val="MdTableCell"/>
            </w:pPr>
            <w:r>
              <w:t xml:space="preserve">20</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tcBorders>
            <w:tcMar>
              <w:top w:type="dxa" w:w="80"/>
              <w:left w:type="dxa" w:w="120"/>
              <w:bottom w:type="dxa" w:w="80"/>
              <w:right w:type="dxa" w:w="120"/>
            </w:tcMar>
            <w:vAlign w:val="center"/>
          </w:tcPr>
          <w:p>
            <w:pPr>
              <w:pStyle w:val="MdTableCell"/>
            </w:pPr>
            <w:r>
              <w:t xml:space="preserve">19</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76</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Yes</w:t>
            </w:r>
          </w:p>
        </w:tc>
      </w:tr>
    </w:tbl>
    <w:p>
      <w:pPr>
        <w:pStyle w:val="Heading3"/>
        <w:pStyle w:val="MdHeading3"/>
      </w:pPr>
      <w:r>
        <w:t xml:space="preserve">Regional Averages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Average Score</w:t>
            </w:r>
          </w:p>
        </w:tc>
        <w:tc>
          <w:tcPr>
            <w:tcMar>
              <w:top w:type="dxa" w:w="100"/>
              <w:left w:type="dxa" w:w="120"/>
              <w:bottom w:type="dxa" w:w="100"/>
              <w:right w:type="dxa" w:w="120"/>
            </w:tcMar>
            <w:vAlign w:val="center"/>
          </w:tcPr>
          <w:p>
            <w:pPr>
              <w:pStyle w:val="MdTableHeader"/>
            </w:pPr>
            <w:r>
              <w:t xml:space="preserve">Range</w:t>
            </w:r>
          </w:p>
        </w:tc>
        <w:tc>
          <w:tcPr>
            <w:tcBorders>
              <w:right w:val="none"/>
            </w:tcBorders>
            <w:tcMar>
              <w:top w:type="dxa" w:w="100"/>
              <w:left w:type="dxa" w:w="120"/>
              <w:bottom w:type="dxa" w:w="100"/>
              <w:right w:type="dxa" w:w="120"/>
            </w:tcMar>
            <w:vAlign w:val="center"/>
          </w:tcPr>
          <w:p>
            <w:pPr>
              <w:pStyle w:val="MdTableHeader"/>
            </w:pPr>
            <w:r>
              <w:t xml:space="preserve">Key Observation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69.7</w:t>
            </w:r>
          </w:p>
        </w:tc>
        <w:tc>
          <w:tcPr>
            <w:tcMar>
              <w:top w:type="dxa" w:w="80"/>
              <w:left w:type="dxa" w:w="120"/>
              <w:bottom w:type="dxa" w:w="80"/>
              <w:right w:type="dxa" w:w="120"/>
            </w:tcMar>
            <w:vAlign w:val="center"/>
          </w:tcPr>
          <w:p>
            <w:pPr>
              <w:pStyle w:val="MdTableCell"/>
            </w:pPr>
            <w:r>
              <w:t xml:space="preserve">65-76</w:t>
            </w:r>
          </w:p>
        </w:tc>
        <w:tc>
          <w:tcPr>
            <w:tcBorders>
              <w:right w:val="none"/>
            </w:tcBorders>
            <w:tcMar>
              <w:top w:type="dxa" w:w="80"/>
              <w:left w:type="dxa" w:w="120"/>
              <w:bottom w:type="dxa" w:w="80"/>
              <w:right w:type="dxa" w:w="120"/>
            </w:tcMar>
            <w:vAlign w:val="center"/>
          </w:tcPr>
          <w:p>
            <w:pPr>
              <w:pStyle w:val="MdTableCell"/>
            </w:pPr>
            <w:r>
              <w:t xml:space="preserve">Values IAAI as enrichment; demands mathematical rigour for formal adoption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70.0</w:t>
            </w:r>
          </w:p>
        </w:tc>
        <w:tc>
          <w:tcPr>
            <w:tcMar>
              <w:top w:type="dxa" w:w="80"/>
              <w:left w:type="dxa" w:w="120"/>
              <w:bottom w:type="dxa" w:w="80"/>
              <w:right w:type="dxa" w:w="120"/>
            </w:tcMar>
            <w:vAlign w:val="center"/>
          </w:tcPr>
          <w:p>
            <w:pPr>
              <w:pStyle w:val="MdTableCell"/>
            </w:pPr>
            <w:r>
              <w:t xml:space="preserve">65-78</w:t>
            </w:r>
          </w:p>
        </w:tc>
        <w:tc>
          <w:tcPr>
            <w:tcBorders>
              <w:right w:val="none"/>
            </w:tcBorders>
            <w:tcMar>
              <w:top w:type="dxa" w:w="80"/>
              <w:left w:type="dxa" w:w="120"/>
              <w:bottom w:type="dxa" w:w="80"/>
              <w:right w:type="dxa" w:w="120"/>
            </w:tcMar>
            <w:vAlign w:val="center"/>
          </w:tcPr>
          <w:p>
            <w:pPr>
              <w:pStyle w:val="MdTableCell"/>
            </w:pPr>
            <w:r>
              <w:t xml:space="preserve">Appreciates cross-cultural framework; needs deeper regional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78.3</w:t>
            </w:r>
          </w:p>
        </w:tc>
        <w:tc>
          <w:tcPr>
            <w:tcMar>
              <w:top w:type="dxa" w:w="80"/>
              <w:left w:type="dxa" w:w="120"/>
              <w:bottom w:type="dxa" w:w="80"/>
              <w:right w:type="dxa" w:w="120"/>
            </w:tcMar>
            <w:vAlign w:val="center"/>
          </w:tcPr>
          <w:p>
            <w:pPr>
              <w:pStyle w:val="MdTableCell"/>
            </w:pPr>
            <w:r>
              <w:t xml:space="preserve">72-82</w:t>
            </w:r>
          </w:p>
        </w:tc>
        <w:tc>
          <w:tcPr>
            <w:tcBorders>
              <w:right w:val="none"/>
            </w:tcBorders>
            <w:tcMar>
              <w:top w:type="dxa" w:w="80"/>
              <w:left w:type="dxa" w:w="120"/>
              <w:bottom w:type="dxa" w:w="80"/>
              <w:right w:type="dxa" w:w="120"/>
            </w:tcMar>
            <w:vAlign w:val="center"/>
          </w:tcPr>
          <w:p>
            <w:pPr>
              <w:pStyle w:val="MdTableCell"/>
            </w:pPr>
            <w:r>
              <w:t xml:space="preserve">Highest natural affinity; philosophical alignment with interdisciplinary approach</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Middle East</w:t>
            </w:r>
          </w:p>
        </w:tc>
        <w:tc>
          <w:tcPr>
            <w:tcBorders>
              <w:bottom w:val="single" w:color="E1E4E8" w:sz="4"/>
            </w:tcBorders>
            <w:tcMar>
              <w:top w:type="dxa" w:w="80"/>
              <w:left w:type="dxa" w:w="120"/>
              <w:bottom w:type="dxa" w:w="80"/>
              <w:right w:type="dxa" w:w="120"/>
            </w:tcMar>
            <w:vAlign w:val="center"/>
          </w:tcPr>
          <w:p>
            <w:pPr>
              <w:pStyle w:val="MdTableCell"/>
            </w:pPr>
            <w:r>
              <w:t xml:space="preserve">76.0</w:t>
            </w:r>
          </w:p>
        </w:tc>
        <w:tc>
          <w:tcPr>
            <w:tcBorders>
              <w:bottom w:val="single" w:color="E1E4E8" w:sz="4"/>
            </w:tcBorders>
            <w:tcMar>
              <w:top w:type="dxa" w:w="80"/>
              <w:left w:type="dxa" w:w="120"/>
              <w:bottom w:type="dxa" w:w="80"/>
              <w:right w:type="dxa" w:w="120"/>
            </w:tcMar>
            <w:vAlign w:val="center"/>
          </w:tcPr>
          <w:p>
            <w:pPr>
              <w:pStyle w:val="MdTableCell"/>
            </w:pPr>
            <w:r>
              <w:t xml:space="preserve">72-80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Strongest adoption potential; building NOW and needs historical depth</w:t>
            </w:r>
          </w:p>
        </w:tc>
      </w:tr>
    </w:tbl>
    <w:p>
      <w:pPr>
        <w:pStyle w:val="Heading3"/>
        <w:pStyle w:val="MdHeading3"/>
      </w:pPr>
      <w:r>
        <w:t xml:space="preserve">Grand Average: </w:t>
      </w:r>
      <w:r>
        <w:rPr>
          <w:rStyle w:val="MdStrong"/>
          <w:b/>
          <w:bCs/>
        </w:rPr>
        <w:t xml:space="preserve">73.5/100</w:t>
      </w:r>
    </w:p>
    <w:p>
      <w:pPr>
        <w:pStyle w:val="Heading3"/>
        <w:pStyle w:val="MdHeading3"/>
      </w:pPr>
      <w:r>
        <w:t xml:space="preserve">Unanimous Verdict: </w:t>
      </w:r>
      <w:r>
        <w:rPr>
          <w:rStyle w:val="MdStrong"/>
          <w:b/>
          <w:bCs/>
        </w:rPr>
        <w:t xml:space="preserve">ALL 12 SAY YES — CONTINUE</w:t>
      </w:r>
    </w:p>
    <w:p>
      <w:pPr>
        <w:pStyle w:val="MdHr"/>
        <w:pBdr>
          <w:bottom w:val="single" w:color="auto" w:sz="6" w:space="1"/>
        </w:pBdr>
      </w:pPr>
    </w:p>
    <w:p>
      <w:pPr>
        <w:pStyle w:val="MdSpace"/>
        <w:spacing w:before="0" w:after="60"/>
      </w:pPr>
    </w:p>
    <w:p>
      <w:pPr>
        <w:pStyle w:val="Heading2"/>
        <w:pStyle w:val="MdHeading2"/>
      </w:pPr>
      <w:r>
        <w:t xml:space="preserve">Cross-Cutting Findings</w:t>
      </w:r>
    </w:p>
    <w:p>
      <w:pPr>
        <w:pStyle w:val="Heading3"/>
        <w:pStyle w:val="MdHeading3"/>
      </w:pPr>
      <w:r>
        <w:t xml:space="preserve">What ALL 12 Universities Agree On</w:t>
      </w:r>
    </w:p>
    <w:p>
      <w:pPr>
        <w:pStyle w:val="MdListItem"/>
        <w:numPr>
          <w:ilvl w:val="0"/>
          <w:numId w:val="2"/>
        </w:numPr>
      </w:pPr>
      <w:r>
        <w:t xml:space="preserve">IAAI fills a genuine gap that no other platform addresses</w:t>
      </w:r>
    </w:p>
    <w:p>
      <w:pPr>
        <w:pStyle w:val="MdListItem"/>
        <w:numPr>
          <w:ilvl w:val="0"/>
          <w:numId w:val="2"/>
        </w:numPr>
      </w:pPr>
      <w:r>
        <w:t xml:space="preserve">The 12-relay framework is original and intellectually sound</w:t>
      </w:r>
    </w:p>
    <w:p>
      <w:pPr>
        <w:pStyle w:val="MdListItem"/>
        <w:numPr>
          <w:ilvl w:val="0"/>
          <w:numId w:val="2"/>
        </w:numPr>
      </w:pPr>
      <w:r>
        <w:t xml:space="preserve">The gamification approach is innovative for engineering education</w:t>
      </w:r>
    </w:p>
    <w:p>
      <w:pPr>
        <w:pStyle w:val="MdListItem"/>
        <w:numPr>
          <w:ilvl w:val="0"/>
          <w:numId w:val="2"/>
        </w:numPr>
      </w:pPr>
      <w:r>
        <w:t xml:space="preserve">The platform needs mathematical/quantitative content to gain formal academic endorsement</w:t>
      </w:r>
    </w:p>
    <w:p>
      <w:pPr>
        <w:pStyle w:val="MdListItem"/>
        <w:numPr>
          <w:ilvl w:val="0"/>
          <w:numId w:val="2"/>
        </w:numPr>
      </w:pPr>
      <w:r>
        <w:t xml:space="preserve">Content depth is inconsistent across relays</w:t>
      </w:r>
    </w:p>
    <w:p>
      <w:pPr>
        <w:pStyle w:val="MdListItem"/>
        <w:numPr>
          <w:ilvl w:val="0"/>
          <w:numId w:val="2"/>
        </w:numPr>
      </w:pPr>
      <w:r>
        <w:t xml:space="preserve">The Infrastructure Olympiad concept has universal appeal</w:t>
      </w:r>
    </w:p>
    <w:p>
      <w:pPr>
        <w:pStyle w:val="MdSpace"/>
        <w:spacing w:before="0" w:after="60"/>
      </w:pPr>
    </w:p>
    <w:p>
      <w:pPr>
        <w:pStyle w:val="Heading3"/>
        <w:pStyle w:val="MdHeading3"/>
      </w:pPr>
      <w:r>
        <w:t xml:space="preserve">Regional Content Gaps Identified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Region</w:t>
            </w:r>
          </w:p>
        </w:tc>
        <w:tc>
          <w:tcPr>
            <w:tcBorders>
              <w:right w:val="none"/>
            </w:tcBorders>
            <w:tcMar>
              <w:top w:type="dxa" w:w="100"/>
              <w:left w:type="dxa" w:w="120"/>
              <w:bottom w:type="dxa" w:w="100"/>
              <w:right w:type="dxa" w:w="120"/>
            </w:tcMar>
            <w:vAlign w:val="center"/>
          </w:tcPr>
          <w:p>
            <w:pPr>
              <w:pStyle w:val="MdTableHeader"/>
            </w:pPr>
            <w:r>
              <w:t xml:space="preserve">Missing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UK</w:t>
            </w:r>
          </w:p>
        </w:tc>
        <w:tc>
          <w:tcPr>
            <w:tcBorders>
              <w:right w:val="none"/>
            </w:tcBorders>
            <w:tcMar>
              <w:top w:type="dxa" w:w="80"/>
              <w:left w:type="dxa" w:w="120"/>
              <w:bottom w:type="dxa" w:w="80"/>
              <w:right w:type="dxa" w:w="120"/>
            </w:tcMar>
            <w:vAlign w:val="center"/>
          </w:tcPr>
          <w:p>
            <w:pPr>
              <w:pStyle w:val="MdTableCell"/>
            </w:pPr>
            <w:r>
              <w:t xml:space="preserve">Deeper British engineering heritage (Telford, Bazalgette, Stephenson)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Asia</w:t>
            </w:r>
          </w:p>
        </w:tc>
        <w:tc>
          <w:tcPr>
            <w:tcBorders>
              <w:right w:val="none"/>
            </w:tcBorders>
            <w:tcMar>
              <w:top w:type="dxa" w:w="80"/>
              <w:left w:type="dxa" w:w="120"/>
              <w:bottom w:type="dxa" w:w="80"/>
              <w:right w:type="dxa" w:w="120"/>
            </w:tcMar>
            <w:vAlign w:val="center"/>
          </w:tcPr>
          <w:p>
            <w:pPr>
              <w:pStyle w:val="MdTableCell"/>
            </w:pPr>
            <w:r>
              <w:t xml:space="preserve">Southeast Asian infrastructure (Angkor Wat, Strait of Malacca, Borobudur); Chinese engineers (Li Bing, Zheng He); Indian engineering (stepwells, temple engineering, Indian Railways); Indian textile heritage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USA</w:t>
            </w:r>
          </w:p>
        </w:tc>
        <w:tc>
          <w:tcPr>
            <w:tcBorders>
              <w:right w:val="none"/>
            </w:tcBorders>
            <w:tcMar>
              <w:top w:type="dxa" w:w="80"/>
              <w:left w:type="dxa" w:w="120"/>
              <w:bottom w:type="dxa" w:w="80"/>
              <w:right w:type="dxa" w:w="120"/>
            </w:tcMar>
            <w:vAlign w:val="center"/>
          </w:tcPr>
          <w:p>
            <w:pPr>
              <w:pStyle w:val="MdTableCell"/>
            </w:pPr>
            <w:r>
              <w:t xml:space="preserve">American engineering narrative (Erie Canal, Transcontinental Railroad, Interstate System, Apollo, Golden Gate Bridge, California water); critical perspectives on infrastructure and power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Middle East</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Islamic Golden Age engineering (qanats, windcatchers, geometric architecture); Nabataean water systems; Hajj routes; Arabian maritime traditions; Qatar World Cup transformation; NEOM as future infrastructure</w:t>
            </w:r>
          </w:p>
        </w:tc>
      </w:tr>
    </w:tbl>
    <w:p>
      <w:pPr>
        <w:pStyle w:val="Heading3"/>
        <w:pStyle w:val="MdHeading3"/>
      </w:pPr>
      <w:r>
        <w:t xml:space="preserve">The 80% Threshold Assessment</w:t>
      </w:r>
    </w:p>
    <w:p>
      <w:pPr>
        <w:pStyle w:val="MdParagraph"/>
      </w:pPr>
      <w:r>
        <w:t xml:space="preserve">Nigel's internal benchmark is 80/100. Current results: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Above 80%</w:t>
            </w:r>
          </w:p>
        </w:tc>
        <w:tc>
          <w:tcPr>
            <w:tcMar>
              <w:top w:type="dxa" w:w="100"/>
              <w:left w:type="dxa" w:w="120"/>
              <w:bottom w:type="dxa" w:w="100"/>
              <w:right w:type="dxa" w:w="120"/>
            </w:tcMar>
            <w:vAlign w:val="center"/>
          </w:tcPr>
          <w:p>
            <w:pPr>
              <w:pStyle w:val="MdTableHeader"/>
            </w:pPr>
            <w:r>
              <w:t xml:space="preserve">At 80%</w:t>
            </w:r>
          </w:p>
        </w:tc>
        <w:tc>
          <w:tcPr>
            <w:tcBorders>
              <w:right w:val="none"/>
            </w:tcBorders>
            <w:tcMar>
              <w:top w:type="dxa" w:w="100"/>
              <w:left w:type="dxa" w:w="120"/>
              <w:bottom w:type="dxa" w:w="100"/>
              <w:right w:type="dxa" w:w="120"/>
            </w:tcMar>
            <w:vAlign w:val="center"/>
          </w:tcPr>
          <w:p>
            <w:pPr>
              <w:pStyle w:val="MdTableHeader"/>
            </w:pPr>
            <w:r>
              <w:t xml:space="preserve">Below 80%</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Stanford (82), MIT (81)</w:t>
            </w:r>
          </w:p>
        </w:tc>
        <w:tc>
          <w:tcPr>
            <w:tcBorders>
              <w:bottom w:val="single" w:color="E1E4E8" w:sz="4"/>
            </w:tcBorders>
            <w:tcMar>
              <w:top w:type="dxa" w:w="80"/>
              <w:left w:type="dxa" w:w="120"/>
              <w:bottom w:type="dxa" w:w="80"/>
              <w:right w:type="dxa" w:w="120"/>
            </w:tcMar>
            <w:vAlign w:val="center"/>
          </w:tcPr>
          <w:p>
            <w:pPr>
              <w:pStyle w:val="MdTableCell"/>
            </w:pPr>
            <w:r>
              <w:t xml:space="preserve">Khalifa (80)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All others (65-78)</w:t>
            </w:r>
          </w:p>
        </w:tc>
      </w:tr>
    </w:tbl>
    <w:p>
      <w:pPr>
        <w:pStyle w:val="MdParagraph"/>
      </w:pPr>
      <w:r>
        <w:t xml:space="preserve">Three universities meet or exceed the threshold. Nine fall below. The gap is closable — the consistent feedback points to specific, actionable improvements (mathematical content, regional depth, language support) rather than fundamental flaws.</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Document Classification:</w:t>
      </w:r>
      <w:r>
        <w:t xml:space="preserve"> Due Diligence — Confidential
</w:t>
      </w:r>
      <w:r>
        <w:rPr>
          <w:rStyle w:val="MdStrong"/>
          <w:b/>
          <w:bCs/>
        </w:rPr>
        <w:t xml:space="preserve">Player Nodes Generated:</w:t>
      </w:r>
      <w:r>
        <w:t xml:space="preserve"> 120 (12 universities × 10 simulated interactions)
</w:t>
      </w:r>
      <w:r>
        <w:rPr>
          <w:rStyle w:val="MdStrong"/>
          <w:b/>
          <w:bCs/>
        </w:rPr>
        <w:t xml:space="preserve">Hard-saved to:</w:t>
      </w:r>
      <w:r>
        <w:t xml:space="preserve"> </w:t>
      </w:r>
      <w:r>
        <w:rPr>
          <w:rStyle w:val="MdCode"/>
          <w:u w:val="single"/>
        </w:rPr>
        <w:t xml:space="preserve">/home/ubuntu/infrastructure-academy-v2/data/review_package/</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2026-03-07T16:35:02.757Z</dcterms:created>
  <dcterms:modified xsi:type="dcterms:W3CDTF">2026-03-07T16:35:02.757Z</dcterms:modified>
</cp:coreProperties>
</file>

<file path=docProps/custom.xml><?xml version="1.0" encoding="utf-8"?>
<Properties xmlns="http://schemas.openxmlformats.org/officeDocument/2006/custom-properties" xmlns:vt="http://schemas.openxmlformats.org/officeDocument/2006/docPropsVTypes"/>
</file>