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IAAI 12-University SWOT Database</w:t>
      </w:r>
    </w:p>
    <w:p>
      <w:pPr>
        <w:pStyle w:val="Heading2"/>
        <w:pStyle w:val="MdHeading2"/>
      </w:pPr>
      <w:r>
        <w:t xml:space="preserve">Institutional Intelligence Archive — Restricted Access</w:t>
      </w:r>
    </w:p>
    <w:p>
      <w:pPr>
        <w:pStyle w:val="MdParagraph"/>
      </w:pPr>
      <w:r>
        <w:rPr>
          <w:rStyle w:val="MdStrong"/>
          <w:b/>
          <w:bCs/>
        </w:rPr>
        <w:t xml:space="preserve">Classification:</w:t>
      </w:r>
      <w:r>
        <w:t xml:space="preserve"> Confidential — Restricted Archives Vault
</w:t>
      </w:r>
      <w:r>
        <w:rPr>
          <w:rStyle w:val="MdStrong"/>
          <w:b/>
          <w:bCs/>
        </w:rPr>
        <w:t xml:space="preserve">Version:</w:t>
      </w:r>
      <w:r>
        <w:t xml:space="preserve"> IAAI-v0.1.0-beta.1
</w:t>
      </w:r>
      <w:r>
        <w:rPr>
          <w:rStyle w:val="MdStrong"/>
          <w:b/>
          <w:bCs/>
        </w:rPr>
        <w:t xml:space="preserve">Assessment Date:</w:t>
      </w:r>
      <w:r>
        <w:t xml:space="preserve"> 27 February 2026
</w:t>
      </w:r>
      <w:r>
        <w:rPr>
          <w:rStyle w:val="MdStrong"/>
          <w:b/>
          <w:bCs/>
        </w:rPr>
        <w:t xml:space="preserve">Document Control Ref:</w:t>
      </w:r>
      <w:r>
        <w:t xml:space="preserve"> IAAI-SWOT-DB-001</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Purpose</w:t>
      </w:r>
    </w:p>
    <w:p>
      <w:pPr>
        <w:pStyle w:val="MdParagraph"/>
      </w:pPr>
      <w:r>
        <w:t xml:space="preserve">This document captures individual SWOT analyses for each of the 12 universities that completed the IAAI baseline platform review. These observations are </w:t>
      </w:r>
      <w:r>
        <w:rPr>
          <w:rStyle w:val="MdStrong"/>
          <w:b/>
          <w:bCs/>
        </w:rPr>
        <w:t xml:space="preserve">authentic first-mover intelligence</w:t>
      </w:r>
      <w:r>
        <w:t xml:space="preserve"> — no other platform has conducted this kind of civilisational-infrastructure curriculum mapping across 4 regions and 12 institutions. This database is the seed for a potential Top 100 institutional intelligence archive that could become invaluable to institutional backers, accreditation authorities, and strategic partners.</w:t>
      </w:r>
    </w:p>
    <w:p>
      <w:pPr>
        <w:pStyle w:val="MdSpace"/>
        <w:spacing w:before="0" w:after="60"/>
      </w:pPr>
    </w:p>
    <w:p>
      <w:pPr>
        <w:pStyle w:val="MdParagraph"/>
      </w:pPr>
      <w:r>
        <w:t xml:space="preserve">The 12 universities assessed represent the first wave of a potential 26,000 globally (per the Olympiad reference table). Their feedback, strengths, weaknesses, and adoption conditions constitute a proprietary dataset that grows in value with each additional institution assessed.</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Version Control Framework</w:t>
      </w:r>
    </w:p>
    <w:p>
      <w:pPr>
        <w:pStyle w:val="MdParagraph"/>
      </w:pPr>
      <w:r>
        <w:t xml:space="preserve">All review data in this document is tagged to the platform version it was assessed against, following </w:t>
      </w:r>
      <w:r>
        <w:rPr>
          <w:rStyle w:val="MdStrong"/>
          <w:b/>
          <w:bCs/>
        </w:rPr>
        <w:t xml:space="preserve">Semantic Versioning 2.0.0</w:t>
      </w:r>
      <w:r>
        <w:t xml:space="preserve"> (semver.org) best practice.</w:t>
      </w:r>
    </w:p>
    <w:p>
      <w:pPr>
        <w:pStyle w:val="MdSpace"/>
        <w:spacing w:before="0" w:after="60"/>
      </w:pPr>
    </w:p>
    <w:p>
      <w:pPr>
        <w:pStyle w:val="Heading3"/>
        <w:pStyle w:val="MdHeading3"/>
      </w:pPr>
      <w:r>
        <w:t xml:space="preserve">IAAI Version History</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Version</w:t>
            </w:r>
          </w:p>
        </w:tc>
        <w:tc>
          <w:tcPr>
            <w:tcMar>
              <w:top w:type="dxa" w:w="100"/>
              <w:left w:type="dxa" w:w="120"/>
              <w:bottom w:type="dxa" w:w="100"/>
              <w:right w:type="dxa" w:w="120"/>
            </w:tcMar>
            <w:vAlign w:val="center"/>
          </w:tcPr>
          <w:p>
            <w:pPr>
              <w:pStyle w:val="MdTableHeader"/>
            </w:pPr>
            <w:r>
              <w:t xml:space="preserve">Date</w:t>
            </w:r>
          </w:p>
        </w:tc>
        <w:tc>
          <w:tcPr>
            <w:tcMar>
              <w:top w:type="dxa" w:w="100"/>
              <w:left w:type="dxa" w:w="120"/>
              <w:bottom w:type="dxa" w:w="100"/>
              <w:right w:type="dxa" w:w="120"/>
            </w:tcMar>
            <w:vAlign w:val="center"/>
          </w:tcPr>
          <w:p>
            <w:pPr>
              <w:pStyle w:val="MdTableHeader"/>
            </w:pPr>
            <w:r>
              <w:t xml:space="preserve">Description</w:t>
            </w:r>
          </w:p>
        </w:tc>
        <w:tc>
          <w:tcPr>
            <w:tcBorders>
              <w:right w:val="none"/>
            </w:tcBorders>
            <w:tcMar>
              <w:top w:type="dxa" w:w="100"/>
              <w:left w:type="dxa" w:w="120"/>
              <w:bottom w:type="dxa" w:w="100"/>
              <w:right w:type="dxa" w:w="120"/>
            </w:tcMar>
            <w:vAlign w:val="center"/>
          </w:tcPr>
          <w:p>
            <w:pPr>
              <w:pStyle w:val="MdTableHeader"/>
            </w:pPr>
            <w:r>
              <w:t xml:space="preserve">Status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v0.1.0-beta.1</w:t>
            </w:r>
          </w:p>
        </w:tc>
        <w:tc>
          <w:tcPr>
            <w:tcMar>
              <w:top w:type="dxa" w:w="80"/>
              <w:left w:type="dxa" w:w="120"/>
              <w:bottom w:type="dxa" w:w="80"/>
              <w:right w:type="dxa" w:w="120"/>
            </w:tcMar>
            <w:vAlign w:val="center"/>
          </w:tcPr>
          <w:p>
            <w:pPr>
              <w:pStyle w:val="MdTableCell"/>
            </w:pPr>
            <w:r>
              <w:t xml:space="preserve">27 Feb 2026</w:t>
            </w:r>
          </w:p>
        </w:tc>
        <w:tc>
          <w:tcPr>
            <w:tcMar>
              <w:top w:type="dxa" w:w="80"/>
              <w:left w:type="dxa" w:w="120"/>
              <w:bottom w:type="dxa" w:w="80"/>
              <w:right w:type="dxa" w:w="120"/>
            </w:tcMar>
            <w:vAlign w:val="center"/>
          </w:tcPr>
          <w:p>
            <w:pPr>
              <w:pStyle w:val="MdTableCell"/>
            </w:pPr>
            <w:r>
              <w:t xml:space="preserve">Baseline platform. 74 pages, 575,801 words, 12 relays, browser RPG game, FITS party system. First complete build.</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Current — Baseline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v0.1.0-beta.2</w:t>
            </w:r>
          </w:p>
        </w:tc>
        <w:tc>
          <w:tcPr>
            <w:tcMar>
              <w:top w:type="dxa" w:w="80"/>
              <w:left w:type="dxa" w:w="120"/>
              <w:bottom w:type="dxa" w:w="80"/>
              <w:right w:type="dxa" w:w="120"/>
            </w:tcMar>
            <w:vAlign w:val="center"/>
          </w:tcPr>
          <w:p>
            <w:pPr>
              <w:pStyle w:val="MdTableCell"/>
            </w:pPr>
            <w:r>
              <w:t xml:space="preserve">Target: 13 Mar 2026</w:t>
            </w:r>
          </w:p>
        </w:tc>
        <w:tc>
          <w:tcPr>
            <w:tcMar>
              <w:top w:type="dxa" w:w="80"/>
              <w:left w:type="dxa" w:w="120"/>
              <w:bottom w:type="dxa" w:w="80"/>
              <w:right w:type="dxa" w:w="120"/>
            </w:tcMar>
            <w:vAlign w:val="center"/>
          </w:tcPr>
          <w:p>
            <w:pPr>
              <w:pStyle w:val="MdTableCell"/>
            </w:pPr>
            <w:r>
              <w:t xml:space="preserve">Post-review improvements. Navigation redesign, dimensional analysis, regional content, BIM integration.</w:t>
            </w:r>
          </w:p>
        </w:tc>
        <w:tc>
          <w:tcPr>
            <w:tcBorders>
              <w:right w:val="none"/>
            </w:tcBorders>
            <w:tcMar>
              <w:top w:type="dxa" w:w="80"/>
              <w:left w:type="dxa" w:w="120"/>
              <w:bottom w:type="dxa" w:w="80"/>
              <w:right w:type="dxa" w:w="120"/>
            </w:tcMar>
            <w:vAlign w:val="center"/>
          </w:tcPr>
          <w:p>
            <w:pPr>
              <w:pStyle w:val="MdTableCell"/>
            </w:pPr>
            <w:r>
              <w:t xml:space="preserve">Planned</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v1.0.0</w:t>
            </w:r>
          </w:p>
        </w:tc>
        <w:tc>
          <w:tcPr>
            <w:tcBorders>
              <w:bottom w:val="single" w:color="E1E4E8" w:sz="4"/>
            </w:tcBorders>
            <w:tcMar>
              <w:top w:type="dxa" w:w="80"/>
              <w:left w:type="dxa" w:w="120"/>
              <w:bottom w:type="dxa" w:w="80"/>
              <w:right w:type="dxa" w:w="120"/>
            </w:tcMar>
            <w:vAlign w:val="center"/>
          </w:tcPr>
          <w:p>
            <w:pPr>
              <w:pStyle w:val="MdTableCell"/>
            </w:pPr>
            <w:r>
              <w:t xml:space="preserve">Target: Mid-Mar 2026</w:t>
            </w:r>
          </w:p>
        </w:tc>
        <w:tc>
          <w:tcPr>
            <w:tcBorders>
              <w:bottom w:val="single" w:color="E1E4E8" w:sz="4"/>
            </w:tcBorders>
            <w:tcMar>
              <w:top w:type="dxa" w:w="80"/>
              <w:left w:type="dxa" w:w="120"/>
              <w:bottom w:type="dxa" w:w="80"/>
              <w:right w:type="dxa" w:w="120"/>
            </w:tcMar>
            <w:vAlign w:val="center"/>
          </w:tcPr>
          <w:p>
            <w:pPr>
              <w:pStyle w:val="MdTableCell"/>
            </w:pPr>
            <w:r>
              <w:t xml:space="preserve">Formation release. Company registration, domain purchase, public launch.</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Planned</w:t>
            </w:r>
          </w:p>
        </w:tc>
      </w:tr>
    </w:tbl>
    <w:p>
      <w:pPr>
        <w:pStyle w:val="Heading3"/>
        <w:pStyle w:val="MdHeading3"/>
      </w:pPr>
      <w:r>
        <w:t xml:space="preserve">Document Tagging Convention</w:t>
      </w:r>
    </w:p>
    <w:p>
      <w:pPr>
        <w:pStyle w:val="MdParagraph"/>
      </w:pPr>
      <w:r>
        <w:t xml:space="preserve">Every review, player node, and iteration record uses the following format:</w:t>
      </w:r>
    </w:p>
    <w:p>
      <w:pPr>
        <w:pStyle w:val="MdSpace"/>
        <w:spacing w:before="0" w:after="60"/>
      </w:pPr>
    </w:p>
    <w:p>
      <w:pPr>
        <w:pStyle w:val="MdBlockquote"/>
      </w:pPr>
      <w:r>
        <w:rPr>
          <w:rStyle w:val="MdStrong"/>
          <w:b/>
          <w:bCs/>
        </w:rPr>
        <w:t xml:space="preserve">IAAI-{version}-{ISO-date}-{reviewer-code}</w:t>
      </w:r>
    </w:p>
    <w:p>
      <w:pPr>
        <w:pStyle w:val="MdSpace"/>
        <w:spacing w:before="0" w:after="60"/>
      </w:pPr>
    </w:p>
    <w:p>
      <w:pPr>
        <w:pStyle w:val="MdParagraph"/>
      </w:pPr>
      <w:r>
        <w:t xml:space="preserve">Example: </w:t>
      </w:r>
      <w:r>
        <w:rPr>
          <w:rStyle w:val="MdCode"/>
          <w:u w:val="single"/>
        </w:rPr>
        <w:t xml:space="preserve">IAAI-v0.1.0-beta.1-2026-02-27-MIT</w:t>
      </w:r>
      <w:r>
        <w:t xml:space="preserve"> identifies the MIT review conducted on 27 February 2026 against baseline version beta.1.</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SWOT 1: Imperial College London</w:t>
      </w:r>
    </w:p>
    <w:p>
      <w:pPr>
        <w:pStyle w:val="MdParagraph"/>
      </w:pPr>
      <w:r>
        <w:rPr>
          <w:rStyle w:val="MdStrong"/>
          <w:b/>
          <w:bCs/>
        </w:rPr>
        <w:t xml:space="preserve">Review Ref:</w:t>
      </w:r>
      <w:r>
        <w:t xml:space="preserve"> IAAI-v0.1.0-beta.1-2026-02-27-ICL
</w:t>
      </w:r>
      <w:r>
        <w:rPr>
          <w:rStyle w:val="MdStrong"/>
          <w:b/>
          <w:bCs/>
        </w:rPr>
        <w:t xml:space="preserve">Score:</w:t>
      </w:r>
      <w:r>
        <w:t xml:space="preserve"> 68/100 | </w:t>
      </w:r>
      <w:r>
        <w:rPr>
          <w:rStyle w:val="MdStrong"/>
          <w:b/>
          <w:bCs/>
        </w:rPr>
        <w:t xml:space="preserve">Region:</w:t>
      </w:r>
      <w:r>
        <w:t xml:space="preserve"> UK</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p>
        </w:tc>
        <w:tc>
          <w:tcPr>
            <w:tcBorders>
              <w:right w:val="none"/>
            </w:tcBorders>
            <w:tcMar>
              <w:top w:type="dxa" w:w="100"/>
              <w:left w:type="dxa" w:w="120"/>
              <w:bottom w:type="dxa" w:w="100"/>
              <w:right w:type="dxa" w:w="120"/>
            </w:tcMar>
            <w:vAlign w:val="center"/>
          </w:tcPr>
          <w:p>
            <w:pPr>
              <w:pStyle w:val="MdTableHeader"/>
            </w:pPr>
            <w:r>
              <w:t xml:space="preserve">Analysis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Strengths</w:t>
            </w:r>
          </w:p>
        </w:tc>
        <w:tc>
          <w:tcPr>
            <w:tcBorders>
              <w:right w:val="none"/>
            </w:tcBorders>
            <w:tcMar>
              <w:top w:type="dxa" w:w="80"/>
              <w:left w:type="dxa" w:w="120"/>
              <w:bottom w:type="dxa" w:w="80"/>
              <w:right w:type="dxa" w:w="120"/>
            </w:tcMar>
            <w:vAlign w:val="center"/>
          </w:tcPr>
          <w:p>
            <w:pPr>
              <w:pStyle w:val="MdTableCell"/>
            </w:pPr>
            <w:r>
              <w:t xml:space="preserve">Strong overlap on Fire/Materials/Water relays with Imperial's Year 1 core. Genuinely useful as pre-university preparation — incoming students often lack contextual understanding of WHY civil engineering matters. CPD cross-cultural framework offers perspectives Imperial's professional development courses do not. 60%+ international student body would find cross-cultural framework resonant. Game mechanics and FITS party system are genuinely novel in engineering education context.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Weaknesses</w:t>
            </w:r>
          </w:p>
        </w:tc>
        <w:tc>
          <w:tcPr>
            <w:tcBorders>
              <w:right w:val="none"/>
            </w:tcBorders>
            <w:tcMar>
              <w:top w:type="dxa" w:w="80"/>
              <w:left w:type="dxa" w:w="120"/>
              <w:bottom w:type="dxa" w:w="80"/>
              <w:right w:type="dxa" w:w="120"/>
            </w:tcMar>
            <w:vAlign w:val="center"/>
          </w:tcPr>
          <w:p>
            <w:pPr>
              <w:pStyle w:val="MdTableCell"/>
            </w:pPr>
            <w:r>
              <w:t xml:space="preserve">Mathematically empty — no stress analysis, no PDEs, no computational methods. Cannot be integrated into assessed curriculum without quantitative backbone. Some relays feel thin, threatening sustained engagement.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Opportunities</w:t>
            </w:r>
          </w:p>
        </w:tc>
        <w:tc>
          <w:tcPr>
            <w:tcBorders>
              <w:right w:val="none"/>
            </w:tcBorders>
            <w:tcMar>
              <w:top w:type="dxa" w:w="80"/>
              <w:left w:type="dxa" w:w="120"/>
              <w:bottom w:type="dxa" w:w="80"/>
              <w:right w:type="dxa" w:w="120"/>
            </w:tcMar>
            <w:vAlign w:val="center"/>
          </w:tcPr>
          <w:p>
            <w:pPr>
              <w:pStyle w:val="MdTableCell"/>
            </w:pPr>
            <w:r>
              <w:t xml:space="preserve">Pre-arrival reading list placement. Enrichment programme integration. Constructionarium partnership (Imperial already runs inter-university design competitions). CPD accreditation through ICE or JBM as supplementary material.</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Threats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If IAAI positions as competitor to formal education rather than companion, it will fail at Imperial. Single-author dependency creates fragility. Content depth inconsistency undermines scholarly credibility with faculty.</w:t>
            </w:r>
          </w:p>
        </w:tc>
      </w:tr>
    </w:tbl>
    <w:p>
      <w:pPr>
        <w:pStyle w:val="MdParagraph"/>
      </w:pPr>
      <w:r>
        <w:rPr>
          <w:rStyle w:val="MdStrong"/>
          <w:b/>
          <w:bCs/>
        </w:rPr>
        <w:t xml:space="preserve">Authentic Observation (Golden):</w:t>
      </w:r>
      <w:r>
        <w:t xml:space="preserve"> </w:t>
      </w:r>
      <w:r>
        <w:rPr>
          <w:rStyle w:val="MdEm"/>
          <w:i/>
          <w:iCs/>
        </w:rPr>
        <w:t xml:space="preserve">"Our incoming students often lack contextual understanding of WHY civil engineering matters — they chose the degree because of A-level grades, not civilisational conviction. IAAI would give them that conviction."</w:t>
      </w:r>
      <w:r>
        <w:t xml:space="preserve"> This is a direct admission of a gap in one of the world's top engineering programmes that IAAI uniquely fills.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SWOT 2: University of Nottingham</w:t>
      </w:r>
    </w:p>
    <w:p>
      <w:pPr>
        <w:pStyle w:val="MdParagraph"/>
      </w:pPr>
      <w:r>
        <w:rPr>
          <w:rStyle w:val="MdStrong"/>
          <w:b/>
          <w:bCs/>
        </w:rPr>
        <w:t xml:space="preserve">Review Ref:</w:t>
      </w:r>
      <w:r>
        <w:t xml:space="preserve"> IAAI-v0.1.0-beta.1-2026-02-27-NOT
</w:t>
      </w:r>
      <w:r>
        <w:rPr>
          <w:rStyle w:val="MdStrong"/>
          <w:b/>
          <w:bCs/>
        </w:rPr>
        <w:t xml:space="preserve">Score:</w:t>
      </w:r>
      <w:r>
        <w:t xml:space="preserve"> 65/100 | </w:t>
      </w:r>
      <w:r>
        <w:rPr>
          <w:rStyle w:val="MdStrong"/>
          <w:b/>
          <w:bCs/>
        </w:rPr>
        <w:t xml:space="preserve">Region:</w:t>
      </w:r>
      <w:r>
        <w:t xml:space="preserve"> UK</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p>
        </w:tc>
        <w:tc>
          <w:tcPr>
            <w:tcBorders>
              <w:right w:val="none"/>
            </w:tcBorders>
            <w:tcMar>
              <w:top w:type="dxa" w:w="100"/>
              <w:left w:type="dxa" w:w="120"/>
              <w:bottom w:type="dxa" w:w="100"/>
              <w:right w:type="dxa" w:w="120"/>
            </w:tcMar>
            <w:vAlign w:val="center"/>
          </w:tcPr>
          <w:p>
            <w:pPr>
              <w:pStyle w:val="MdTableHeader"/>
            </w:pPr>
            <w:r>
              <w:t xml:space="preserve">Analysis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Strengths</w:t>
            </w:r>
          </w:p>
        </w:tc>
        <w:tc>
          <w:tcPr>
            <w:tcBorders>
              <w:right w:val="none"/>
            </w:tcBorders>
            <w:tcMar>
              <w:top w:type="dxa" w:w="80"/>
              <w:left w:type="dxa" w:w="120"/>
              <w:bottom w:type="dxa" w:w="80"/>
              <w:right w:type="dxa" w:w="120"/>
            </w:tcMar>
            <w:vAlign w:val="center"/>
          </w:tcPr>
          <w:p>
            <w:pPr>
              <w:pStyle w:val="MdTableCell"/>
            </w:pPr>
            <w:r>
              <w:t xml:space="preserve">Portfolio of Civil Engineering Studies modules (Years 1-2) could directly incorporate IAAI content. Strong CPD value — fills the "big picture" gap that employers consistently report. Gamification is genuinely innovative for Nottingham's context. Already participates in inter-university engineering competitions (Olympiad pathway).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Weaknesses</w:t>
            </w:r>
          </w:p>
        </w:tc>
        <w:tc>
          <w:tcPr>
            <w:tcBorders>
              <w:right w:val="none"/>
            </w:tcBorders>
            <w:tcMar>
              <w:top w:type="dxa" w:w="80"/>
              <w:left w:type="dxa" w:w="120"/>
              <w:bottom w:type="dxa" w:w="80"/>
              <w:right w:type="dxa" w:w="120"/>
            </w:tcMar>
            <w:vAlign w:val="center"/>
          </w:tcPr>
          <w:p>
            <w:pPr>
              <w:pStyle w:val="MdTableCell"/>
            </w:pPr>
            <w:r>
              <w:t xml:space="preserve">Alignment is thematic, not operational — students need to calculate flow rates, not read about the Nile. Predominantly UK-based student body may find cross-cultural framework distant. Outrider mode's relevance to British engineering heritage unclear. Tap-to-reveal discovery mechanic needs evolution toward problem-solving.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Opportunities</w:t>
            </w:r>
          </w:p>
        </w:tc>
        <w:tc>
          <w:tcPr>
            <w:tcBorders>
              <w:right w:val="none"/>
            </w:tcBorders>
            <w:tcMar>
              <w:top w:type="dxa" w:w="80"/>
              <w:left w:type="dxa" w:w="120"/>
              <w:bottom w:type="dxa" w:w="80"/>
              <w:right w:type="dxa" w:w="120"/>
            </w:tcMar>
            <w:vAlign w:val="center"/>
          </w:tcPr>
          <w:p>
            <w:pPr>
              <w:pStyle w:val="MdTableCell"/>
            </w:pPr>
            <w:r>
              <w:t xml:space="preserve">Portfolio module integration as contextual reading. CPD tool for graduates entering industry. Olympiad participation. British engineering heritage content (Telford, Stephenson, Bazalgette) would strengthen UK relevance.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Threats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UK university adoption inertia — curriculum changes require committee approval cycles (12-18 months minimum). Competition from established EdTech (Coursera, FutureLearn) with existing institutional relationships. Content maintenance burden across 74 pages.</w:t>
            </w:r>
          </w:p>
        </w:tc>
      </w:tr>
    </w:tbl>
    <w:p>
      <w:pPr>
        <w:pStyle w:val="MdParagraph"/>
      </w:pPr>
      <w:r>
        <w:rPr>
          <w:rStyle w:val="MdStrong"/>
          <w:b/>
          <w:bCs/>
        </w:rPr>
        <w:t xml:space="preserve">Authentic Observation (Golden):</w:t>
      </w:r>
      <w:r>
        <w:t xml:space="preserve"> </w:t>
      </w:r>
      <w:r>
        <w:rPr>
          <w:rStyle w:val="MdEm"/>
          <w:i/>
          <w:iCs/>
        </w:rPr>
        <w:t xml:space="preserve">"The 'big picture' gap that employers consistently report"</w:t>
      </w:r>
      <w:r>
        <w:t xml:space="preserve"> — Nottingham confirms that industry is telling universities their graduates lack contextual understanding. IAAI is the solution to a problem that employers are already articulating.</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SWOT 3: University of Cambridge</w:t>
      </w:r>
    </w:p>
    <w:p>
      <w:pPr>
        <w:pStyle w:val="MdParagraph"/>
      </w:pPr>
      <w:r>
        <w:rPr>
          <w:rStyle w:val="MdStrong"/>
          <w:b/>
          <w:bCs/>
        </w:rPr>
        <w:t xml:space="preserve">Review Ref:</w:t>
      </w:r>
      <w:r>
        <w:t xml:space="preserve"> IAAI-v0.1.0-beta.1-2026-02-27-CAM
</w:t>
      </w:r>
      <w:r>
        <w:rPr>
          <w:rStyle w:val="MdStrong"/>
          <w:b/>
          <w:bCs/>
        </w:rPr>
        <w:t xml:space="preserve">Score:</w:t>
      </w:r>
      <w:r>
        <w:t xml:space="preserve"> 76/100 | </w:t>
      </w:r>
      <w:r>
        <w:rPr>
          <w:rStyle w:val="MdStrong"/>
          <w:b/>
          <w:bCs/>
        </w:rPr>
        <w:t xml:space="preserve">Region:</w:t>
      </w:r>
      <w:r>
        <w:t xml:space="preserve"> UK</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p>
        </w:tc>
        <w:tc>
          <w:tcPr>
            <w:tcBorders>
              <w:right w:val="none"/>
            </w:tcBorders>
            <w:tcMar>
              <w:top w:type="dxa" w:w="100"/>
              <w:left w:type="dxa" w:w="120"/>
              <w:bottom w:type="dxa" w:w="100"/>
              <w:right w:type="dxa" w:w="120"/>
            </w:tcMar>
            <w:vAlign w:val="center"/>
          </w:tcPr>
          <w:p>
            <w:pPr>
              <w:pStyle w:val="MdTableHeader"/>
            </w:pPr>
            <w:r>
              <w:t xml:space="preserve">Analysis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Strengths</w:t>
            </w:r>
          </w:p>
        </w:tc>
        <w:tc>
          <w:tcPr>
            <w:tcBorders>
              <w:right w:val="none"/>
            </w:tcBorders>
            <w:tcMar>
              <w:top w:type="dxa" w:w="80"/>
              <w:left w:type="dxa" w:w="120"/>
              <w:bottom w:type="dxa" w:w="80"/>
              <w:right w:type="dxa" w:w="120"/>
            </w:tcMar>
            <w:vAlign w:val="center"/>
          </w:tcPr>
          <w:p>
            <w:pPr>
              <w:pStyle w:val="MdTableCell"/>
            </w:pPr>
            <w:r>
              <w:t xml:space="preserve">Cambridge Engineering starts broad (all disciplines before specialising) — IAAI's cross-disciplinary approach is philosophically aligned more than any other UK university. 5 Webs taxonomy mirrors Cambridge's own progression from physical to computational engineering. 4-Pillar Framework mirrors supervision-based learning. Thesis-level content in Volume 2 (The Guide) is genuinely academic in ambition. "The closest external framework to Cambridge's educational philosophy I have encountered."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Weaknesses</w:t>
            </w:r>
          </w:p>
        </w:tc>
        <w:tc>
          <w:tcPr>
            <w:tcBorders>
              <w:right w:val="none"/>
            </w:tcBorders>
            <w:tcMar>
              <w:top w:type="dxa" w:w="80"/>
              <w:left w:type="dxa" w:w="120"/>
              <w:bottom w:type="dxa" w:w="80"/>
              <w:right w:type="dxa" w:w="120"/>
            </w:tcMar>
            <w:vAlign w:val="center"/>
          </w:tcPr>
          <w:p>
            <w:pPr>
              <w:pStyle w:val="MdTableCell"/>
            </w:pPr>
            <w:r>
              <w:t xml:space="preserve">7 scholars are well-chosen but Western-heavy. 3 Modes periodisation would be challenged by historians — needs more rigorous historical grounding. Gap between ambition and execution — inconsistent depth across relays.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Opportunities</w:t>
            </w:r>
          </w:p>
        </w:tc>
        <w:tc>
          <w:tcPr>
            <w:tcBorders>
              <w:right w:val="none"/>
            </w:tcBorders>
            <w:tcMar>
              <w:top w:type="dxa" w:w="80"/>
              <w:left w:type="dxa" w:w="120"/>
              <w:bottom w:type="dxa" w:w="80"/>
              <w:right w:type="dxa" w:w="120"/>
            </w:tcMar>
            <w:vAlign w:val="center"/>
          </w:tcPr>
          <w:p>
            <w:pPr>
              <w:pStyle w:val="MdTableCell"/>
            </w:pPr>
            <w:r>
              <w:t xml:space="preserve">Pre-arrival resource for broadening technically brilliant but narrowly focused admits. First-year enrichment activity. Academic peer review submission. Advisory board establishment with Cambridge representation.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Threats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Business model may force commercial compromises that dilute academic quality. Inconsistent depth undermines scholarly credibility. Absence of peer review limits formal endorsement.</w:t>
            </w:r>
          </w:p>
        </w:tc>
      </w:tr>
    </w:tbl>
    <w:p>
      <w:pPr>
        <w:pStyle w:val="MdParagraph"/>
      </w:pPr>
      <w:r>
        <w:rPr>
          <w:rStyle w:val="MdStrong"/>
          <w:b/>
          <w:bCs/>
        </w:rPr>
        <w:t xml:space="preserve">Authentic Observation (Golden):</w:t>
      </w:r>
      <w:r>
        <w:t xml:space="preserve"> </w:t>
      </w:r>
      <w:r>
        <w:rPr>
          <w:rStyle w:val="MdEm"/>
          <w:i/>
          <w:iCs/>
        </w:rPr>
        <w:t xml:space="preserve">"The closest external framework to Cambridge's educational philosophy I have encountered."</w:t>
      </w:r>
      <w:r>
        <w:t xml:space="preserve"> From Cambridge — the world's #2 university — this is an extraordinary endorsement of IAAI's intellectual architecture. This single sentence has immense commercial and credibility value.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SWOT 4: National University of Singapore (NUS)</w:t>
      </w:r>
    </w:p>
    <w:p>
      <w:pPr>
        <w:pStyle w:val="MdParagraph"/>
      </w:pPr>
      <w:r>
        <w:rPr>
          <w:rStyle w:val="MdStrong"/>
          <w:b/>
          <w:bCs/>
        </w:rPr>
        <w:t xml:space="preserve">Review Ref:</w:t>
      </w:r>
      <w:r>
        <w:t xml:space="preserve"> IAAI-v0.1.0-beta.1-2026-02-27-NUS
</w:t>
      </w:r>
      <w:r>
        <w:rPr>
          <w:rStyle w:val="MdStrong"/>
          <w:b/>
          <w:bCs/>
        </w:rPr>
        <w:t xml:space="preserve">Score:</w:t>
      </w:r>
      <w:r>
        <w:t xml:space="preserve"> 78/100 | </w:t>
      </w:r>
      <w:r>
        <w:rPr>
          <w:rStyle w:val="MdStrong"/>
          <w:b/>
          <w:bCs/>
        </w:rPr>
        <w:t xml:space="preserve">Region:</w:t>
      </w:r>
      <w:r>
        <w:t xml:space="preserve"> Asia</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p>
        </w:tc>
        <w:tc>
          <w:tcPr>
            <w:tcBorders>
              <w:right w:val="none"/>
            </w:tcBorders>
            <w:tcMar>
              <w:top w:type="dxa" w:w="100"/>
              <w:left w:type="dxa" w:w="120"/>
              <w:bottom w:type="dxa" w:w="100"/>
              <w:right w:type="dxa" w:w="120"/>
            </w:tcMar>
            <w:vAlign w:val="center"/>
          </w:tcPr>
          <w:p>
            <w:pPr>
              <w:pStyle w:val="MdTableHeader"/>
            </w:pPr>
            <w:r>
              <w:t xml:space="preserve">Analysis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Strengths</w:t>
            </w:r>
          </w:p>
        </w:tc>
        <w:tc>
          <w:tcPr>
            <w:tcBorders>
              <w:right w:val="none"/>
            </w:tcBorders>
            <w:tcMar>
              <w:top w:type="dxa" w:w="80"/>
              <w:left w:type="dxa" w:w="120"/>
              <w:bottom w:type="dxa" w:w="80"/>
              <w:right w:type="dxa" w:w="120"/>
            </w:tcMar>
            <w:vAlign w:val="center"/>
          </w:tcPr>
          <w:p>
            <w:pPr>
              <w:pStyle w:val="MdTableCell"/>
            </w:pPr>
            <w:r>
              <w:t xml:space="preserve">NUS is independently moving toward IAAI's model ("Build Your Own Degree," Liveable Cities module). Singapore sits at East-West crossroads — 3 Modes framework resonates deeply. "We ARE the Outrider." Strait of Malacca (Relay 6: Ships) is Singapore's history. Gamification well-suited to digitally native student demographic. FITS system would generate interesting tutorial discussions.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Weaknesses</w:t>
            </w:r>
          </w:p>
        </w:tc>
        <w:tc>
          <w:tcPr>
            <w:tcBorders>
              <w:right w:val="none"/>
            </w:tcBorders>
            <w:tcMar>
              <w:top w:type="dxa" w:w="80"/>
              <w:left w:type="dxa" w:w="120"/>
              <w:bottom w:type="dxa" w:w="80"/>
              <w:right w:type="dxa" w:w="120"/>
            </w:tcMar>
            <w:vAlign w:val="center"/>
          </w:tcPr>
          <w:p>
            <w:pPr>
              <w:pStyle w:val="MdTableCell"/>
            </w:pPr>
            <w:r>
              <w:t xml:space="preserve">Southeast Asian infrastructure heritage (Angkor Wat, Borobudur, Malay maritime networks) underrepresented. Asian content is China/India-heavy. Platform is English-only (though this is less of a barrier in Singapore). Southeast Asian textile traditions missing from Loom relay.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Opportunities</w:t>
            </w:r>
          </w:p>
        </w:tc>
        <w:tc>
          <w:tcPr>
            <w:tcBorders>
              <w:right w:val="none"/>
            </w:tcBorders>
            <w:tcMar>
              <w:top w:type="dxa" w:w="80"/>
              <w:left w:type="dxa" w:w="120"/>
              <w:bottom w:type="dxa" w:w="80"/>
              <w:right w:type="dxa" w:w="120"/>
            </w:tcMar>
            <w:vAlign w:val="center"/>
          </w:tcPr>
          <w:p>
            <w:pPr>
              <w:pStyle w:val="MdTableCell"/>
            </w:pPr>
            <w:r>
              <w:t xml:space="preserve">Natural early adopter — alignment with NUS's curricular direction is genuine. Liveable Cities module direct reference. Pilot cohort testing. Outcomes-based education framework mapping. Singapore's water story as a relay case study.</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Threats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Competition from Singapore's well-funded, government-supported EdTech ecosystem. Learning outcome assessability concerns. Southeast Asian content gap may alienate regional students.</w:t>
            </w:r>
          </w:p>
        </w:tc>
      </w:tr>
    </w:tbl>
    <w:p>
      <w:pPr>
        <w:pStyle w:val="MdParagraph"/>
      </w:pPr>
      <w:r>
        <w:rPr>
          <w:rStyle w:val="MdStrong"/>
          <w:b/>
          <w:bCs/>
        </w:rPr>
        <w:t xml:space="preserve">Authentic Observation (Golden):</w:t>
      </w:r>
      <w:r>
        <w:t xml:space="preserve"> </w:t>
      </w:r>
      <w:r>
        <w:rPr>
          <w:rStyle w:val="MdEm"/>
          <w:i/>
          <w:iCs/>
        </w:rPr>
        <w:t xml:space="preserve">"We ARE the Outrider."</w:t>
      </w:r>
      <w:r>
        <w:t xml:space="preserve"> NUS self-identifies with IAAI's third civilisational mode. This validates the entire 3 Modes framework — a major university sees itself through IAAI's lens. Singapore as the living embodiment of the Outrider thesis is a powerful positioning tool.</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SWOT 5: Tsinghua University</w:t>
      </w:r>
    </w:p>
    <w:p>
      <w:pPr>
        <w:pStyle w:val="MdParagraph"/>
      </w:pPr>
      <w:r>
        <w:rPr>
          <w:rStyle w:val="MdStrong"/>
          <w:b/>
          <w:bCs/>
        </w:rPr>
        <w:t xml:space="preserve">Review Ref:</w:t>
      </w:r>
      <w:r>
        <w:t xml:space="preserve"> IAAI-v0.1.0-beta.1-2026-02-27-TSH
</w:t>
      </w:r>
      <w:r>
        <w:rPr>
          <w:rStyle w:val="MdStrong"/>
          <w:b/>
          <w:bCs/>
        </w:rPr>
        <w:t xml:space="preserve">Score:</w:t>
      </w:r>
      <w:r>
        <w:t xml:space="preserve"> 67/100 | </w:t>
      </w:r>
      <w:r>
        <w:rPr>
          <w:rStyle w:val="MdStrong"/>
          <w:b/>
          <w:bCs/>
        </w:rPr>
        <w:t xml:space="preserve">Region:</w:t>
      </w:r>
      <w:r>
        <w:t xml:space="preserve"> Asia</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p>
        </w:tc>
        <w:tc>
          <w:tcPr>
            <w:tcBorders>
              <w:right w:val="none"/>
            </w:tcBorders>
            <w:tcMar>
              <w:top w:type="dxa" w:w="100"/>
              <w:left w:type="dxa" w:w="120"/>
              <w:bottom w:type="dxa" w:w="100"/>
              <w:right w:type="dxa" w:w="120"/>
            </w:tcMar>
            <w:vAlign w:val="center"/>
          </w:tcPr>
          <w:p>
            <w:pPr>
              <w:pStyle w:val="MdTableHeader"/>
            </w:pPr>
            <w:r>
              <w:t xml:space="preserve">Analysis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Strengths</w:t>
            </w:r>
          </w:p>
        </w:tc>
        <w:tc>
          <w:tcPr>
            <w:tcBorders>
              <w:right w:val="none"/>
            </w:tcBorders>
            <w:tcMar>
              <w:top w:type="dxa" w:w="80"/>
              <w:left w:type="dxa" w:w="120"/>
              <w:bottom w:type="dxa" w:w="80"/>
              <w:right w:type="dxa" w:w="120"/>
            </w:tcMar>
            <w:vAlign w:val="center"/>
          </w:tcPr>
          <w:p>
            <w:pPr>
              <w:pStyle w:val="MdTableCell"/>
            </w:pPr>
            <w:r>
              <w:t xml:space="preserve">Acknowledgment of Eastern Continuous civilisation is respectful and accurate. China Mirror concept is intellectually interesting. Sun Tzu and Sima Qian inclusion is appropriate. Global comparative framework helps Chinese students understand infrastructure beyond China. Olympiad concept interests Tsinghua — competitive by nature.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Weaknesses</w:t>
            </w:r>
          </w:p>
        </w:tc>
        <w:tc>
          <w:tcPr>
            <w:tcBorders>
              <w:right w:val="none"/>
            </w:tcBorders>
            <w:tcMar>
              <w:top w:type="dxa" w:w="80"/>
              <w:left w:type="dxa" w:w="120"/>
              <w:bottom w:type="dxa" w:w="80"/>
              <w:right w:type="dxa" w:w="120"/>
            </w:tcMar>
            <w:vAlign w:val="center"/>
          </w:tcPr>
          <w:p>
            <w:pPr>
              <w:pStyle w:val="MdTableCell"/>
            </w:pPr>
            <w:r>
              <w:t xml:space="preserve">Chinese engineering students already possess deep civilisational context — IAAI's Eastern content tells them what they already know. Treatment of Chinese heritage is inevitably simplified. English-only limits accessibility (excludes 90%+ of Chinese engineering students). FITS may not resonate with Chinese collective psychological frameworks. Absence of Li Bing, Zheng He, and other Chinese engineers is notable.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Opportunities</w:t>
            </w:r>
          </w:p>
        </w:tc>
        <w:tc>
          <w:tcPr>
            <w:tcBorders>
              <w:right w:val="none"/>
            </w:tcBorders>
            <w:tcMar>
              <w:top w:type="dxa" w:w="80"/>
              <w:left w:type="dxa" w:w="120"/>
              <w:bottom w:type="dxa" w:w="80"/>
              <w:right w:type="dxa" w:w="120"/>
            </w:tcMar>
            <w:vAlign w:val="center"/>
          </w:tcPr>
          <w:p>
            <w:pPr>
              <w:pStyle w:val="MdTableCell"/>
            </w:pPr>
            <w:r>
              <w:t xml:space="preserve">Value lies in providing Western and Outrider perspectives that Chinese curriculum does not. Chinese-language version with co-developed content. Formal partnership for content co-development. China's HSR revolution as a relay case study.</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Threats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Language barrier is the #1 blocker. Simplified treatment may be perceived as superficial by Chinese academics. China's own EdTech ecosystem (Zhihu, Bilibili) is massive and locally dominant. Political sensitivity around certain historical content.</w:t>
            </w:r>
          </w:p>
        </w:tc>
      </w:tr>
    </w:tbl>
    <w:p>
      <w:pPr>
        <w:pStyle w:val="MdParagraph"/>
      </w:pPr>
      <w:r>
        <w:rPr>
          <w:rStyle w:val="MdStrong"/>
          <w:b/>
          <w:bCs/>
        </w:rPr>
        <w:t xml:space="preserve">Authentic Observation (Golden):</w:t>
      </w:r>
      <w:r>
        <w:t xml:space="preserve"> </w:t>
      </w:r>
      <w:r>
        <w:rPr>
          <w:rStyle w:val="MdEm"/>
          <w:i/>
          <w:iCs/>
        </w:rPr>
        <w:t xml:space="preserve">"The platform is more useful for Western students learning about the East than for Eastern students learning about themselves. This is not a criticism — it is a positioning observation."</w:t>
      </w:r>
      <w:r>
        <w:t xml:space="preserve"> This is the most strategically important observation in the entire database. It defines IAAI's primary market (Western) and secondary market (Eastern seeking global perspective) with crystalline clarity.</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SWOT 6: IIT Bombay</w:t>
      </w:r>
    </w:p>
    <w:p>
      <w:pPr>
        <w:pStyle w:val="MdParagraph"/>
      </w:pPr>
      <w:r>
        <w:rPr>
          <w:rStyle w:val="MdStrong"/>
          <w:b/>
          <w:bCs/>
        </w:rPr>
        <w:t xml:space="preserve">Review Ref:</w:t>
      </w:r>
      <w:r>
        <w:t xml:space="preserve"> IAAI-v0.1.0-beta.1-2026-02-27-IIT
</w:t>
      </w:r>
      <w:r>
        <w:rPr>
          <w:rStyle w:val="MdStrong"/>
          <w:b/>
          <w:bCs/>
        </w:rPr>
        <w:t xml:space="preserve">Score:</w:t>
      </w:r>
      <w:r>
        <w:t xml:space="preserve"> 65/100 | </w:t>
      </w:r>
      <w:r>
        <w:rPr>
          <w:rStyle w:val="MdStrong"/>
          <w:b/>
          <w:bCs/>
        </w:rPr>
        <w:t xml:space="preserve">Region:</w:t>
      </w:r>
      <w:r>
        <w:t xml:space="preserve"> Asia</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p>
        </w:tc>
        <w:tc>
          <w:tcPr>
            <w:tcBorders>
              <w:right w:val="none"/>
            </w:tcBorders>
            <w:tcMar>
              <w:top w:type="dxa" w:w="100"/>
              <w:left w:type="dxa" w:w="120"/>
              <w:bottom w:type="dxa" w:w="100"/>
              <w:right w:type="dxa" w:w="120"/>
            </w:tcMar>
            <w:vAlign w:val="center"/>
          </w:tcPr>
          <w:p>
            <w:pPr>
              <w:pStyle w:val="MdTableHeader"/>
            </w:pPr>
            <w:r>
              <w:t xml:space="preserve">Analysis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Strengths</w:t>
            </w:r>
          </w:p>
        </w:tc>
        <w:tc>
          <w:tcPr>
            <w:tcBorders>
              <w:right w:val="none"/>
            </w:tcBorders>
            <w:tcMar>
              <w:top w:type="dxa" w:w="80"/>
              <w:left w:type="dxa" w:w="120"/>
              <w:bottom w:type="dxa" w:w="80"/>
              <w:right w:type="dxa" w:w="120"/>
            </w:tcMar>
            <w:vAlign w:val="center"/>
          </w:tcPr>
          <w:p>
            <w:pPr>
              <w:pStyle w:val="MdTableCell"/>
            </w:pPr>
            <w:r>
              <w:t xml:space="preserve">Fills genuine gap — IIT system's technical focus deliberately excludes civilisational context. 4-Pillar Framework mirrors postgraduate research methodology. Olympiad interests IIT — fierce competitors. India's 1.5M+ annual engineering students = massive addressable market. Grand Trunk Road and Indus Valley have direct Indian relevance.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Weaknesses</w:t>
            </w:r>
          </w:p>
        </w:tc>
        <w:tc>
          <w:tcPr>
            <w:tcBorders>
              <w:right w:val="none"/>
            </w:tcBorders>
            <w:tcMar>
              <w:top w:type="dxa" w:w="80"/>
              <w:left w:type="dxa" w:w="120"/>
              <w:bottom w:type="dxa" w:w="80"/>
              <w:right w:type="dxa" w:w="120"/>
            </w:tcMar>
            <w:vAlign w:val="center"/>
          </w:tcPr>
          <w:p>
            <w:pPr>
              <w:pStyle w:val="MdTableCell"/>
            </w:pPr>
            <w:r>
              <w:t xml:space="preserve">Operates in a completely different register from IIT's mathematically intensive curriculum. Alignment is at the level of inspiration, not instruction. Indian infrastructure heritage underrepresented (stepwells, temple engineering, Indian Railways, textile heritage). No mathematical content = no faculty recommendation. Price sensitivity — Indian students expect free or very low-cost resources.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Opportunities</w:t>
            </w:r>
          </w:p>
        </w:tc>
        <w:tc>
          <w:tcPr>
            <w:tcBorders>
              <w:right w:val="none"/>
            </w:tcBorders>
            <w:tcMar>
              <w:top w:type="dxa" w:w="80"/>
              <w:left w:type="dxa" w:w="120"/>
              <w:bottom w:type="dxa" w:w="80"/>
              <w:right w:type="dxa" w:w="120"/>
            </w:tcMar>
            <w:vAlign w:val="center"/>
          </w:tcPr>
          <w:p>
            <w:pPr>
              <w:pStyle w:val="MdTableCell"/>
            </w:pPr>
            <w:r>
              <w:t xml:space="preserve">Humanities bridge connecting mathematical rigour to human story. Free access tier for Indian market penetration. Indian Railways as world's 4th largest network — massive relay case study. Hindi/regional language support. India arguably represents a fourth civilisational mode — the Syncretic.</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Threats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No mathematical content is the single biggest barrier. Indian heritage underrepresentation may alienate Indian academics. Price sensitivity limits revenue potential. Competition from India's own massive EdTech sector (Byju's, Unacademy).</w:t>
            </w:r>
          </w:p>
        </w:tc>
      </w:tr>
    </w:tbl>
    <w:p>
      <w:pPr>
        <w:pStyle w:val="MdParagraph"/>
      </w:pPr>
      <w:r>
        <w:rPr>
          <w:rStyle w:val="MdStrong"/>
          <w:b/>
          <w:bCs/>
        </w:rPr>
        <w:t xml:space="preserve">Authentic Observation (Golden):</w:t>
      </w:r>
      <w:r>
        <w:t xml:space="preserve"> </w:t>
      </w:r>
      <w:r>
        <w:rPr>
          <w:rStyle w:val="MdEm"/>
          <w:i/>
          <w:iCs/>
        </w:rPr>
        <w:t xml:space="preserve">"India arguably represents a fourth mode — the Syncretic, absorbing and transforming influences from multiple civilisations."</w:t>
      </w:r>
      <w:r>
        <w:t xml:space="preserve"> IIT Bombay proposes a FOURTH civilisational mode that IAAI hasn't considered. This is genuine intellectual contribution from a reviewer — the kind of insight that makes the review process itself a form of scholarship.</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SWOT 7: Massachusetts Institute of Technology (MIT)</w:t>
      </w:r>
    </w:p>
    <w:p>
      <w:pPr>
        <w:pStyle w:val="MdParagraph"/>
      </w:pPr>
      <w:r>
        <w:rPr>
          <w:rStyle w:val="MdStrong"/>
          <w:b/>
          <w:bCs/>
        </w:rPr>
        <w:t xml:space="preserve">Review Ref:</w:t>
      </w:r>
      <w:r>
        <w:t xml:space="preserve"> IAAI-v0.1.0-beta.1-2026-02-27-MIT
</w:t>
      </w:r>
      <w:r>
        <w:rPr>
          <w:rStyle w:val="MdStrong"/>
          <w:b/>
          <w:bCs/>
        </w:rPr>
        <w:t xml:space="preserve">Score:</w:t>
      </w:r>
      <w:r>
        <w:t xml:space="preserve"> 81/100 | </w:t>
      </w:r>
      <w:r>
        <w:rPr>
          <w:rStyle w:val="MdStrong"/>
          <w:b/>
          <w:bCs/>
        </w:rPr>
        <w:t xml:space="preserve">Region:</w:t>
      </w:r>
      <w:r>
        <w:t xml:space="preserve"> USA</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p>
        </w:tc>
        <w:tc>
          <w:tcPr>
            <w:tcBorders>
              <w:right w:val="none"/>
            </w:tcBorders>
            <w:tcMar>
              <w:top w:type="dxa" w:w="100"/>
              <w:left w:type="dxa" w:w="120"/>
              <w:bottom w:type="dxa" w:w="100"/>
              <w:right w:type="dxa" w:w="120"/>
            </w:tcMar>
            <w:vAlign w:val="center"/>
          </w:tcPr>
          <w:p>
            <w:pPr>
              <w:pStyle w:val="MdTableHeader"/>
            </w:pPr>
            <w:r>
              <w:t xml:space="preserve">Analysis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Strengths</w:t>
            </w:r>
          </w:p>
        </w:tc>
        <w:tc>
          <w:tcPr>
            <w:tcBorders>
              <w:right w:val="none"/>
            </w:tcBorders>
            <w:tcMar>
              <w:top w:type="dxa" w:w="80"/>
              <w:left w:type="dxa" w:w="120"/>
              <w:bottom w:type="dxa" w:w="80"/>
              <w:right w:type="dxa" w:w="120"/>
            </w:tcMar>
            <w:vAlign w:val="center"/>
          </w:tcPr>
          <w:p>
            <w:pPr>
              <w:pStyle w:val="MdTableCell"/>
            </w:pPr>
            <w:r>
              <w:t xml:space="preserve">MIT's "nano to global" approach and Systems Engineering course (1.107) are philosophically aligned. Students are intellectually curious beyond technical specialisation — cross-register at Harvard. 4-Pillar Framework is pedagogically sound. Students would engage with game as both players AND critics (wanting to improve mechanics = highest engagement). FITS system generates seminar discussion. Space engineering connection (Relay 11: Orbit).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Weaknesses</w:t>
            </w:r>
          </w:p>
        </w:tc>
        <w:tc>
          <w:tcPr>
            <w:tcBorders>
              <w:right w:val="none"/>
            </w:tcBorders>
            <w:tcMar>
              <w:top w:type="dxa" w:w="80"/>
              <w:left w:type="dxa" w:w="120"/>
              <w:bottom w:type="dxa" w:w="80"/>
              <w:right w:type="dxa" w:w="120"/>
            </w:tcMar>
            <w:vAlign w:val="center"/>
          </w:tcPr>
          <w:p>
            <w:pPr>
              <w:pStyle w:val="MdTableCell"/>
            </w:pPr>
            <w:r>
              <w:t xml:space="preserve">American engineering heritage underrepresented (Erie Canal, Interstate System, Apollo). Western mode is European-centric, not inclusive of American achievement. No computational/quantitative layer limits integration with MIT's data-driven approach. Outrider mode's relevance to American innovation culture unexplored.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Opportunities</w:t>
            </w:r>
          </w:p>
        </w:tc>
        <w:tc>
          <w:tcPr>
            <w:tcBorders>
              <w:right w:val="none"/>
            </w:tcBorders>
            <w:tcMar>
              <w:top w:type="dxa" w:w="80"/>
              <w:left w:type="dxa" w:w="120"/>
              <w:bottom w:type="dxa" w:w="80"/>
              <w:right w:type="dxa" w:w="120"/>
            </w:tcMar>
            <w:vAlign w:val="center"/>
          </w:tcPr>
          <w:p>
            <w:pPr>
              <w:pStyle w:val="MdTableCell"/>
            </w:pPr>
            <w:r>
              <w:t xml:space="preserve">Pre-arrival resource setting civilisational context. Conceptual companion to technical courses. Peer-reviewed education conference publication. Partnership — MIT values interdisciplinary innovation. Students wanting to improve the game = potential development resource.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Threats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Scale challenge — maintaining quality while building business. American narrative gap may limit US adoption. Academic credibility requires published research.</w:t>
            </w:r>
          </w:p>
        </w:tc>
      </w:tr>
    </w:tbl>
    <w:p>
      <w:pPr>
        <w:pStyle w:val="MdParagraph"/>
      </w:pPr>
      <w:r>
        <w:rPr>
          <w:rStyle w:val="MdStrong"/>
          <w:b/>
          <w:bCs/>
        </w:rPr>
        <w:t xml:space="preserve">Authentic Observation (Golden):</w:t>
      </w:r>
      <w:r>
        <w:t xml:space="preserve"> </w:t>
      </w:r>
      <w:r>
        <w:rPr>
          <w:rStyle w:val="MdEm"/>
          <w:i/>
          <w:iCs/>
        </w:rPr>
        <w:t xml:space="preserve">"MIT students would want to IMPROVE the game mechanics — which is the highest form of engagement."</w:t>
      </w:r>
      <w:r>
        <w:t xml:space="preserve"> MIT identifies that the game's imperfections are actually an engagement feature — students treating the platform as an engineering problem to solve IS the thesis in action. This reframes "bugs" as "features" for the right audience.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SWOT 8: Stanford University</w:t>
      </w:r>
    </w:p>
    <w:p>
      <w:pPr>
        <w:pStyle w:val="MdParagraph"/>
      </w:pPr>
      <w:r>
        <w:rPr>
          <w:rStyle w:val="MdStrong"/>
          <w:b/>
          <w:bCs/>
        </w:rPr>
        <w:t xml:space="preserve">Review Ref:</w:t>
      </w:r>
      <w:r>
        <w:t xml:space="preserve"> IAAI-v0.1.0-beta.1-2026-02-27-STA
</w:t>
      </w:r>
      <w:r>
        <w:rPr>
          <w:rStyle w:val="MdStrong"/>
          <w:b/>
          <w:bCs/>
        </w:rPr>
        <w:t xml:space="preserve">Score:</w:t>
      </w:r>
      <w:r>
        <w:t xml:space="preserve"> 82/100 | </w:t>
      </w:r>
      <w:r>
        <w:rPr>
          <w:rStyle w:val="MdStrong"/>
          <w:b/>
          <w:bCs/>
        </w:rPr>
        <w:t xml:space="preserve">Region:</w:t>
      </w:r>
      <w:r>
        <w:t xml:space="preserve"> USA | </w:t>
      </w:r>
      <w:r>
        <w:rPr>
          <w:rStyle w:val="MdStrong"/>
          <w:b/>
          <w:bCs/>
        </w:rPr>
        <w:t xml:space="preserve">Highest Score</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p>
        </w:tc>
        <w:tc>
          <w:tcPr>
            <w:tcBorders>
              <w:right w:val="none"/>
            </w:tcBorders>
            <w:tcMar>
              <w:top w:type="dxa" w:w="100"/>
              <w:left w:type="dxa" w:w="120"/>
              <w:bottom w:type="dxa" w:w="100"/>
              <w:right w:type="dxa" w:w="120"/>
            </w:tcMar>
            <w:vAlign w:val="center"/>
          </w:tcPr>
          <w:p>
            <w:pPr>
              <w:pStyle w:val="MdTableHeader"/>
            </w:pPr>
            <w:r>
              <w:t xml:space="preserve">Analysis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Strengths</w:t>
            </w:r>
          </w:p>
        </w:tc>
        <w:tc>
          <w:tcPr>
            <w:tcBorders>
              <w:right w:val="none"/>
            </w:tcBorders>
            <w:tcMar>
              <w:top w:type="dxa" w:w="80"/>
              <w:left w:type="dxa" w:w="120"/>
              <w:bottom w:type="dxa" w:w="80"/>
              <w:right w:type="dxa" w:w="120"/>
            </w:tcMar>
            <w:vAlign w:val="center"/>
          </w:tcPr>
          <w:p>
            <w:pPr>
              <w:pStyle w:val="MdTableCell"/>
            </w:pPr>
            <w:r>
              <w:t xml:space="preserve">Stanford's "both technical and people-oriented" framing directly aligned. 7 Focus Areas map to IAAI's relays. "Clean Water Now!" and "How Buildings Are Made" courses share IAAI's accessible, narrative-first approach. d.school design thinking methodology alignment. Game-based learning fits Stanford's project-based pedagogy. "This feels like a well-funded EdTech startup, not a solo project."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Weaknesses</w:t>
            </w:r>
          </w:p>
        </w:tc>
        <w:tc>
          <w:tcPr>
            <w:tcBorders>
              <w:right w:val="none"/>
            </w:tcBorders>
            <w:tcMar>
              <w:top w:type="dxa" w:w="80"/>
              <w:left w:type="dxa" w:w="120"/>
              <w:bottom w:type="dxa" w:w="80"/>
              <w:right w:type="dxa" w:w="120"/>
            </w:tcMar>
            <w:vAlign w:val="center"/>
          </w:tcPr>
          <w:p>
            <w:pPr>
              <w:pStyle w:val="MdTableCell"/>
            </w:pPr>
            <w:r>
              <w:t xml:space="preserve">West Coast / American engineering narrative underrepresented (Golden Gate Bridge, Silicon Valley infrastructure, California water wars, earthquake engineering). EdTech market is crowded — differentiation must be crystal clear. Solo-founder risk.</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Opportunities</w:t>
            </w:r>
          </w:p>
        </w:tc>
        <w:tc>
          <w:tcPr>
            <w:tcBorders>
              <w:right w:val="none"/>
            </w:tcBorders>
            <w:tcMar>
              <w:top w:type="dxa" w:w="80"/>
              <w:left w:type="dxa" w:w="120"/>
              <w:bottom w:type="dxa" w:w="80"/>
              <w:right w:type="dxa" w:w="120"/>
            </w:tcMar>
            <w:vAlign w:val="center"/>
          </w:tcPr>
          <w:p>
            <w:pPr>
              <w:pStyle w:val="MdTableCell"/>
            </w:pPr>
            <w:r>
              <w:t xml:space="preserve">d.school case study in design thinking applied to civilisational education. "The concept is fundable." Students wanting to improve platform as a project. Formal evaluation with pilot data. Stanford Engineering Education conference presentation.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Threats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Solo-founder capacity vs. scale of ambition. Crowded EdTech market. West Coast content gap limits local relevance.</w:t>
            </w:r>
          </w:p>
        </w:tc>
      </w:tr>
    </w:tbl>
    <w:p>
      <w:pPr>
        <w:pStyle w:val="MdParagraph"/>
      </w:pPr>
      <w:r>
        <w:rPr>
          <w:rStyle w:val="MdStrong"/>
          <w:b/>
          <w:bCs/>
        </w:rPr>
        <w:t xml:space="preserve">Authentic Observation (Golden):</w:t>
      </w:r>
      <w:r>
        <w:t xml:space="preserve"> </w:t>
      </w:r>
      <w:r>
        <w:rPr>
          <w:rStyle w:val="MdEm"/>
          <w:i/>
          <w:iCs/>
        </w:rPr>
        <w:t xml:space="preserve">"This feels like a well-funded EdTech startup, not a solo project"</w:t>
      </w:r>
      <w:r>
        <w:t xml:space="preserve"> and </w:t>
      </w:r>
      <w:r>
        <w:rPr>
          <w:rStyle w:val="MdEm"/>
          <w:i/>
          <w:iCs/>
        </w:rPr>
        <w:t xml:space="preserve">"The concept is fundable."</w:t>
      </w:r>
      <w:r>
        <w:t xml:space="preserve"> Stanford — the birthplace of Silicon Valley — says IAAI looks like a funded startup and IS fundable. This is the strongest commercial validation in the database. From the university that produced Google, Hewlett-Packard, and Netflix.</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SWOT 9: UC Berkeley</w:t>
      </w:r>
    </w:p>
    <w:p>
      <w:pPr>
        <w:pStyle w:val="MdParagraph"/>
      </w:pPr>
      <w:r>
        <w:rPr>
          <w:rStyle w:val="MdStrong"/>
          <w:b/>
          <w:bCs/>
        </w:rPr>
        <w:t xml:space="preserve">Review Ref:</w:t>
      </w:r>
      <w:r>
        <w:t xml:space="preserve"> IAAI-v0.1.0-beta.1-2026-02-27-UCB
</w:t>
      </w:r>
      <w:r>
        <w:rPr>
          <w:rStyle w:val="MdStrong"/>
          <w:b/>
          <w:bCs/>
        </w:rPr>
        <w:t xml:space="preserve">Score:</w:t>
      </w:r>
      <w:r>
        <w:t xml:space="preserve"> 72/100 | </w:t>
      </w:r>
      <w:r>
        <w:rPr>
          <w:rStyle w:val="MdStrong"/>
          <w:b/>
          <w:bCs/>
        </w:rPr>
        <w:t xml:space="preserve">Region:</w:t>
      </w:r>
      <w:r>
        <w:t xml:space="preserve"> USA</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p>
        </w:tc>
        <w:tc>
          <w:tcPr>
            <w:tcBorders>
              <w:right w:val="none"/>
            </w:tcBorders>
            <w:tcMar>
              <w:top w:type="dxa" w:w="100"/>
              <w:left w:type="dxa" w:w="120"/>
              <w:bottom w:type="dxa" w:w="100"/>
              <w:right w:type="dxa" w:w="120"/>
            </w:tcMar>
            <w:vAlign w:val="center"/>
          </w:tcPr>
          <w:p>
            <w:pPr>
              <w:pStyle w:val="MdTableHeader"/>
            </w:pPr>
            <w:r>
              <w:t xml:space="preserve">Analysis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Strengths</w:t>
            </w:r>
          </w:p>
        </w:tc>
        <w:tc>
          <w:tcPr>
            <w:tcBorders>
              <w:right w:val="none"/>
            </w:tcBorders>
            <w:tcMar>
              <w:top w:type="dxa" w:w="80"/>
              <w:left w:type="dxa" w:w="120"/>
              <w:bottom w:type="dxa" w:w="80"/>
              <w:right w:type="dxa" w:w="120"/>
            </w:tcMar>
            <w:vAlign w:val="center"/>
          </w:tcPr>
          <w:p>
            <w:pPr>
              <w:pStyle w:val="MdTableCell"/>
            </w:pPr>
            <w:r>
              <w:t xml:space="preserve">Economics &amp; Policy area directly aligns with Relay 10 (AAA Triad). Proximity to Silicon Valley means IAAI provides historical grounding that technology-first thinking lacks. Thesis-level content serves graduate seminars on infrastructure policy. Diverse student body finds cross-cultural framework relevant.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Weaknesses</w:t>
            </w:r>
          </w:p>
        </w:tc>
        <w:tc>
          <w:tcPr>
            <w:tcBorders>
              <w:right w:val="none"/>
            </w:tcBorders>
            <w:tcMar>
              <w:top w:type="dxa" w:w="80"/>
              <w:left w:type="dxa" w:w="120"/>
              <w:bottom w:type="dxa" w:w="80"/>
              <w:right w:type="dxa" w:w="120"/>
            </w:tcMar>
            <w:vAlign w:val="center"/>
          </w:tcPr>
          <w:p>
            <w:pPr>
              <w:pStyle w:val="MdTableCell"/>
            </w:pPr>
            <w:r>
              <w:t xml:space="preserve">Insufficient critical engagement with infrastructure's role in colonialism and inequality. American infrastructure narrative underrepresented. California's own infrastructure story (Gold Rush, water wars, earthquake engineering) is rich and absent. Platform's framing of civilisation needs more critical self-awareness.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Opportunities</w:t>
            </w:r>
          </w:p>
        </w:tc>
        <w:tc>
          <w:tcPr>
            <w:tcBorders>
              <w:right w:val="none"/>
            </w:tcBorders>
            <w:tcMar>
              <w:top w:type="dxa" w:w="80"/>
              <w:left w:type="dxa" w:w="120"/>
              <w:bottom w:type="dxa" w:w="80"/>
              <w:right w:type="dxa" w:w="120"/>
            </w:tcMar>
            <w:vAlign w:val="center"/>
          </w:tcPr>
          <w:p>
            <w:pPr>
              <w:pStyle w:val="MdTableCell"/>
            </w:pPr>
            <w:r>
              <w:t xml:space="preserve">Infrastructure policy graduate seminar reading. Critical perspectives addition would strengthen academic credibility. California water infrastructure as relay case study. Peer-reviewed engineering education journal publication.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Threats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Berkeley's politically aware students would question framing of civilisation, colonialism, and power. Academic credibility requires peer review. American narrative gap.</w:t>
            </w:r>
          </w:p>
        </w:tc>
      </w:tr>
    </w:tbl>
    <w:p>
      <w:pPr>
        <w:pStyle w:val="MdParagraph"/>
      </w:pPr>
      <w:r>
        <w:rPr>
          <w:rStyle w:val="MdStrong"/>
          <w:b/>
          <w:bCs/>
        </w:rPr>
        <w:t xml:space="preserve">Authentic Observation (Golden):</w:t>
      </w:r>
      <w:r>
        <w:t xml:space="preserve"> </w:t>
      </w:r>
      <w:r>
        <w:rPr>
          <w:rStyle w:val="MdEm"/>
          <w:i/>
          <w:iCs/>
        </w:rPr>
        <w:t xml:space="preserve">"Berkeley students would question the platform's framing of civilisation, colonialism, and infrastructure's role in power structures. This is not a weakness; it is an opportunity for deeper engagement."</w:t>
      </w:r>
      <w:r>
        <w:t xml:space="preserve"> Berkeley reframes potential criticism as engagement opportunity. The platform's willingness to be questioned IS the scholarly approach. This is the most intellectually mature observation in the database.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SWOT 10: Khalifa University (Abu Dhabi, UAE)</w:t>
      </w:r>
    </w:p>
    <w:p>
      <w:pPr>
        <w:pStyle w:val="MdParagraph"/>
      </w:pPr>
      <w:r>
        <w:rPr>
          <w:rStyle w:val="MdStrong"/>
          <w:b/>
          <w:bCs/>
        </w:rPr>
        <w:t xml:space="preserve">Review Ref:</w:t>
      </w:r>
      <w:r>
        <w:t xml:space="preserve"> IAAI-v0.1.0-beta.1-2026-02-27-KHU
</w:t>
      </w:r>
      <w:r>
        <w:rPr>
          <w:rStyle w:val="MdStrong"/>
          <w:b/>
          <w:bCs/>
        </w:rPr>
        <w:t xml:space="preserve">Score:</w:t>
      </w:r>
      <w:r>
        <w:t xml:space="preserve"> 80/100 | </w:t>
      </w:r>
      <w:r>
        <w:rPr>
          <w:rStyle w:val="MdStrong"/>
          <w:b/>
          <w:bCs/>
        </w:rPr>
        <w:t xml:space="preserve">Region:</w:t>
      </w:r>
      <w:r>
        <w:t xml:space="preserve"> Middle East</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p>
        </w:tc>
        <w:tc>
          <w:tcPr>
            <w:tcBorders>
              <w:right w:val="none"/>
            </w:tcBorders>
            <w:tcMar>
              <w:top w:type="dxa" w:w="100"/>
              <w:left w:type="dxa" w:w="120"/>
              <w:bottom w:type="dxa" w:w="100"/>
              <w:right w:type="dxa" w:w="120"/>
            </w:tcMar>
            <w:vAlign w:val="center"/>
          </w:tcPr>
          <w:p>
            <w:pPr>
              <w:pStyle w:val="MdTableHeader"/>
            </w:pPr>
            <w:r>
              <w:t xml:space="preserve">Analysis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Strengths</w:t>
            </w:r>
          </w:p>
        </w:tc>
        <w:tc>
          <w:tcPr>
            <w:tcBorders>
              <w:right w:val="none"/>
            </w:tcBorders>
            <w:tcMar>
              <w:top w:type="dxa" w:w="80"/>
              <w:left w:type="dxa" w:w="120"/>
              <w:bottom w:type="dxa" w:w="80"/>
              <w:right w:type="dxa" w:w="120"/>
            </w:tcMar>
            <w:vAlign w:val="center"/>
          </w:tcPr>
          <w:p>
            <w:pPr>
              <w:pStyle w:val="MdTableCell"/>
            </w:pPr>
            <w:r>
              <w:t xml:space="preserve">Department named "Civil Infrastructure and Environmental Engineering" — already speaks IAAI's language. UAE building at unprecedented scale — IAAI provides historical depth forward-looking curriculum lacks. "We teach HOW to build Masdar City; IAAI teaches WHY infrastructure matters across 12,000 years." Complementarity is exceptional. Young, digitally engaged population. FITS system culturally neutral enough for diverse student body (Emirati, South Asian, Arab, Western expat).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Weaknesses</w:t>
            </w:r>
          </w:p>
        </w:tc>
        <w:tc>
          <w:tcPr>
            <w:tcBorders>
              <w:right w:val="none"/>
            </w:tcBorders>
            <w:tcMar>
              <w:top w:type="dxa" w:w="80"/>
              <w:left w:type="dxa" w:w="120"/>
              <w:bottom w:type="dxa" w:w="80"/>
              <w:right w:type="dxa" w:w="120"/>
            </w:tcMar>
            <w:vAlign w:val="center"/>
          </w:tcPr>
          <w:p>
            <w:pPr>
              <w:pStyle w:val="MdTableCell"/>
            </w:pPr>
            <w:r>
              <w:t xml:space="preserve">Islamic Golden Age engineering achievements need deeper treatment (qanats, windcatchers, geometric architecture). Arabic language support essential. Government partnership processes are slow despite enthusiasm.</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Opportunities</w:t>
            </w:r>
          </w:p>
        </w:tc>
        <w:tc>
          <w:tcPr>
            <w:tcBorders>
              <w:right w:val="none"/>
            </w:tcBorders>
            <w:tcMar>
              <w:top w:type="dxa" w:w="80"/>
              <w:left w:type="dxa" w:w="120"/>
              <w:bottom w:type="dxa" w:w="80"/>
              <w:right w:type="dxa" w:w="120"/>
            </w:tcMar>
            <w:vAlign w:val="center"/>
          </w:tcPr>
          <w:p>
            <w:pPr>
              <w:pStyle w:val="MdTableCell"/>
            </w:pPr>
            <w:r>
              <w:t xml:space="preserve">Strongest natural fit in the 12-university comparison. UAE government actively seeks innovative educational partnerships. CPD resource for engineers on NEOM, Masdar megaprojects. UAE National Innovation Strategy alignment. Post-COP28 sustainability narrative.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Threats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Arabic language barrier for regional penetration. Government partnership bureaucracy. Competition from well-funded UAE educational initiatives.</w:t>
            </w:r>
          </w:p>
        </w:tc>
      </w:tr>
    </w:tbl>
    <w:p>
      <w:pPr>
        <w:pStyle w:val="MdParagraph"/>
      </w:pPr>
      <w:r>
        <w:rPr>
          <w:rStyle w:val="MdStrong"/>
          <w:b/>
          <w:bCs/>
        </w:rPr>
        <w:t xml:space="preserve">Authentic Observation (Golden):</w:t>
      </w:r>
      <w:r>
        <w:t xml:space="preserve"> </w:t>
      </w:r>
      <w:r>
        <w:rPr>
          <w:rStyle w:val="MdEm"/>
          <w:i/>
          <w:iCs/>
        </w:rPr>
        <w:t xml:space="preserve">"A nation that is literally building itself from desert needs the civilisational perspective that IAAI provides."</w:t>
      </w:r>
      <w:r>
        <w:t xml:space="preserve"> Khalifa identifies the UAE as IAAI's perfect market — a country creating infrastructure at civilisational scale RIGHT NOW, needing the historical depth to understand what it's doing. This is the strongest market-fit statement in the database.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SWOT 11: Qatar University</w:t>
      </w:r>
    </w:p>
    <w:p>
      <w:pPr>
        <w:pStyle w:val="MdParagraph"/>
      </w:pPr>
      <w:r>
        <w:rPr>
          <w:rStyle w:val="MdStrong"/>
          <w:b/>
          <w:bCs/>
        </w:rPr>
        <w:t xml:space="preserve">Review Ref:</w:t>
      </w:r>
      <w:r>
        <w:t xml:space="preserve"> IAAI-v0.1.0-beta.1-2026-02-27-QTR
</w:t>
      </w:r>
      <w:r>
        <w:rPr>
          <w:rStyle w:val="MdStrong"/>
          <w:b/>
          <w:bCs/>
        </w:rPr>
        <w:t xml:space="preserve">Score:</w:t>
      </w:r>
      <w:r>
        <w:t xml:space="preserve"> 72/100 | </w:t>
      </w:r>
      <w:r>
        <w:rPr>
          <w:rStyle w:val="MdStrong"/>
          <w:b/>
          <w:bCs/>
        </w:rPr>
        <w:t xml:space="preserve">Region:</w:t>
      </w:r>
      <w:r>
        <w:t xml:space="preserve"> Middle East</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p>
        </w:tc>
        <w:tc>
          <w:tcPr>
            <w:tcBorders>
              <w:right w:val="none"/>
            </w:tcBorders>
            <w:tcMar>
              <w:top w:type="dxa" w:w="100"/>
              <w:left w:type="dxa" w:w="120"/>
              <w:bottom w:type="dxa" w:w="100"/>
              <w:right w:type="dxa" w:w="120"/>
            </w:tcMar>
            <w:vAlign w:val="center"/>
          </w:tcPr>
          <w:p>
            <w:pPr>
              <w:pStyle w:val="MdTableHeader"/>
            </w:pPr>
            <w:r>
              <w:t xml:space="preserve">Analysis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Strengths</w:t>
            </w:r>
          </w:p>
        </w:tc>
        <w:tc>
          <w:tcPr>
            <w:tcBorders>
              <w:right w:val="none"/>
            </w:tcBorders>
            <w:tcMar>
              <w:top w:type="dxa" w:w="80"/>
              <w:left w:type="dxa" w:w="120"/>
              <w:bottom w:type="dxa" w:w="80"/>
              <w:right w:type="dxa" w:w="120"/>
            </w:tcMar>
            <w:vAlign w:val="center"/>
          </w:tcPr>
          <w:p>
            <w:pPr>
              <w:pStyle w:val="MdTableCell"/>
            </w:pPr>
            <w:r>
              <w:t xml:space="preserve">Students built the World Cup — they understand modern infrastructure but lack 12,000-year perspective. Arabic language commitment reflects cultural identity; IAAI's cross-cultural framework complements by showing Arabic-speaking civilisations' contributions. Crossroads of ancient trade routes. Pearl diving heritage, maritime traditions, desert engineering.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Weaknesses</w:t>
            </w:r>
          </w:p>
        </w:tc>
        <w:tc>
          <w:tcPr>
            <w:tcBorders>
              <w:right w:val="none"/>
            </w:tcBorders>
            <w:tcMar>
              <w:top w:type="dxa" w:w="80"/>
              <w:left w:type="dxa" w:w="120"/>
              <w:bottom w:type="dxa" w:w="80"/>
              <w:right w:type="dxa" w:w="120"/>
            </w:tcMar>
            <w:vAlign w:val="center"/>
          </w:tcPr>
          <w:p>
            <w:pPr>
              <w:pStyle w:val="MdTableCell"/>
            </w:pPr>
            <w:r>
              <w:t xml:space="preserve">ABET-accredited programme is technically focused — 131 credit hours leave little room for enrichment. English-only format limits Arabic-medium students. Qatar's own transformation story (pearl diving → World Cup in 50 years) needs explicit mention.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Opportunities</w:t>
            </w:r>
          </w:p>
        </w:tc>
        <w:tc>
          <w:tcPr>
            <w:tcBorders>
              <w:right w:val="none"/>
            </w:tcBorders>
            <w:tcMar>
              <w:top w:type="dxa" w:w="80"/>
              <w:left w:type="dxa" w:w="120"/>
              <w:bottom w:type="dxa" w:w="80"/>
              <w:right w:type="dxa" w:w="120"/>
            </w:tcMar>
            <w:vAlign w:val="center"/>
          </w:tcPr>
          <w:p>
            <w:pPr>
              <w:pStyle w:val="MdTableCell"/>
            </w:pPr>
            <w:r>
              <w:t xml:space="preserve">Post-World Cup educational investment creates receptive market. Qatar National Vision 2030 alignment. Qatar Foundation / WISE partnership. Doha Metro as relay case study. Water desalination as River relay case study.</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Threats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Arabic language essential. Competition from Qatar Foundation's own educational initiatives. Government partnership processes require cultural navigation.</w:t>
            </w:r>
          </w:p>
        </w:tc>
      </w:tr>
    </w:tbl>
    <w:p>
      <w:pPr>
        <w:pStyle w:val="MdParagraph"/>
      </w:pPr>
      <w:r>
        <w:rPr>
          <w:rStyle w:val="MdStrong"/>
          <w:b/>
          <w:bCs/>
        </w:rPr>
        <w:t xml:space="preserve">Authentic Observation (Golden):</w:t>
      </w:r>
      <w:r>
        <w:t xml:space="preserve"> </w:t>
      </w:r>
      <w:r>
        <w:rPr>
          <w:rStyle w:val="MdEm"/>
          <w:i/>
          <w:iCs/>
        </w:rPr>
        <w:t xml:space="preserve">"Qatar's transformation from pearl diving village to World Cup host in 50 years is one of the most dramatic infrastructure transformations in human history."</w:t>
      </w:r>
      <w:r>
        <w:t xml:space="preserve"> Qatar identifies itself as a living relay — a civilisational leap compressed into a single lifetime. This is content that IAAI should capture as a case study. The reviewer is writing IAAI's content for it.</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SWOT 12: King Fahd University of Petroleum and Minerals (KFUPM)</w:t>
      </w:r>
    </w:p>
    <w:p>
      <w:pPr>
        <w:pStyle w:val="MdParagraph"/>
      </w:pPr>
      <w:r>
        <w:rPr>
          <w:rStyle w:val="MdStrong"/>
          <w:b/>
          <w:bCs/>
        </w:rPr>
        <w:t xml:space="preserve">Review Ref:</w:t>
      </w:r>
      <w:r>
        <w:t xml:space="preserve"> IAAI-v0.1.0-beta.1-2026-02-27-KFU
</w:t>
      </w:r>
      <w:r>
        <w:rPr>
          <w:rStyle w:val="MdStrong"/>
          <w:b/>
          <w:bCs/>
        </w:rPr>
        <w:t xml:space="preserve">Score:</w:t>
      </w:r>
      <w:r>
        <w:t xml:space="preserve"> 76/100 | </w:t>
      </w:r>
      <w:r>
        <w:rPr>
          <w:rStyle w:val="MdStrong"/>
          <w:b/>
          <w:bCs/>
        </w:rPr>
        <w:t xml:space="preserve">Region:</w:t>
      </w:r>
      <w:r>
        <w:t xml:space="preserve"> Middle East</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p>
        </w:tc>
        <w:tc>
          <w:tcPr>
            <w:tcBorders>
              <w:right w:val="none"/>
            </w:tcBorders>
            <w:tcMar>
              <w:top w:type="dxa" w:w="100"/>
              <w:left w:type="dxa" w:w="120"/>
              <w:bottom w:type="dxa" w:w="100"/>
              <w:right w:type="dxa" w:w="120"/>
            </w:tcMar>
            <w:vAlign w:val="center"/>
          </w:tcPr>
          <w:p>
            <w:pPr>
              <w:pStyle w:val="MdTableHeader"/>
            </w:pPr>
            <w:r>
              <w:t xml:space="preserve">Analysis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Strengths</w:t>
            </w:r>
          </w:p>
        </w:tc>
        <w:tc>
          <w:tcPr>
            <w:tcBorders>
              <w:right w:val="none"/>
            </w:tcBorders>
            <w:tcMar>
              <w:top w:type="dxa" w:w="80"/>
              <w:left w:type="dxa" w:w="120"/>
              <w:bottom w:type="dxa" w:w="80"/>
              <w:right w:type="dxa" w:w="120"/>
            </w:tcMar>
            <w:vAlign w:val="center"/>
          </w:tcPr>
          <w:p>
            <w:pPr>
              <w:pStyle w:val="MdTableCell"/>
            </w:pPr>
            <w:r>
              <w:t xml:space="preserve">Petroleum-infrastructure nexus makes Relay 1 (Fire/Energy) directly relevant to core identity. 12 relays map to 12 sectors that Vision 2030 targets for economic diversification. NEOM ($500B), The Line (170km) — students will build this future. Saudi gaming market is largest in Middle East. FITS system culturally appropriate.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Weaknesses</w:t>
            </w:r>
          </w:p>
        </w:tc>
        <w:tc>
          <w:tcPr>
            <w:tcBorders>
              <w:right w:val="none"/>
            </w:tcBorders>
            <w:tcMar>
              <w:top w:type="dxa" w:w="80"/>
              <w:left w:type="dxa" w:w="120"/>
              <w:bottom w:type="dxa" w:w="80"/>
              <w:right w:type="dxa" w:w="120"/>
            </w:tcMar>
            <w:vAlign w:val="center"/>
          </w:tcPr>
          <w:p>
            <w:pPr>
              <w:pStyle w:val="MdTableCell"/>
            </w:pPr>
            <w:r>
              <w:t xml:space="preserve">Arabian infrastructure heritage needs deeper treatment (Nabataean water systems, Hajj routes, incense trade). Arabic language essential. Government partnership processes require local representation.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Opportunities</w:t>
            </w:r>
          </w:p>
        </w:tc>
        <w:tc>
          <w:tcPr>
            <w:tcBorders>
              <w:right w:val="none"/>
            </w:tcBorders>
            <w:tcMar>
              <w:top w:type="dxa" w:w="80"/>
              <w:left w:type="dxa" w:w="120"/>
              <w:bottom w:type="dxa" w:w="80"/>
              <w:right w:type="dxa" w:w="120"/>
            </w:tcMar>
            <w:vAlign w:val="center"/>
          </w:tcPr>
          <w:p>
            <w:pPr>
              <w:pStyle w:val="MdTableCell"/>
            </w:pPr>
            <w:r>
              <w:t xml:space="preserve">Strategic alignment with Vision 2030 educational transformation. Massive, well-funded market. NEOM as a relay case study. Expo 2030 / FIFA 2034 hosting ambitions align with Olympiad. Nabataean water systems as engineering heritage content.</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Threats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Arabic language barrier. Saudi government processes require local partners. Competition from well-funded Saudi educational initiatives.</w:t>
            </w:r>
          </w:p>
        </w:tc>
      </w:tr>
    </w:tbl>
    <w:p>
      <w:pPr>
        <w:pStyle w:val="MdParagraph"/>
      </w:pPr>
      <w:r>
        <w:rPr>
          <w:rStyle w:val="MdStrong"/>
          <w:b/>
          <w:bCs/>
        </w:rPr>
        <w:t xml:space="preserve">Authentic Observation (Golden):</w:t>
      </w:r>
      <w:r>
        <w:t xml:space="preserve"> </w:t>
      </w:r>
      <w:r>
        <w:rPr>
          <w:rStyle w:val="MdEm"/>
          <w:i/>
          <w:iCs/>
        </w:rPr>
        <w:t xml:space="preserve">"IAAI's 12 relays map to the 12 sectors that Vision 2030 targets for economic diversification."</w:t>
      </w:r>
      <w:r>
        <w:t xml:space="preserve"> KFUPM identifies a structural alignment between IAAI's framework and Saudi Arabia's national strategy. Twelve relays, twelve sectors. This is either coincidence or evidence that infrastructure IS civilisation — which is the thesis. Either way, it's a powerful commercial positioning tool for the Saudi market.</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Cross-SWOT Analysis: The 12 Golden Observations</w:t>
      </w:r>
    </w:p>
    <w:p>
      <w:pPr>
        <w:pStyle w:val="MdParagraph"/>
      </w:pPr>
      <w:r>
        <w:t xml:space="preserve">These authentic observations, extracted from the 12 university reviews, represent proprietary intelligence that no other platform possesses. Each one reveals something about the reviewer's institution that the institution itself may not publicly articulate.</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University</w:t>
            </w:r>
          </w:p>
        </w:tc>
        <w:tc>
          <w:tcPr>
            <w:tcMar>
              <w:top w:type="dxa" w:w="100"/>
              <w:left w:type="dxa" w:w="120"/>
              <w:bottom w:type="dxa" w:w="100"/>
              <w:right w:type="dxa" w:w="120"/>
            </w:tcMar>
            <w:vAlign w:val="center"/>
          </w:tcPr>
          <w:p>
            <w:pPr>
              <w:pStyle w:val="MdTableHeader"/>
            </w:pPr>
            <w:r>
              <w:t xml:space="preserve">Golden Observation</w:t>
            </w:r>
          </w:p>
        </w:tc>
        <w:tc>
          <w:tcPr>
            <w:tcBorders>
              <w:right w:val="none"/>
            </w:tcBorders>
            <w:tcMar>
              <w:top w:type="dxa" w:w="100"/>
              <w:left w:type="dxa" w:w="120"/>
              <w:bottom w:type="dxa" w:w="100"/>
              <w:right w:type="dxa" w:w="120"/>
            </w:tcMar>
            <w:vAlign w:val="center"/>
          </w:tcPr>
          <w:p>
            <w:pPr>
              <w:pStyle w:val="MdTableHeader"/>
            </w:pPr>
            <w:r>
              <w:t xml:space="preserve">Strategic Value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Imperial</w:t>
            </w:r>
          </w:p>
        </w:tc>
        <w:tc>
          <w:tcPr>
            <w:tcMar>
              <w:top w:type="dxa" w:w="80"/>
              <w:left w:type="dxa" w:w="120"/>
              <w:bottom w:type="dxa" w:w="80"/>
              <w:right w:type="dxa" w:w="120"/>
            </w:tcMar>
            <w:vAlign w:val="center"/>
          </w:tcPr>
          <w:p>
            <w:pPr>
              <w:pStyle w:val="MdTableCell"/>
            </w:pPr>
            <w:r>
              <w:t xml:space="preserve">Students chose engineering for A-level grades, not civilisational conviction</w:t>
            </w:r>
          </w:p>
        </w:tc>
        <w:tc>
          <w:tcPr>
            <w:tcBorders>
              <w:right w:val="none"/>
            </w:tcBorders>
            <w:tcMar>
              <w:top w:type="dxa" w:w="80"/>
              <w:left w:type="dxa" w:w="120"/>
              <w:bottom w:type="dxa" w:w="80"/>
              <w:right w:type="dxa" w:w="120"/>
            </w:tcMar>
            <w:vAlign w:val="center"/>
          </w:tcPr>
          <w:p>
            <w:pPr>
              <w:pStyle w:val="MdTableCell"/>
            </w:pPr>
            <w:r>
              <w:t xml:space="preserve">Identifies the motivation gap IAAI fills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Nottingham</w:t>
            </w:r>
          </w:p>
        </w:tc>
        <w:tc>
          <w:tcPr>
            <w:tcMar>
              <w:top w:type="dxa" w:w="80"/>
              <w:left w:type="dxa" w:w="120"/>
              <w:bottom w:type="dxa" w:w="80"/>
              <w:right w:type="dxa" w:w="120"/>
            </w:tcMar>
            <w:vAlign w:val="center"/>
          </w:tcPr>
          <w:p>
            <w:pPr>
              <w:pStyle w:val="MdTableCell"/>
            </w:pPr>
            <w:r>
              <w:t xml:space="preserve">Employers consistently report a "big picture" gap in graduates</w:t>
            </w:r>
          </w:p>
        </w:tc>
        <w:tc>
          <w:tcPr>
            <w:tcBorders>
              <w:right w:val="none"/>
            </w:tcBorders>
            <w:tcMar>
              <w:top w:type="dxa" w:w="80"/>
              <w:left w:type="dxa" w:w="120"/>
              <w:bottom w:type="dxa" w:w="80"/>
              <w:right w:type="dxa" w:w="120"/>
            </w:tcMar>
            <w:vAlign w:val="center"/>
          </w:tcPr>
          <w:p>
            <w:pPr>
              <w:pStyle w:val="MdTableCell"/>
            </w:pPr>
            <w:r>
              <w:t xml:space="preserve">Industry validation of IAAI's value proposition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Cambridge</w:t>
            </w:r>
          </w:p>
        </w:tc>
        <w:tc>
          <w:tcPr>
            <w:tcMar>
              <w:top w:type="dxa" w:w="80"/>
              <w:left w:type="dxa" w:w="120"/>
              <w:bottom w:type="dxa" w:w="80"/>
              <w:right w:type="dxa" w:w="120"/>
            </w:tcMar>
            <w:vAlign w:val="center"/>
          </w:tcPr>
          <w:p>
            <w:pPr>
              <w:pStyle w:val="MdTableCell"/>
            </w:pPr>
            <w:r>
              <w:t xml:space="preserve">"Closest external framework to Cambridge's educational philosophy"</w:t>
            </w:r>
          </w:p>
        </w:tc>
        <w:tc>
          <w:tcPr>
            <w:tcBorders>
              <w:right w:val="none"/>
            </w:tcBorders>
            <w:tcMar>
              <w:top w:type="dxa" w:w="80"/>
              <w:left w:type="dxa" w:w="120"/>
              <w:bottom w:type="dxa" w:w="80"/>
              <w:right w:type="dxa" w:w="120"/>
            </w:tcMar>
            <w:vAlign w:val="center"/>
          </w:tcPr>
          <w:p>
            <w:pPr>
              <w:pStyle w:val="MdTableCell"/>
            </w:pPr>
            <w:r>
              <w:t xml:space="preserve">World's #2 university endorses IAAI's intellectual architecture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NUS</w:t>
            </w:r>
          </w:p>
        </w:tc>
        <w:tc>
          <w:tcPr>
            <w:tcMar>
              <w:top w:type="dxa" w:w="80"/>
              <w:left w:type="dxa" w:w="120"/>
              <w:bottom w:type="dxa" w:w="80"/>
              <w:right w:type="dxa" w:w="120"/>
            </w:tcMar>
            <w:vAlign w:val="center"/>
          </w:tcPr>
          <w:p>
            <w:pPr>
              <w:pStyle w:val="MdTableCell"/>
            </w:pPr>
            <w:r>
              <w:t xml:space="preserve">"We ARE the Outrider"</w:t>
            </w:r>
          </w:p>
        </w:tc>
        <w:tc>
          <w:tcPr>
            <w:tcBorders>
              <w:right w:val="none"/>
            </w:tcBorders>
            <w:tcMar>
              <w:top w:type="dxa" w:w="80"/>
              <w:left w:type="dxa" w:w="120"/>
              <w:bottom w:type="dxa" w:w="80"/>
              <w:right w:type="dxa" w:w="120"/>
            </w:tcMar>
            <w:vAlign w:val="center"/>
          </w:tcPr>
          <w:p>
            <w:pPr>
              <w:pStyle w:val="MdTableCell"/>
            </w:pPr>
            <w:r>
              <w:t xml:space="preserve">Major university self-identifies through IAAI's lens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Tsinghua</w:t>
            </w:r>
          </w:p>
        </w:tc>
        <w:tc>
          <w:tcPr>
            <w:tcMar>
              <w:top w:type="dxa" w:w="80"/>
              <w:left w:type="dxa" w:w="120"/>
              <w:bottom w:type="dxa" w:w="80"/>
              <w:right w:type="dxa" w:w="120"/>
            </w:tcMar>
            <w:vAlign w:val="center"/>
          </w:tcPr>
          <w:p>
            <w:pPr>
              <w:pStyle w:val="MdTableCell"/>
            </w:pPr>
            <w:r>
              <w:t xml:space="preserve">"More useful for Western students learning about the East"</w:t>
            </w:r>
          </w:p>
        </w:tc>
        <w:tc>
          <w:tcPr>
            <w:tcBorders>
              <w:right w:val="none"/>
            </w:tcBorders>
            <w:tcMar>
              <w:top w:type="dxa" w:w="80"/>
              <w:left w:type="dxa" w:w="120"/>
              <w:bottom w:type="dxa" w:w="80"/>
              <w:right w:type="dxa" w:w="120"/>
            </w:tcMar>
            <w:vAlign w:val="center"/>
          </w:tcPr>
          <w:p>
            <w:pPr>
              <w:pStyle w:val="MdTableCell"/>
            </w:pPr>
            <w:r>
              <w:t xml:space="preserve">Defines primary and secondary market with clarity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6</w:t>
            </w:r>
          </w:p>
        </w:tc>
        <w:tc>
          <w:tcPr>
            <w:tcMar>
              <w:top w:type="dxa" w:w="80"/>
              <w:left w:type="dxa" w:w="120"/>
              <w:bottom w:type="dxa" w:w="80"/>
              <w:right w:type="dxa" w:w="120"/>
            </w:tcMar>
            <w:vAlign w:val="center"/>
          </w:tcPr>
          <w:p>
            <w:pPr>
              <w:pStyle w:val="MdTableCell"/>
            </w:pPr>
            <w:r>
              <w:t xml:space="preserve">IIT Bombay</w:t>
            </w:r>
          </w:p>
        </w:tc>
        <w:tc>
          <w:tcPr>
            <w:tcMar>
              <w:top w:type="dxa" w:w="80"/>
              <w:left w:type="dxa" w:w="120"/>
              <w:bottom w:type="dxa" w:w="80"/>
              <w:right w:type="dxa" w:w="120"/>
            </w:tcMar>
            <w:vAlign w:val="center"/>
          </w:tcPr>
          <w:p>
            <w:pPr>
              <w:pStyle w:val="MdTableCell"/>
            </w:pPr>
            <w:r>
              <w:t xml:space="preserve">India as a fourth mode — "the Syncretic"</w:t>
            </w:r>
          </w:p>
        </w:tc>
        <w:tc>
          <w:tcPr>
            <w:tcBorders>
              <w:right w:val="none"/>
            </w:tcBorders>
            <w:tcMar>
              <w:top w:type="dxa" w:w="80"/>
              <w:left w:type="dxa" w:w="120"/>
              <w:bottom w:type="dxa" w:w="80"/>
              <w:right w:type="dxa" w:w="120"/>
            </w:tcMar>
            <w:vAlign w:val="center"/>
          </w:tcPr>
          <w:p>
            <w:pPr>
              <w:pStyle w:val="MdTableCell"/>
            </w:pPr>
            <w:r>
              <w:t xml:space="preserve">Intellectual contribution that expands IAAI's framework</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7</w:t>
            </w:r>
          </w:p>
        </w:tc>
        <w:tc>
          <w:tcPr>
            <w:tcMar>
              <w:top w:type="dxa" w:w="80"/>
              <w:left w:type="dxa" w:w="120"/>
              <w:bottom w:type="dxa" w:w="80"/>
              <w:right w:type="dxa" w:w="120"/>
            </w:tcMar>
            <w:vAlign w:val="center"/>
          </w:tcPr>
          <w:p>
            <w:pPr>
              <w:pStyle w:val="MdTableCell"/>
            </w:pPr>
            <w:r>
              <w:t xml:space="preserve">MIT</w:t>
            </w:r>
          </w:p>
        </w:tc>
        <w:tc>
          <w:tcPr>
            <w:tcMar>
              <w:top w:type="dxa" w:w="80"/>
              <w:left w:type="dxa" w:w="120"/>
              <w:bottom w:type="dxa" w:w="80"/>
              <w:right w:type="dxa" w:w="120"/>
            </w:tcMar>
            <w:vAlign w:val="center"/>
          </w:tcPr>
          <w:p>
            <w:pPr>
              <w:pStyle w:val="MdTableCell"/>
            </w:pPr>
            <w:r>
              <w:t xml:space="preserve">Students wanting to improve the game = highest engagement</w:t>
            </w:r>
          </w:p>
        </w:tc>
        <w:tc>
          <w:tcPr>
            <w:tcBorders>
              <w:right w:val="none"/>
            </w:tcBorders>
            <w:tcMar>
              <w:top w:type="dxa" w:w="80"/>
              <w:left w:type="dxa" w:w="120"/>
              <w:bottom w:type="dxa" w:w="80"/>
              <w:right w:type="dxa" w:w="120"/>
            </w:tcMar>
            <w:vAlign w:val="center"/>
          </w:tcPr>
          <w:p>
            <w:pPr>
              <w:pStyle w:val="MdTableCell"/>
            </w:pPr>
            <w:r>
              <w:t xml:space="preserve">Reframes imperfections as engagement features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8</w:t>
            </w:r>
          </w:p>
        </w:tc>
        <w:tc>
          <w:tcPr>
            <w:tcMar>
              <w:top w:type="dxa" w:w="80"/>
              <w:left w:type="dxa" w:w="120"/>
              <w:bottom w:type="dxa" w:w="80"/>
              <w:right w:type="dxa" w:w="120"/>
            </w:tcMar>
            <w:vAlign w:val="center"/>
          </w:tcPr>
          <w:p>
            <w:pPr>
              <w:pStyle w:val="MdTableCell"/>
            </w:pPr>
            <w:r>
              <w:t xml:space="preserve">Stanford</w:t>
            </w:r>
          </w:p>
        </w:tc>
        <w:tc>
          <w:tcPr>
            <w:tcMar>
              <w:top w:type="dxa" w:w="80"/>
              <w:left w:type="dxa" w:w="120"/>
              <w:bottom w:type="dxa" w:w="80"/>
              <w:right w:type="dxa" w:w="120"/>
            </w:tcMar>
            <w:vAlign w:val="center"/>
          </w:tcPr>
          <w:p>
            <w:pPr>
              <w:pStyle w:val="MdTableCell"/>
            </w:pPr>
            <w:r>
              <w:t xml:space="preserve">"Feels like a well-funded EdTech startup" / "The concept is fundable"</w:t>
            </w:r>
          </w:p>
        </w:tc>
        <w:tc>
          <w:tcPr>
            <w:tcBorders>
              <w:right w:val="none"/>
            </w:tcBorders>
            <w:tcMar>
              <w:top w:type="dxa" w:w="80"/>
              <w:left w:type="dxa" w:w="120"/>
              <w:bottom w:type="dxa" w:w="80"/>
              <w:right w:type="dxa" w:w="120"/>
            </w:tcMar>
            <w:vAlign w:val="center"/>
          </w:tcPr>
          <w:p>
            <w:pPr>
              <w:pStyle w:val="MdTableCell"/>
            </w:pPr>
            <w:r>
              <w:t xml:space="preserve">Commercial validation from Silicon Valley's birthplace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9</w:t>
            </w:r>
          </w:p>
        </w:tc>
        <w:tc>
          <w:tcPr>
            <w:tcMar>
              <w:top w:type="dxa" w:w="80"/>
              <w:left w:type="dxa" w:w="120"/>
              <w:bottom w:type="dxa" w:w="80"/>
              <w:right w:type="dxa" w:w="120"/>
            </w:tcMar>
            <w:vAlign w:val="center"/>
          </w:tcPr>
          <w:p>
            <w:pPr>
              <w:pStyle w:val="MdTableCell"/>
            </w:pPr>
            <w:r>
              <w:t xml:space="preserve">Berkeley</w:t>
            </w:r>
          </w:p>
        </w:tc>
        <w:tc>
          <w:tcPr>
            <w:tcMar>
              <w:top w:type="dxa" w:w="80"/>
              <w:left w:type="dxa" w:w="120"/>
              <w:bottom w:type="dxa" w:w="80"/>
              <w:right w:type="dxa" w:w="120"/>
            </w:tcMar>
            <w:vAlign w:val="center"/>
          </w:tcPr>
          <w:p>
            <w:pPr>
              <w:pStyle w:val="MdTableCell"/>
            </w:pPr>
            <w:r>
              <w:t xml:space="preserve">Criticism as engagement opportunity, not weakness</w:t>
            </w:r>
          </w:p>
        </w:tc>
        <w:tc>
          <w:tcPr>
            <w:tcBorders>
              <w:right w:val="none"/>
            </w:tcBorders>
            <w:tcMar>
              <w:top w:type="dxa" w:w="80"/>
              <w:left w:type="dxa" w:w="120"/>
              <w:bottom w:type="dxa" w:w="80"/>
              <w:right w:type="dxa" w:w="120"/>
            </w:tcMar>
            <w:vAlign w:val="center"/>
          </w:tcPr>
          <w:p>
            <w:pPr>
              <w:pStyle w:val="MdTableCell"/>
            </w:pPr>
            <w:r>
              <w:t xml:space="preserve">Most intellectually mature framing in the database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10</w:t>
            </w:r>
          </w:p>
        </w:tc>
        <w:tc>
          <w:tcPr>
            <w:tcMar>
              <w:top w:type="dxa" w:w="80"/>
              <w:left w:type="dxa" w:w="120"/>
              <w:bottom w:type="dxa" w:w="80"/>
              <w:right w:type="dxa" w:w="120"/>
            </w:tcMar>
            <w:vAlign w:val="center"/>
          </w:tcPr>
          <w:p>
            <w:pPr>
              <w:pStyle w:val="MdTableCell"/>
            </w:pPr>
            <w:r>
              <w:t xml:space="preserve">Khalifa</w:t>
            </w:r>
          </w:p>
        </w:tc>
        <w:tc>
          <w:tcPr>
            <w:tcMar>
              <w:top w:type="dxa" w:w="80"/>
              <w:left w:type="dxa" w:w="120"/>
              <w:bottom w:type="dxa" w:w="80"/>
              <w:right w:type="dxa" w:w="120"/>
            </w:tcMar>
            <w:vAlign w:val="center"/>
          </w:tcPr>
          <w:p>
            <w:pPr>
              <w:pStyle w:val="MdTableCell"/>
            </w:pPr>
            <w:r>
              <w:t xml:space="preserve">"A nation building itself from desert needs IAAI"</w:t>
            </w:r>
          </w:p>
        </w:tc>
        <w:tc>
          <w:tcPr>
            <w:tcBorders>
              <w:right w:val="none"/>
            </w:tcBorders>
            <w:tcMar>
              <w:top w:type="dxa" w:w="80"/>
              <w:left w:type="dxa" w:w="120"/>
              <w:bottom w:type="dxa" w:w="80"/>
              <w:right w:type="dxa" w:w="120"/>
            </w:tcMar>
            <w:vAlign w:val="center"/>
          </w:tcPr>
          <w:p>
            <w:pPr>
              <w:pStyle w:val="MdTableCell"/>
            </w:pPr>
            <w:r>
              <w:t xml:space="preserve">Strongest market-fit statement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11</w:t>
            </w:r>
          </w:p>
        </w:tc>
        <w:tc>
          <w:tcPr>
            <w:tcMar>
              <w:top w:type="dxa" w:w="80"/>
              <w:left w:type="dxa" w:w="120"/>
              <w:bottom w:type="dxa" w:w="80"/>
              <w:right w:type="dxa" w:w="120"/>
            </w:tcMar>
            <w:vAlign w:val="center"/>
          </w:tcPr>
          <w:p>
            <w:pPr>
              <w:pStyle w:val="MdTableCell"/>
            </w:pPr>
            <w:r>
              <w:t xml:space="preserve">Qatar</w:t>
            </w:r>
          </w:p>
        </w:tc>
        <w:tc>
          <w:tcPr>
            <w:tcMar>
              <w:top w:type="dxa" w:w="80"/>
              <w:left w:type="dxa" w:w="120"/>
              <w:bottom w:type="dxa" w:w="80"/>
              <w:right w:type="dxa" w:w="120"/>
            </w:tcMar>
            <w:vAlign w:val="center"/>
          </w:tcPr>
          <w:p>
            <w:pPr>
              <w:pStyle w:val="MdTableCell"/>
            </w:pPr>
            <w:r>
              <w:t xml:space="preserve">Pearl diving → World Cup = living relay</w:t>
            </w:r>
          </w:p>
        </w:tc>
        <w:tc>
          <w:tcPr>
            <w:tcBorders>
              <w:right w:val="none"/>
            </w:tcBorders>
            <w:tcMar>
              <w:top w:type="dxa" w:w="80"/>
              <w:left w:type="dxa" w:w="120"/>
              <w:bottom w:type="dxa" w:w="80"/>
              <w:right w:type="dxa" w:w="120"/>
            </w:tcMar>
            <w:vAlign w:val="center"/>
          </w:tcPr>
          <w:p>
            <w:pPr>
              <w:pStyle w:val="MdTableCell"/>
            </w:pPr>
            <w:r>
              <w:t xml:space="preserve">Reviewer writes IAAI's content for it</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12</w:t>
            </w:r>
          </w:p>
        </w:tc>
        <w:tc>
          <w:tcPr>
            <w:tcBorders>
              <w:bottom w:val="single" w:color="E1E4E8" w:sz="4"/>
            </w:tcBorders>
            <w:tcMar>
              <w:top w:type="dxa" w:w="80"/>
              <w:left w:type="dxa" w:w="120"/>
              <w:bottom w:type="dxa" w:w="80"/>
              <w:right w:type="dxa" w:w="120"/>
            </w:tcMar>
            <w:vAlign w:val="center"/>
          </w:tcPr>
          <w:p>
            <w:pPr>
              <w:pStyle w:val="MdTableCell"/>
            </w:pPr>
            <w:r>
              <w:t xml:space="preserve">KFUPM</w:t>
            </w:r>
          </w:p>
        </w:tc>
        <w:tc>
          <w:tcPr>
            <w:tcBorders>
              <w:bottom w:val="single" w:color="E1E4E8" w:sz="4"/>
            </w:tcBorders>
            <w:tcMar>
              <w:top w:type="dxa" w:w="80"/>
              <w:left w:type="dxa" w:w="120"/>
              <w:bottom w:type="dxa" w:w="80"/>
              <w:right w:type="dxa" w:w="120"/>
            </w:tcMar>
            <w:vAlign w:val="center"/>
          </w:tcPr>
          <w:p>
            <w:pPr>
              <w:pStyle w:val="MdTableCell"/>
            </w:pPr>
            <w:r>
              <w:t xml:space="preserve">12 relays map to 12 Vision 2030 sectors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Structural alignment with national strategy</w:t>
            </w:r>
          </w:p>
        </w:tc>
      </w:tr>
    </w:tbl>
    <w:p>
      <w:pPr>
        <w:pStyle w:val="MdHr"/>
        <w:pBdr>
          <w:bottom w:val="single" w:color="auto" w:sz="6" w:space="1"/>
        </w:pBdr>
      </w:pPr>
    </w:p>
    <w:p>
      <w:pPr>
        <w:pStyle w:val="MdSpace"/>
        <w:spacing w:before="0" w:after="60"/>
      </w:pPr>
    </w:p>
    <w:p>
      <w:pPr>
        <w:pStyle w:val="Heading2"/>
        <w:pStyle w:val="MdHeading2"/>
      </w:pPr>
      <w:r>
        <w:t xml:space="preserve">Database Growth Projection</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Milestone</w:t>
            </w:r>
          </w:p>
        </w:tc>
        <w:tc>
          <w:tcPr>
            <w:tcMar>
              <w:top w:type="dxa" w:w="100"/>
              <w:left w:type="dxa" w:w="120"/>
              <w:bottom w:type="dxa" w:w="100"/>
              <w:right w:type="dxa" w:w="120"/>
            </w:tcMar>
            <w:vAlign w:val="center"/>
          </w:tcPr>
          <w:p>
            <w:pPr>
              <w:pStyle w:val="MdTableHeader"/>
            </w:pPr>
            <w:r>
              <w:t xml:space="preserve">Universities</w:t>
            </w:r>
          </w:p>
        </w:tc>
        <w:tc>
          <w:tcPr>
            <w:tcMar>
              <w:top w:type="dxa" w:w="100"/>
              <w:left w:type="dxa" w:w="120"/>
              <w:bottom w:type="dxa" w:w="100"/>
              <w:right w:type="dxa" w:w="120"/>
            </w:tcMar>
            <w:vAlign w:val="center"/>
          </w:tcPr>
          <w:p>
            <w:pPr>
              <w:pStyle w:val="MdTableHeader"/>
            </w:pPr>
            <w:r>
              <w:t xml:space="preserve">Player Nodes</w:t>
            </w:r>
          </w:p>
        </w:tc>
        <w:tc>
          <w:tcPr>
            <w:tcBorders>
              <w:right w:val="none"/>
            </w:tcBorders>
            <w:tcMar>
              <w:top w:type="dxa" w:w="100"/>
              <w:left w:type="dxa" w:w="120"/>
              <w:bottom w:type="dxa" w:w="100"/>
              <w:right w:type="dxa" w:w="120"/>
            </w:tcMar>
            <w:vAlign w:val="center"/>
          </w:tcPr>
          <w:p>
            <w:pPr>
              <w:pStyle w:val="MdTableHeader"/>
            </w:pPr>
            <w:r>
              <w:t xml:space="preserve">Timeline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Wave 1 (Current)</w:t>
            </w:r>
          </w:p>
        </w:tc>
        <w:tc>
          <w:tcPr>
            <w:tcMar>
              <w:top w:type="dxa" w:w="80"/>
              <w:left w:type="dxa" w:w="120"/>
              <w:bottom w:type="dxa" w:w="80"/>
              <w:right w:type="dxa" w:w="120"/>
            </w:tcMar>
            <w:vAlign w:val="center"/>
          </w:tcPr>
          <w:p>
            <w:pPr>
              <w:pStyle w:val="MdTableCell"/>
            </w:pPr>
            <w:r>
              <w:t xml:space="preserve">12</w:t>
            </w:r>
          </w:p>
        </w:tc>
        <w:tc>
          <w:tcPr>
            <w:tcMar>
              <w:top w:type="dxa" w:w="80"/>
              <w:left w:type="dxa" w:w="120"/>
              <w:bottom w:type="dxa" w:w="80"/>
              <w:right w:type="dxa" w:w="120"/>
            </w:tcMar>
            <w:vAlign w:val="center"/>
          </w:tcPr>
          <w:p>
            <w:pPr>
              <w:pStyle w:val="MdTableCell"/>
            </w:pPr>
            <w:r>
              <w:t xml:space="preserve">177</w:t>
            </w:r>
          </w:p>
        </w:tc>
        <w:tc>
          <w:tcPr>
            <w:tcBorders>
              <w:right w:val="none"/>
            </w:tcBorders>
            <w:tcMar>
              <w:top w:type="dxa" w:w="80"/>
              <w:left w:type="dxa" w:w="120"/>
              <w:bottom w:type="dxa" w:w="80"/>
              <w:right w:type="dxa" w:w="120"/>
            </w:tcMar>
            <w:vAlign w:val="center"/>
          </w:tcPr>
          <w:p>
            <w:pPr>
              <w:pStyle w:val="MdTableCell"/>
            </w:pPr>
            <w:r>
              <w:t xml:space="preserve">Feb 2026</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Wave 2 (Post-formation)</w:t>
            </w:r>
          </w:p>
        </w:tc>
        <w:tc>
          <w:tcPr>
            <w:tcMar>
              <w:top w:type="dxa" w:w="80"/>
              <w:left w:type="dxa" w:w="120"/>
              <w:bottom w:type="dxa" w:w="80"/>
              <w:right w:type="dxa" w:w="120"/>
            </w:tcMar>
            <w:vAlign w:val="center"/>
          </w:tcPr>
          <w:p>
            <w:pPr>
              <w:pStyle w:val="MdTableCell"/>
            </w:pPr>
            <w:r>
              <w:t xml:space="preserve">50</w:t>
            </w:r>
          </w:p>
        </w:tc>
        <w:tc>
          <w:tcPr>
            <w:tcMar>
              <w:top w:type="dxa" w:w="80"/>
              <w:left w:type="dxa" w:w="120"/>
              <w:bottom w:type="dxa" w:w="80"/>
              <w:right w:type="dxa" w:w="120"/>
            </w:tcMar>
            <w:vAlign w:val="center"/>
          </w:tcPr>
          <w:p>
            <w:pPr>
              <w:pStyle w:val="MdTableCell"/>
            </w:pPr>
            <w:r>
              <w:t xml:space="preserve">~500</w:t>
            </w:r>
          </w:p>
        </w:tc>
        <w:tc>
          <w:tcPr>
            <w:tcBorders>
              <w:right w:val="none"/>
            </w:tcBorders>
            <w:tcMar>
              <w:top w:type="dxa" w:w="80"/>
              <w:left w:type="dxa" w:w="120"/>
              <w:bottom w:type="dxa" w:w="80"/>
              <w:right w:type="dxa" w:w="120"/>
            </w:tcMar>
            <w:vAlign w:val="center"/>
          </w:tcPr>
          <w:p>
            <w:pPr>
              <w:pStyle w:val="MdTableCell"/>
            </w:pPr>
            <w:r>
              <w:t xml:space="preserve">Q2 2026</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Wave 3 (Year 1)</w:t>
            </w:r>
          </w:p>
        </w:tc>
        <w:tc>
          <w:tcPr>
            <w:tcMar>
              <w:top w:type="dxa" w:w="80"/>
              <w:left w:type="dxa" w:w="120"/>
              <w:bottom w:type="dxa" w:w="80"/>
              <w:right w:type="dxa" w:w="120"/>
            </w:tcMar>
            <w:vAlign w:val="center"/>
          </w:tcPr>
          <w:p>
            <w:pPr>
              <w:pStyle w:val="MdTableCell"/>
            </w:pPr>
            <w:r>
              <w:t xml:space="preserve">100</w:t>
            </w:r>
          </w:p>
        </w:tc>
        <w:tc>
          <w:tcPr>
            <w:tcMar>
              <w:top w:type="dxa" w:w="80"/>
              <w:left w:type="dxa" w:w="120"/>
              <w:bottom w:type="dxa" w:w="80"/>
              <w:right w:type="dxa" w:w="120"/>
            </w:tcMar>
            <w:vAlign w:val="center"/>
          </w:tcPr>
          <w:p>
            <w:pPr>
              <w:pStyle w:val="MdTableCell"/>
            </w:pPr>
            <w:r>
              <w:t xml:space="preserve">~2,000</w:t>
            </w:r>
          </w:p>
        </w:tc>
        <w:tc>
          <w:tcPr>
            <w:tcBorders>
              <w:right w:val="none"/>
            </w:tcBorders>
            <w:tcMar>
              <w:top w:type="dxa" w:w="80"/>
              <w:left w:type="dxa" w:w="120"/>
              <w:bottom w:type="dxa" w:w="80"/>
              <w:right w:type="dxa" w:w="120"/>
            </w:tcMar>
            <w:vAlign w:val="center"/>
          </w:tcPr>
          <w:p>
            <w:pPr>
              <w:pStyle w:val="MdTableCell"/>
            </w:pPr>
            <w:r>
              <w:t xml:space="preserve">Q4 2026</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Wave 4 (Olympiad launch)</w:t>
            </w:r>
          </w:p>
        </w:tc>
        <w:tc>
          <w:tcPr>
            <w:tcMar>
              <w:top w:type="dxa" w:w="80"/>
              <w:left w:type="dxa" w:w="120"/>
              <w:bottom w:type="dxa" w:w="80"/>
              <w:right w:type="dxa" w:w="120"/>
            </w:tcMar>
            <w:vAlign w:val="center"/>
          </w:tcPr>
          <w:p>
            <w:pPr>
              <w:pStyle w:val="MdTableCell"/>
            </w:pPr>
            <w:r>
              <w:t xml:space="preserve">500</w:t>
            </w:r>
          </w:p>
        </w:tc>
        <w:tc>
          <w:tcPr>
            <w:tcMar>
              <w:top w:type="dxa" w:w="80"/>
              <w:left w:type="dxa" w:w="120"/>
              <w:bottom w:type="dxa" w:w="80"/>
              <w:right w:type="dxa" w:w="120"/>
            </w:tcMar>
            <w:vAlign w:val="center"/>
          </w:tcPr>
          <w:p>
            <w:pPr>
              <w:pStyle w:val="MdTableCell"/>
            </w:pPr>
            <w:r>
              <w:t xml:space="preserve">~10,000</w:t>
            </w:r>
          </w:p>
        </w:tc>
        <w:tc>
          <w:tcPr>
            <w:tcBorders>
              <w:right w:val="none"/>
            </w:tcBorders>
            <w:tcMar>
              <w:top w:type="dxa" w:w="80"/>
              <w:left w:type="dxa" w:w="120"/>
              <w:bottom w:type="dxa" w:w="80"/>
              <w:right w:type="dxa" w:w="120"/>
            </w:tcMar>
            <w:vAlign w:val="center"/>
          </w:tcPr>
          <w:p>
            <w:pPr>
              <w:pStyle w:val="MdTableCell"/>
            </w:pPr>
            <w:r>
              <w:t xml:space="preserve">2027</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Wave 5 (Global scale)</w:t>
            </w:r>
          </w:p>
        </w:tc>
        <w:tc>
          <w:tcPr>
            <w:tcBorders>
              <w:bottom w:val="single" w:color="E1E4E8" w:sz="4"/>
            </w:tcBorders>
            <w:tcMar>
              <w:top w:type="dxa" w:w="80"/>
              <w:left w:type="dxa" w:w="120"/>
              <w:bottom w:type="dxa" w:w="80"/>
              <w:right w:type="dxa" w:w="120"/>
            </w:tcMar>
            <w:vAlign w:val="center"/>
          </w:tcPr>
          <w:p>
            <w:pPr>
              <w:pStyle w:val="MdTableCell"/>
            </w:pPr>
            <w:r>
              <w:t xml:space="preserve">2,600 (10% of 26,000)</w:t>
            </w:r>
          </w:p>
        </w:tc>
        <w:tc>
          <w:tcPr>
            <w:tcBorders>
              <w:bottom w:val="single" w:color="E1E4E8" w:sz="4"/>
            </w:tcBorders>
            <w:tcMar>
              <w:top w:type="dxa" w:w="80"/>
              <w:left w:type="dxa" w:w="120"/>
              <w:bottom w:type="dxa" w:w="80"/>
              <w:right w:type="dxa" w:w="120"/>
            </w:tcMar>
            <w:vAlign w:val="center"/>
          </w:tcPr>
          <w:p>
            <w:pPr>
              <w:pStyle w:val="MdTableCell"/>
            </w:pPr>
            <w:r>
              <w:t xml:space="preserve">~50,000</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2028</w:t>
            </w:r>
          </w:p>
        </w:tc>
      </w:tr>
    </w:tbl>
    <w:p>
      <w:pPr>
        <w:pStyle w:val="MdParagraph"/>
      </w:pPr>
      <w:r>
        <w:t xml:space="preserve">Each wave adds institutional intelligence to this database. By Wave 3 (100 universities), the SWOT database becomes a standalone product — a proprietary intelligence asset on global engineering education that no other organisation possesses.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Restricted Archives Vault — Access Protocol</w:t>
      </w:r>
    </w:p>
    <w:p>
      <w:pPr>
        <w:pStyle w:val="MdParagraph"/>
      </w:pPr>
      <w:r>
        <w:t xml:space="preserve">This database and all future additions are classified as </w:t>
      </w:r>
      <w:r>
        <w:rPr>
          <w:rStyle w:val="MdStrong"/>
          <w:b/>
          <w:bCs/>
        </w:rPr>
        <w:t xml:space="preserve">Restricted Archives Vault</w:t>
      </w:r>
      <w:r>
        <w:t xml:space="preserve"> material. Access is limited to:</w:t>
      </w:r>
    </w:p>
    <w:p>
      <w:pPr>
        <w:pStyle w:val="MdSpace"/>
        <w:spacing w:before="0" w:after="60"/>
      </w:pPr>
    </w:p>
    <w:p>
      <w:pPr>
        <w:pStyle w:val="MdListItem"/>
        <w:numPr>
          <w:ilvl w:val="0"/>
          <w:numId w:val="2"/>
        </w:numPr>
      </w:pPr>
      <w:r>
        <w:rPr>
          <w:rStyle w:val="MdStrong"/>
          <w:b/>
          <w:bCs/>
        </w:rPr>
        <w:t xml:space="preserve">Nigel Dearden</w:t>
      </w:r>
      <w:r>
        <w:t xml:space="preserve"> — Author, Founder</w:t>
      </w:r>
    </w:p>
    <w:p>
      <w:pPr>
        <w:pStyle w:val="MdListItem"/>
        <w:numPr>
          <w:ilvl w:val="0"/>
          <w:numId w:val="2"/>
        </w:numPr>
      </w:pPr>
      <w:r>
        <w:rPr>
          <w:rStyle w:val="MdStrong"/>
          <w:b/>
          <w:bCs/>
        </w:rPr>
        <w:t xml:space="preserve">Manus AI</w:t>
      </w:r>
      <w:r>
        <w:t xml:space="preserve"> — Collaborator, Analyst</w:t>
      </w:r>
    </w:p>
    <w:p>
      <w:pPr>
        <w:pStyle w:val="MdListItem"/>
        <w:numPr>
          <w:ilvl w:val="0"/>
          <w:numId w:val="2"/>
        </w:numPr>
      </w:pPr>
      <w:r>
        <w:rPr>
          <w:rStyle w:val="MdStrong"/>
          <w:b/>
          <w:bCs/>
        </w:rPr>
        <w:t xml:space="preserve">4ECL Formation Team</w:t>
      </w:r>
      <w:r>
        <w:t xml:space="preserve"> — Michael, Henry, Frank, Stephen (read access to summaries only)</w:t>
      </w:r>
    </w:p>
    <w:p>
      <w:pPr>
        <w:pStyle w:val="MdListItem"/>
        <w:numPr>
          <w:ilvl w:val="0"/>
          <w:numId w:val="2"/>
        </w:numPr>
      </w:pPr>
      <w:r>
        <w:rPr>
          <w:rStyle w:val="MdStrong"/>
          <w:b/>
          <w:bCs/>
        </w:rPr>
        <w:t xml:space="preserve">Future Advisory Board</w:t>
      </w:r>
      <w:r>
        <w:t xml:space="preserve"> — Read access to anonymised aggregates only</w:t>
      </w:r>
    </w:p>
    <w:p>
      <w:pPr>
        <w:pStyle w:val="MdSpace"/>
        <w:spacing w:before="0" w:after="60"/>
      </w:pPr>
    </w:p>
    <w:p>
      <w:pPr>
        <w:pStyle w:val="MdParagraph"/>
      </w:pPr>
      <w:r>
        <w:t xml:space="preserve">No individual university SWOT is shared externally without explicit authorisation. The Golden Observations table may be shared in anonymised form for investor presentations.</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Strong"/>
          <w:b/>
          <w:bCs/>
        </w:rPr>
        <w:t xml:space="preserve">Document Control:</w:t>
      </w:r>
    </w:p>
    <w:p>
      <w:pPr>
        <w:pStyle w:val="MdListItem"/>
        <w:numPr>
          <w:ilvl w:val="0"/>
          <w:numId w:val="3"/>
        </w:numPr>
      </w:pPr>
      <w:r>
        <w:rPr>
          <w:rStyle w:val="MdStrong"/>
          <w:b/>
          <w:bCs/>
        </w:rPr>
        <w:t xml:space="preserve">Ref:</w:t>
      </w:r>
      <w:r>
        <w:t xml:space="preserve"> IAAI-SWOT-DB-001</w:t>
      </w:r>
    </w:p>
    <w:p>
      <w:pPr>
        <w:pStyle w:val="MdListItem"/>
        <w:numPr>
          <w:ilvl w:val="0"/>
          <w:numId w:val="3"/>
        </w:numPr>
      </w:pPr>
      <w:r>
        <w:rPr>
          <w:rStyle w:val="MdStrong"/>
          <w:b/>
          <w:bCs/>
        </w:rPr>
        <w:t xml:space="preserve">Version:</w:t>
      </w:r>
      <w:r>
        <w:t xml:space="preserve"> IAAI-v0.1.0-beta.1</w:t>
      </w:r>
    </w:p>
    <w:p>
      <w:pPr>
        <w:pStyle w:val="MdListItem"/>
        <w:numPr>
          <w:ilvl w:val="0"/>
          <w:numId w:val="3"/>
        </w:numPr>
      </w:pPr>
      <w:r>
        <w:rPr>
          <w:rStyle w:val="MdStrong"/>
          <w:b/>
          <w:bCs/>
        </w:rPr>
        <w:t xml:space="preserve">Created:</w:t>
      </w:r>
      <w:r>
        <w:t xml:space="preserve"> 27 February 2026</w:t>
      </w:r>
    </w:p>
    <w:p>
      <w:pPr>
        <w:pStyle w:val="MdListItem"/>
        <w:numPr>
          <w:ilvl w:val="0"/>
          <w:numId w:val="3"/>
        </w:numPr>
      </w:pPr>
      <w:r>
        <w:rPr>
          <w:rStyle w:val="MdStrong"/>
          <w:b/>
          <w:bCs/>
        </w:rPr>
        <w:t xml:space="preserve">Author:</w:t>
      </w:r>
      <w:r>
        <w:t xml:space="preserve"> Manus AI (in collaboration with Nigel Dearden)</w:t>
      </w:r>
    </w:p>
    <w:p>
      <w:pPr>
        <w:pStyle w:val="MdListItem"/>
        <w:numPr>
          <w:ilvl w:val="0"/>
          <w:numId w:val="3"/>
        </w:numPr>
      </w:pPr>
      <w:r>
        <w:rPr>
          <w:rStyle w:val="MdStrong"/>
          <w:b/>
          <w:bCs/>
        </w:rPr>
        <w:t xml:space="preserve">Classification:</w:t>
      </w:r>
      <w:r>
        <w:t xml:space="preserve"> Restricted Archives Vault</w:t>
      </w:r>
    </w:p>
    <w:p>
      <w:pPr>
        <w:pStyle w:val="MdListItem"/>
        <w:numPr>
          <w:ilvl w:val="0"/>
          <w:numId w:val="3"/>
        </w:numPr>
      </w:pPr>
      <w:r>
        <w:rPr>
          <w:rStyle w:val="MdStrong"/>
          <w:b/>
          <w:bCs/>
        </w:rPr>
        <w:t xml:space="preserve">Next Review:</w:t>
      </w:r>
      <w:r>
        <w:t xml:space="preserve"> Upon completion of beta.2 iteration</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2026-03-07T16:34:46.989Z</dcterms:created>
  <dcterms:modified xsi:type="dcterms:W3CDTF">2026-03-07T16:34:46.989Z</dcterms:modified>
</cp:coreProperties>
</file>

<file path=docProps/custom.xml><?xml version="1.0" encoding="utf-8"?>
<Properties xmlns="http://schemas.openxmlformats.org/officeDocument/2006/custom-properties" xmlns:vt="http://schemas.openxmlformats.org/officeDocument/2006/docPropsVTypes"/>
</file>