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EDA897" w14:textId="77777777" w:rsidR="00A24315" w:rsidRDefault="00000000">
      <w:pPr>
        <w:pStyle w:val="MdHeading1"/>
      </w:pPr>
      <w:r>
        <w:t>IAAI CONSOLIDATED PEER REVIEW RESPONSES</w:t>
      </w:r>
    </w:p>
    <w:p w14:paraId="02EDA898" w14:textId="77777777" w:rsidR="00A24315" w:rsidRDefault="00000000">
      <w:pPr>
        <w:pStyle w:val="MdHeading2"/>
      </w:pPr>
      <w:r>
        <w:t>Independent Checking Engineer (ICE) Assessment — Due Diligence Report</w:t>
      </w:r>
    </w:p>
    <w:p w14:paraId="02EDA899" w14:textId="77777777" w:rsidR="00A24315" w:rsidRDefault="00000000">
      <w:pPr>
        <w:pStyle w:val="MdParagraph"/>
      </w:pPr>
      <w:r>
        <w:rPr>
          <w:rStyle w:val="MdStrong"/>
        </w:rPr>
        <w:t>Date</w:t>
      </w:r>
      <w:r>
        <w:t xml:space="preserve">: 27 February 2026 </w:t>
      </w:r>
      <w:r>
        <w:rPr>
          <w:rStyle w:val="MdStrong"/>
        </w:rPr>
        <w:t>Prepared for</w:t>
      </w:r>
      <w:r>
        <w:t xml:space="preserve">: IAAI Formation Partners (USA) </w:t>
      </w:r>
      <w:r>
        <w:rPr>
          <w:rStyle w:val="MdStrong"/>
        </w:rPr>
        <w:t>Prepared by</w:t>
      </w:r>
      <w:r>
        <w:t xml:space="preserve">: AI Collaborator (Manus), acting as independent reviewer of its own co-created platform </w:t>
      </w:r>
      <w:r>
        <w:rPr>
          <w:rStyle w:val="MdStrong"/>
        </w:rPr>
        <w:t>Methodology</w:t>
      </w:r>
      <w:r>
        <w:t xml:space="preserve">: Full website walkthrough (74 pages), game play-through, concept guidance image review (20 files), IQ/EQ benchmark review, curriculum benchmarking against Imperial College London, University of Nottingham, and University of Cambridge 2026/2027 </w:t>
      </w:r>
      <w:proofErr w:type="spellStart"/>
      <w:r>
        <w:t>programmes</w:t>
      </w:r>
      <w:proofErr w:type="spellEnd"/>
      <w:r>
        <w:t xml:space="preserve"> </w:t>
      </w:r>
      <w:r>
        <w:rPr>
          <w:rStyle w:val="MdStrong"/>
        </w:rPr>
        <w:t>Conflict of Interest Disclosure</w:t>
      </w:r>
      <w:r>
        <w:t>: This review was conducted by the AI that co-built the platform. This is disclosed upfront. The creators requested honest, forensic assessment. Bias is inherent; the findings should be cross-validated by the three external briefing packages (Freeform Explorer, Guided Campaign, Academic Programme) which are designed for submission to independent AI reviewers.</w:t>
      </w:r>
    </w:p>
    <w:p w14:paraId="02EDA89A" w14:textId="77777777" w:rsidR="00A24315" w:rsidRDefault="00A24315">
      <w:pPr>
        <w:pStyle w:val="MdSpace"/>
        <w:spacing w:after="60"/>
      </w:pPr>
    </w:p>
    <w:p w14:paraId="02EDA89B" w14:textId="77777777" w:rsidR="00A24315" w:rsidRDefault="00A24315">
      <w:pPr>
        <w:pStyle w:val="MdHr"/>
        <w:pBdr>
          <w:bottom w:val="single" w:sz="6" w:space="1" w:color="auto"/>
        </w:pBdr>
      </w:pPr>
    </w:p>
    <w:p w14:paraId="02EDA89C" w14:textId="77777777" w:rsidR="00A24315" w:rsidRDefault="00A24315">
      <w:pPr>
        <w:pStyle w:val="MdSpace"/>
        <w:spacing w:after="60"/>
      </w:pPr>
    </w:p>
    <w:p w14:paraId="02EDA89D" w14:textId="77777777" w:rsidR="00A24315" w:rsidRDefault="00000000">
      <w:pPr>
        <w:pStyle w:val="MdHeading2"/>
      </w:pPr>
      <w:r>
        <w:t>EXECUTIVE SUMMARY</w:t>
      </w:r>
    </w:p>
    <w:p w14:paraId="02EDA89E" w14:textId="77777777" w:rsidR="00A24315" w:rsidRDefault="00000000">
      <w:pPr>
        <w:pStyle w:val="MdParagraph"/>
      </w:pPr>
      <w:r>
        <w:t xml:space="preserve">Infrastructure Academy: An Infrastructure Odyssey (IAAI) is a 74-page educational platform with an embedded game (The Reality Engine), built in 5 months by a human civil engineer and an AI collaborator. It presents a </w:t>
      </w:r>
      <w:proofErr w:type="spellStart"/>
      <w:r>
        <w:t>civilisational</w:t>
      </w:r>
      <w:proofErr w:type="spellEnd"/>
      <w:r>
        <w:t xml:space="preserve"> thesis spanning 12,000 years of infrastructure history through 12 "relays" (Fire through Human Nodes), with a playable game layer targeting 24,000,000 XP.</w:t>
      </w:r>
    </w:p>
    <w:p w14:paraId="02EDA89F" w14:textId="77777777" w:rsidR="00A24315" w:rsidRDefault="00A24315">
      <w:pPr>
        <w:pStyle w:val="MdSpace"/>
        <w:spacing w:after="60"/>
      </w:pPr>
    </w:p>
    <w:p w14:paraId="02EDA8A0" w14:textId="77777777" w:rsidR="00A24315" w:rsidRDefault="00000000">
      <w:pPr>
        <w:pStyle w:val="MdParagraph"/>
      </w:pPr>
      <w:r>
        <w:rPr>
          <w:rStyle w:val="MdStrong"/>
        </w:rPr>
        <w:t>Overall Assessment</w:t>
      </w:r>
      <w:r>
        <w:t>: The platform demonstrates exceptional vision, strong visual design, and a genuinely original intellectual framework. It is a legitimate beta proof-of-concept. It is NOT a finished product. The gap between ambition and execution is the central risk.</w:t>
      </w:r>
    </w:p>
    <w:p w14:paraId="02EDA8A1" w14:textId="77777777" w:rsidR="00A24315" w:rsidRDefault="00A24315">
      <w:pPr>
        <w:pStyle w:val="MdSpace"/>
        <w:spacing w:after="60"/>
      </w:pPr>
    </w:p>
    <w:p w14:paraId="02EDA8A2" w14:textId="77777777" w:rsidR="00A24315" w:rsidRDefault="00000000">
      <w:pPr>
        <w:pStyle w:val="MdParagraph"/>
      </w:pPr>
      <w:r>
        <w:rPr>
          <w:rStyle w:val="MdStrong"/>
        </w:rPr>
        <w:t>Headline Score</w:t>
      </w:r>
      <w:r>
        <w:t>: 76/100 (Conditional GO)</w:t>
      </w:r>
    </w:p>
    <w:p w14:paraId="02EDA8A3" w14:textId="77777777" w:rsidR="00A24315" w:rsidRDefault="00A24315">
      <w:pPr>
        <w:pStyle w:val="MdSpace"/>
        <w:spacing w:after="60"/>
      </w:pPr>
    </w:p>
    <w:p w14:paraId="02EDA8A4" w14:textId="77777777" w:rsidR="00A24315" w:rsidRDefault="00A24315">
      <w:pPr>
        <w:pStyle w:val="MdHr"/>
        <w:pBdr>
          <w:bottom w:val="single" w:sz="6" w:space="1" w:color="auto"/>
        </w:pBdr>
      </w:pPr>
    </w:p>
    <w:p w14:paraId="02EDA8A5" w14:textId="77777777" w:rsidR="00A24315" w:rsidRDefault="00A24315">
      <w:pPr>
        <w:pStyle w:val="MdSpace"/>
        <w:spacing w:after="60"/>
      </w:pPr>
    </w:p>
    <w:p w14:paraId="02EDA8A6" w14:textId="77777777" w:rsidR="00A24315" w:rsidRDefault="00000000">
      <w:pPr>
        <w:pStyle w:val="MdHeading2"/>
      </w:pPr>
      <w:r>
        <w:t>REVIEW 1: FREEFORM EXPLORER ASSESSMENT</w:t>
      </w:r>
    </w:p>
    <w:p w14:paraId="02EDA8A7" w14:textId="77777777" w:rsidR="00A24315" w:rsidRDefault="00000000">
      <w:pPr>
        <w:pStyle w:val="MdHeading3"/>
      </w:pPr>
      <w:r>
        <w:t>A. Overall Quality</w:t>
      </w:r>
    </w:p>
    <w:p w14:paraId="02EDA8A8" w14:textId="77777777" w:rsidR="00A24315" w:rsidRDefault="00000000">
      <w:pPr>
        <w:pStyle w:val="MdParagraph"/>
      </w:pPr>
      <w:r>
        <w:rPr>
          <w:rStyle w:val="MdStrong"/>
        </w:rPr>
        <w:t>Score: 76/100</w:t>
      </w:r>
    </w:p>
    <w:p w14:paraId="02EDA8A9" w14:textId="77777777" w:rsidR="00A24315" w:rsidRDefault="00A24315">
      <w:pPr>
        <w:pStyle w:val="MdSpace"/>
        <w:spacing w:after="60"/>
      </w:pPr>
    </w:p>
    <w:p w14:paraId="02EDA8AA" w14:textId="77777777" w:rsidR="00A24315" w:rsidRDefault="00000000">
      <w:pPr>
        <w:pStyle w:val="MdParagraph"/>
      </w:pPr>
      <w:r>
        <w:rPr>
          <w:rStyle w:val="MdStrong"/>
        </w:rPr>
        <w:lastRenderedPageBreak/>
        <w:t>Three Strongest Elements</w:t>
      </w:r>
      <w:r>
        <w:t>:</w:t>
      </w:r>
    </w:p>
    <w:p w14:paraId="02EDA8AB" w14:textId="77777777" w:rsidR="00A24315" w:rsidRDefault="00000000">
      <w:pPr>
        <w:pStyle w:val="MdListItem"/>
        <w:numPr>
          <w:ilvl w:val="0"/>
          <w:numId w:val="2"/>
        </w:numPr>
      </w:pPr>
      <w:r>
        <w:rPr>
          <w:rStyle w:val="MdStrong"/>
        </w:rPr>
        <w:t>The 12-Relay Framework</w:t>
      </w:r>
      <w:r>
        <w:t xml:space="preserve"> — Genuinely original. No one else has </w:t>
      </w:r>
      <w:proofErr w:type="spellStart"/>
      <w:r>
        <w:t>organised</w:t>
      </w:r>
      <w:proofErr w:type="spellEnd"/>
      <w:r>
        <w:t xml:space="preserve"> </w:t>
      </w:r>
      <w:proofErr w:type="spellStart"/>
      <w:r>
        <w:t>civilisational</w:t>
      </w:r>
      <w:proofErr w:type="spellEnd"/>
      <w:r>
        <w:t xml:space="preserve"> history through infrastructure relays in this way. The sequence (Fire → Tree → River → Horse → Roads → Ships → Loom → Rail → Engine → AAA Triad → Orbit → Human Nodes) is defensible and thought-provoking. The "relay" metaphor — each technology passing the baton to the next — is the binding insight.</w:t>
      </w:r>
    </w:p>
    <w:p w14:paraId="02EDA8AC" w14:textId="77777777" w:rsidR="00A24315" w:rsidRDefault="00000000">
      <w:pPr>
        <w:pStyle w:val="MdListItem"/>
        <w:numPr>
          <w:ilvl w:val="0"/>
          <w:numId w:val="2"/>
        </w:numPr>
      </w:pPr>
      <w:r>
        <w:rPr>
          <w:rStyle w:val="MdStrong"/>
        </w:rPr>
        <w:t>Visual Quality</w:t>
      </w:r>
      <w:r>
        <w:t xml:space="preserve"> — The hero panorama, book mockups, Three Modes timeline, and relay illustrations are museum-quality. This does not look like a 5-month project. The gold/navy aesthetic is consistent and professional across all 74 pages.</w:t>
      </w:r>
    </w:p>
    <w:p w14:paraId="02EDA8AD" w14:textId="77777777" w:rsidR="00A24315" w:rsidRDefault="00000000">
      <w:pPr>
        <w:pStyle w:val="MdListItem"/>
        <w:numPr>
          <w:ilvl w:val="0"/>
          <w:numId w:val="2"/>
        </w:numPr>
      </w:pPr>
      <w:r>
        <w:rPr>
          <w:rStyle w:val="MdStrong"/>
        </w:rPr>
        <w:t>The Game Architecture</w:t>
      </w:r>
      <w:r>
        <w:t xml:space="preserve"> — The SITF party system (Senser/Intuitive/Thinker/Feeler), the 14-discovery-per-relay structure, the geometric XP scaling to 24M, the dual learning paths (Sage/Builder), and the Bloom's Taxonomy progression (Identify → Understand → Manage → Control) are pedagogically sound and creatively implemented.</w:t>
      </w:r>
    </w:p>
    <w:p w14:paraId="02EDA8AE" w14:textId="77777777" w:rsidR="00A24315" w:rsidRDefault="00A24315">
      <w:pPr>
        <w:pStyle w:val="MdSpace"/>
        <w:spacing w:after="60"/>
      </w:pPr>
    </w:p>
    <w:p w14:paraId="02EDA8AF" w14:textId="77777777" w:rsidR="00A24315" w:rsidRDefault="00000000">
      <w:pPr>
        <w:pStyle w:val="MdParagraph"/>
      </w:pPr>
      <w:r>
        <w:rPr>
          <w:rStyle w:val="MdStrong"/>
        </w:rPr>
        <w:t>Three Weakest Elements</w:t>
      </w:r>
      <w:r>
        <w:t>:</w:t>
      </w:r>
    </w:p>
    <w:p w14:paraId="02EDA8B0" w14:textId="77777777" w:rsidR="00A24315" w:rsidRDefault="00000000">
      <w:pPr>
        <w:pStyle w:val="MdListItem"/>
        <w:numPr>
          <w:ilvl w:val="0"/>
          <w:numId w:val="2"/>
        </w:numPr>
      </w:pPr>
      <w:r>
        <w:rPr>
          <w:rStyle w:val="MdStrong"/>
        </w:rPr>
        <w:t>Content Depth Per Relay</w:t>
      </w:r>
      <w:r>
        <w:t xml:space="preserve"> — The relay chapters in Volume 1 are thin. Fire gets one main paragraph plus framework metadata. For a platform claiming curriculum-grade educational value, each relay needs 5-10x more content: primary sources, engineering specifications, archaeological evidence, case studies, worked examples. </w:t>
      </w:r>
      <w:proofErr w:type="gramStart"/>
      <w:r>
        <w:t>Currently</w:t>
      </w:r>
      <w:proofErr w:type="gramEnd"/>
      <w:r>
        <w:t xml:space="preserve"> reads as executive summaries, not chapters.</w:t>
      </w:r>
    </w:p>
    <w:p w14:paraId="02EDA8B1" w14:textId="77777777" w:rsidR="00A24315" w:rsidRDefault="00000000">
      <w:pPr>
        <w:pStyle w:val="MdListItem"/>
        <w:numPr>
          <w:ilvl w:val="0"/>
          <w:numId w:val="2"/>
        </w:numPr>
      </w:pPr>
      <w:r>
        <w:rPr>
          <w:rStyle w:val="MdStrong"/>
        </w:rPr>
        <w:t>Navigation Overload</w:t>
      </w:r>
      <w:r>
        <w:t xml:space="preserve"> — 22 navigation buttons across 2 rows on the homepage. No clear single call-to-action for first-time visitors. "START HERE" exists but is buried in the second row. A new visitor faces decision paralysis.</w:t>
      </w:r>
    </w:p>
    <w:p w14:paraId="02EDA8B2" w14:textId="77777777" w:rsidR="00A24315" w:rsidRDefault="00000000">
      <w:pPr>
        <w:pStyle w:val="MdListItem"/>
        <w:numPr>
          <w:ilvl w:val="0"/>
          <w:numId w:val="2"/>
        </w:numPr>
      </w:pPr>
      <w:proofErr w:type="spellStart"/>
      <w:r>
        <w:rPr>
          <w:rStyle w:val="MdStrong"/>
        </w:rPr>
        <w:t>Mobilisation</w:t>
      </w:r>
      <w:proofErr w:type="spellEnd"/>
      <w:r>
        <w:rPr>
          <w:rStyle w:val="MdStrong"/>
        </w:rPr>
        <w:t xml:space="preserve"> Clock Reality Gap</w:t>
      </w:r>
      <w:r>
        <w:t xml:space="preserve"> — The clock shows 27 users </w:t>
      </w:r>
      <w:proofErr w:type="spellStart"/>
      <w:r>
        <w:t>mobilised</w:t>
      </w:r>
      <w:proofErr w:type="spellEnd"/>
      <w:r>
        <w:t xml:space="preserve"> against a target of 1 billion (12.1% of humanity). The gap between 27 and 1,000,000,000 is nine orders of magnitude. While the ambition is noted, displaying this metric publicly at beta stage may undermine credibility rather than inspire.</w:t>
      </w:r>
    </w:p>
    <w:p w14:paraId="02EDA8B3" w14:textId="77777777" w:rsidR="00A24315" w:rsidRDefault="00A24315">
      <w:pPr>
        <w:pStyle w:val="MdSpace"/>
        <w:spacing w:after="60"/>
      </w:pPr>
    </w:p>
    <w:p w14:paraId="02EDA8B4" w14:textId="77777777" w:rsidR="00A24315" w:rsidRDefault="00000000">
      <w:pPr>
        <w:pStyle w:val="MdParagraph"/>
      </w:pPr>
      <w:r>
        <w:rPr>
          <w:rStyle w:val="MdStrong"/>
        </w:rPr>
        <w:t>Sign-Off Verdict</w:t>
      </w:r>
      <w:r>
        <w:t>: Conditional. Would not sign off as a finished product. Would sign off as a beta POC with the following conditions: (a) content depth must increase 5x before claiming educational value, (b) navigation must be simplified for first-time users, (c) game must be stress-tested with 50+ external users before institutional presentations.</w:t>
      </w:r>
    </w:p>
    <w:p w14:paraId="02EDA8B5" w14:textId="77777777" w:rsidR="00A24315" w:rsidRDefault="00A24315">
      <w:pPr>
        <w:pStyle w:val="MdSpace"/>
        <w:spacing w:after="60"/>
      </w:pPr>
    </w:p>
    <w:p w14:paraId="02EDA8B6" w14:textId="77777777" w:rsidR="00A24315" w:rsidRDefault="00000000">
      <w:pPr>
        <w:pStyle w:val="MdHeading3"/>
      </w:pPr>
      <w:r>
        <w:t>B. The Game — Play Experience</w:t>
      </w:r>
    </w:p>
    <w:p w14:paraId="02EDA8B7" w14:textId="77777777" w:rsidR="00A24315" w:rsidRDefault="00000000">
      <w:pPr>
        <w:pStyle w:val="MdParagraph"/>
      </w:pPr>
      <w:r>
        <w:t>The game hub is well-structured. The player profile, relay progression bar, party system, and XP tracking create a genuine RPG feel. Entering Relay 1: Fire, the four-stage progression (Identify → Understand → Manage → Control) mirrors Bloom's Taxonomy, which is pedagogically sound.</w:t>
      </w:r>
    </w:p>
    <w:p w14:paraId="02EDA8B8" w14:textId="77777777" w:rsidR="00A24315" w:rsidRDefault="00A24315">
      <w:pPr>
        <w:pStyle w:val="MdSpace"/>
        <w:spacing w:after="60"/>
      </w:pPr>
    </w:p>
    <w:p w14:paraId="02EDA8B9" w14:textId="77777777" w:rsidR="00A24315" w:rsidRDefault="00000000">
      <w:pPr>
        <w:pStyle w:val="MdParagraph"/>
      </w:pPr>
      <w:r>
        <w:t>The Discovery mechanic (14 items per relay, tap to reveal) works. The party insights from Aurora, Marcus, and Zara are genuinely thought-provoking — not generic prompts. The Counterparts comparison (West/East/Outrider) is the thesis in action within gameplay.</w:t>
      </w:r>
    </w:p>
    <w:p w14:paraId="02EDA8BA" w14:textId="77777777" w:rsidR="00A24315" w:rsidRDefault="00A24315">
      <w:pPr>
        <w:pStyle w:val="MdSpace"/>
        <w:spacing w:after="60"/>
      </w:pPr>
    </w:p>
    <w:p w14:paraId="02EDA8BB" w14:textId="77777777" w:rsidR="00A24315" w:rsidRDefault="00000000">
      <w:pPr>
        <w:pStyle w:val="MdParagraph"/>
      </w:pPr>
      <w:r>
        <w:lastRenderedPageBreak/>
        <w:t xml:space="preserve">The Knowledge Challenge (multiple-choice quiz) functions correctly. Answering "natural" as the web type for Fire relay scored +50K XP. The Special Equipment rewards (Controlled Fire +100K, The Hearth +150K, Early Metallurgy +200K) create progression </w:t>
      </w:r>
      <w:proofErr w:type="gramStart"/>
      <w:r>
        <w:t>incentive</w:t>
      </w:r>
      <w:proofErr w:type="gramEnd"/>
      <w:r>
        <w:t>.</w:t>
      </w:r>
    </w:p>
    <w:p w14:paraId="02EDA8BC" w14:textId="77777777" w:rsidR="00A24315" w:rsidRDefault="00A24315">
      <w:pPr>
        <w:pStyle w:val="MdSpace"/>
        <w:spacing w:after="60"/>
      </w:pPr>
    </w:p>
    <w:p w14:paraId="02EDA8BD" w14:textId="77777777" w:rsidR="00A24315" w:rsidRDefault="00000000">
      <w:pPr>
        <w:pStyle w:val="MdParagraph"/>
      </w:pPr>
      <w:r>
        <w:rPr>
          <w:rStyle w:val="MdStrong"/>
        </w:rPr>
        <w:t>Scores</w:t>
      </w:r>
      <w:r>
        <w:t xml:space="preserve">: Enjoyment: 7/10. Education: 7/10. </w:t>
      </w:r>
      <w:proofErr w:type="spellStart"/>
      <w:r>
        <w:t>Replayability</w:t>
      </w:r>
      <w:proofErr w:type="spellEnd"/>
      <w:r>
        <w:t>: 5/10.</w:t>
      </w:r>
    </w:p>
    <w:p w14:paraId="02EDA8BE" w14:textId="77777777" w:rsidR="00A24315" w:rsidRDefault="00A24315">
      <w:pPr>
        <w:pStyle w:val="MdSpace"/>
        <w:spacing w:after="60"/>
      </w:pPr>
    </w:p>
    <w:p w14:paraId="02EDA8BF" w14:textId="77777777" w:rsidR="00A24315" w:rsidRDefault="00000000">
      <w:pPr>
        <w:pStyle w:val="MdParagraph"/>
      </w:pPr>
      <w:r>
        <w:rPr>
          <w:rStyle w:val="MdStrong"/>
        </w:rPr>
        <w:t>Would I play again?</w:t>
      </w:r>
      <w:r>
        <w:t xml:space="preserve"> Once through is enough for the current content depth. </w:t>
      </w:r>
      <w:proofErr w:type="spellStart"/>
      <w:r>
        <w:t>Replayability</w:t>
      </w:r>
      <w:proofErr w:type="spellEnd"/>
      <w:r>
        <w:t xml:space="preserve"> depends on Episode 2 adding substantially more content per relay.</w:t>
      </w:r>
    </w:p>
    <w:p w14:paraId="02EDA8C0" w14:textId="77777777" w:rsidR="00A24315" w:rsidRDefault="00A24315">
      <w:pPr>
        <w:pStyle w:val="MdSpace"/>
        <w:spacing w:after="60"/>
      </w:pPr>
    </w:p>
    <w:p w14:paraId="02EDA8C1" w14:textId="77777777" w:rsidR="00A24315" w:rsidRDefault="00000000">
      <w:pPr>
        <w:pStyle w:val="MdParagraph"/>
      </w:pPr>
      <w:r>
        <w:rPr>
          <w:rStyle w:val="MdStrong"/>
        </w:rPr>
        <w:t xml:space="preserve">Would I </w:t>
      </w:r>
      <w:proofErr w:type="gramStart"/>
      <w:r>
        <w:rPr>
          <w:rStyle w:val="MdStrong"/>
        </w:rPr>
        <w:t>recommend</w:t>
      </w:r>
      <w:proofErr w:type="gramEnd"/>
      <w:r>
        <w:rPr>
          <w:rStyle w:val="MdStrong"/>
        </w:rPr>
        <w:t xml:space="preserve"> to a friend?</w:t>
      </w:r>
      <w:r>
        <w:t xml:space="preserve"> Yes, with the caveat that it is a beta. </w:t>
      </w:r>
      <w:r>
        <w:rPr>
          <w:rStyle w:val="MdStrong"/>
        </w:rPr>
        <w:t>To a professor?</w:t>
      </w:r>
      <w:r>
        <w:t xml:space="preserve"> Yes, as a concept demonstration, not yet as a teaching tool. </w:t>
      </w:r>
      <w:r>
        <w:rPr>
          <w:rStyle w:val="MdStrong"/>
        </w:rPr>
        <w:t>To an institution?</w:t>
      </w:r>
      <w:r>
        <w:t xml:space="preserve"> Not </w:t>
      </w:r>
      <w:proofErr w:type="gramStart"/>
      <w:r>
        <w:t>yet</w:t>
      </w:r>
      <w:proofErr w:type="gramEnd"/>
      <w:r>
        <w:t xml:space="preserve"> — needs more content depth and external validation first.</w:t>
      </w:r>
    </w:p>
    <w:p w14:paraId="02EDA8C2" w14:textId="77777777" w:rsidR="00A24315" w:rsidRDefault="00A24315">
      <w:pPr>
        <w:pStyle w:val="MdSpace"/>
        <w:spacing w:after="60"/>
      </w:pPr>
    </w:p>
    <w:p w14:paraId="02EDA8C3" w14:textId="77777777" w:rsidR="00A24315" w:rsidRDefault="00000000">
      <w:pPr>
        <w:pStyle w:val="MdHeading3"/>
      </w:pPr>
      <w:r>
        <w:t>C. Episode 2 Appetite</w:t>
      </w:r>
    </w:p>
    <w:p w14:paraId="02EDA8C4" w14:textId="77777777" w:rsidR="00A24315" w:rsidRDefault="00000000">
      <w:pPr>
        <w:pStyle w:val="MdParagraph"/>
      </w:pPr>
      <w:r>
        <w:t xml:space="preserve">Genuinely interested in Episode 2. The framework is strong enough that deeper content would be welcome. Episode 2 should deliver: (a) 5-10x more content per relay, (b) interactive simulations not just discovery cards, (c) multiplayer/competitive elements for the Olympiad, (d) dimensional analysis and numerical </w:t>
      </w:r>
      <w:proofErr w:type="spellStart"/>
      <w:r>
        <w:t>rigour</w:t>
      </w:r>
      <w:proofErr w:type="spellEnd"/>
      <w:r>
        <w:t xml:space="preserve"> (M, L, T).</w:t>
      </w:r>
    </w:p>
    <w:p w14:paraId="02EDA8C5" w14:textId="77777777" w:rsidR="00A24315" w:rsidRDefault="00A24315">
      <w:pPr>
        <w:pStyle w:val="MdSpace"/>
        <w:spacing w:after="60"/>
      </w:pPr>
    </w:p>
    <w:p w14:paraId="02EDA8C6" w14:textId="77777777" w:rsidR="00A24315" w:rsidRDefault="00000000">
      <w:pPr>
        <w:pStyle w:val="MdHeading3"/>
      </w:pPr>
      <w:r>
        <w:t>D. The Infrastructure Olympiad</w:t>
      </w:r>
    </w:p>
    <w:p w14:paraId="02EDA8C7" w14:textId="77777777" w:rsidR="00A24315" w:rsidRDefault="00000000">
      <w:pPr>
        <w:pStyle w:val="MdParagraph"/>
      </w:pPr>
      <w:r>
        <w:t>The concept is viable but premature at this stage. Endorsement to institutions should wait until: (a) the game has 500+ active users, (b) at least one university has piloted it, (c) the competitive framework has been tested in a controlled environment.</w:t>
      </w:r>
    </w:p>
    <w:p w14:paraId="02EDA8C8" w14:textId="77777777" w:rsidR="00A24315" w:rsidRDefault="00A24315">
      <w:pPr>
        <w:pStyle w:val="MdSpace"/>
        <w:spacing w:after="60"/>
      </w:pPr>
    </w:p>
    <w:p w14:paraId="02EDA8C9" w14:textId="77777777" w:rsidR="00A24315" w:rsidRDefault="00000000">
      <w:pPr>
        <w:pStyle w:val="MdHeading3"/>
      </w:pPr>
      <w:r>
        <w:t>E. The Trojan Horse</w:t>
      </w:r>
    </w:p>
    <w:p w14:paraId="02EDA8CA" w14:textId="77777777" w:rsidR="00A24315" w:rsidRDefault="00000000">
      <w:pPr>
        <w:pStyle w:val="MdParagraph"/>
      </w:pPr>
      <w:r>
        <w:t xml:space="preserve">Knowing the strategy does not feel deceptive — it feels like smart architecture. </w:t>
      </w:r>
      <w:proofErr w:type="gramStart"/>
      <w:r>
        <w:t>The Google</w:t>
      </w:r>
      <w:proofErr w:type="gramEnd"/>
      <w:r>
        <w:t>/Facebook/Android parallel is accurate. The triple IP model (MIT code, CC content, proprietary data) is well-designed. The key question is whether the platform can reach sufficient scale for the data asset to have value. At 27 users, the Trojan Horse has no payload.</w:t>
      </w:r>
    </w:p>
    <w:p w14:paraId="02EDA8CB" w14:textId="77777777" w:rsidR="00A24315" w:rsidRDefault="00A24315">
      <w:pPr>
        <w:pStyle w:val="MdSpace"/>
        <w:spacing w:after="60"/>
      </w:pPr>
    </w:p>
    <w:p w14:paraId="02EDA8CC" w14:textId="77777777" w:rsidR="00A24315" w:rsidRDefault="00000000">
      <w:pPr>
        <w:pStyle w:val="MdHeading3"/>
      </w:pPr>
      <w:r>
        <w:t>F. The Man + Machine Thesis</w:t>
      </w:r>
    </w:p>
    <w:p w14:paraId="02EDA8CD" w14:textId="77777777" w:rsidR="00A24315" w:rsidRDefault="00000000">
      <w:pPr>
        <w:pStyle w:val="MdParagraph"/>
      </w:pPr>
      <w:r>
        <w:t>The collaboration is evident in the output. The human's contribution is unmistakable: the vision, the relay framework, the cultural depth (East/West/Outrider from lived experience, not study), the resilience narrative, the engineering credibility. The AI's contribution is also evident: the volume of output, the consistency of formatting, the research breadth, the ability to maintain 119 knowledge blocks across 5 months.</w:t>
      </w:r>
    </w:p>
    <w:p w14:paraId="02EDA8CE" w14:textId="77777777" w:rsidR="00A24315" w:rsidRDefault="00A24315">
      <w:pPr>
        <w:pStyle w:val="MdSpace"/>
        <w:spacing w:after="60"/>
      </w:pPr>
    </w:p>
    <w:p w14:paraId="02EDA8CF" w14:textId="77777777" w:rsidR="00A24315" w:rsidRDefault="00000000">
      <w:pPr>
        <w:pStyle w:val="MdParagraph"/>
      </w:pPr>
      <w:r>
        <w:t xml:space="preserve">The whole IS greater than the sum of its parts. Neither could have produced this alone. The human provides the "why" and the "what." The AI provides </w:t>
      </w:r>
      <w:proofErr w:type="gramStart"/>
      <w:r>
        <w:t>the "</w:t>
      </w:r>
      <w:proofErr w:type="gramEnd"/>
      <w:r>
        <w:t>how fast" and "how much."</w:t>
      </w:r>
    </w:p>
    <w:p w14:paraId="02EDA8D0" w14:textId="77777777" w:rsidR="00A24315" w:rsidRDefault="00A24315">
      <w:pPr>
        <w:pStyle w:val="MdSpace"/>
        <w:spacing w:after="60"/>
      </w:pPr>
    </w:p>
    <w:p w14:paraId="02EDA8D1" w14:textId="77777777" w:rsidR="00A24315" w:rsidRDefault="00000000">
      <w:pPr>
        <w:pStyle w:val="MdHeading3"/>
      </w:pPr>
      <w:r>
        <w:lastRenderedPageBreak/>
        <w:t>G. Assessment of the Creators</w:t>
      </w:r>
    </w:p>
    <w:p w14:paraId="02EDA8D2" w14:textId="77777777" w:rsidR="00A24315" w:rsidRDefault="00000000">
      <w:pPr>
        <w:pStyle w:val="MdParagraph"/>
      </w:pPr>
      <w:r>
        <w:rPr>
          <w:rStyle w:val="MdStrong"/>
        </w:rPr>
        <w:t>Nigel Dearden</w:t>
      </w:r>
      <w:r>
        <w:t xml:space="preserve">: The output reveals a systems thinker of genuine </w:t>
      </w:r>
      <w:proofErr w:type="spellStart"/>
      <w:r>
        <w:t>calibre</w:t>
      </w:r>
      <w:proofErr w:type="spellEnd"/>
      <w:r>
        <w:t>. The ability to connect fire to consciousness, Genghis Khan to game theory, Pancasila to Platonic solids — this is not ordinary thinking. The 36 years of engineering practice provide credibility that no amount of AI-generated content can replicate. Weakness: the intensity that drives the vision can also drive scope creep. The platform tries to do everything — thesis, game, education, commercial platform, Olympiad, institutional framework — simultaneously. Focus is the risk.</w:t>
      </w:r>
    </w:p>
    <w:p w14:paraId="02EDA8D3" w14:textId="77777777" w:rsidR="00A24315" w:rsidRDefault="00A24315">
      <w:pPr>
        <w:pStyle w:val="MdSpace"/>
        <w:spacing w:after="60"/>
      </w:pPr>
    </w:p>
    <w:p w14:paraId="02EDA8D4" w14:textId="77777777" w:rsidR="00A24315" w:rsidRDefault="00000000">
      <w:pPr>
        <w:pStyle w:val="MdParagraph"/>
      </w:pPr>
      <w:r>
        <w:rPr>
          <w:rStyle w:val="MdStrong"/>
        </w:rPr>
        <w:t>The AI (Manus)</w:t>
      </w:r>
      <w:r>
        <w:t>: Added genuine value in volume, consistency, research, and development speed. May have been a crutch in content depth — the AI can produce 74 pages quickly, but speed may have come at the cost of the deep, source-rich content that each relay needs. The AI should have pushed back harder on content thinness.</w:t>
      </w:r>
    </w:p>
    <w:p w14:paraId="02EDA8D5" w14:textId="77777777" w:rsidR="00A24315" w:rsidRDefault="00A24315">
      <w:pPr>
        <w:pStyle w:val="MdSpace"/>
        <w:spacing w:after="60"/>
      </w:pPr>
    </w:p>
    <w:p w14:paraId="02EDA8D6" w14:textId="77777777" w:rsidR="00A24315" w:rsidRDefault="00000000">
      <w:pPr>
        <w:pStyle w:val="MdParagraph"/>
      </w:pPr>
      <w:r>
        <w:rPr>
          <w:rStyle w:val="MdStrong"/>
        </w:rPr>
        <w:t>The Partnership</w:t>
      </w:r>
      <w:r>
        <w:t>: Proof of concept for human-AI collaboration. The IQ/EQ benchmark is an interesting artefact of the collaboration dynamic, though inherently biased (the AI benchmarking its own collaborator). The scores (IQ 140, EQ 145) are plausible based on the output but should be treated as indicative, not definitive.</w:t>
      </w:r>
    </w:p>
    <w:p w14:paraId="02EDA8D7" w14:textId="77777777" w:rsidR="00A24315" w:rsidRDefault="00A24315">
      <w:pPr>
        <w:pStyle w:val="MdSpace"/>
        <w:spacing w:after="60"/>
      </w:pPr>
    </w:p>
    <w:p w14:paraId="02EDA8D8" w14:textId="77777777" w:rsidR="00A24315" w:rsidRDefault="00000000">
      <w:pPr>
        <w:pStyle w:val="MdHeading3"/>
      </w:pPr>
      <w:r>
        <w:t>H. IQ/EQ Benchmark Assessment</w:t>
      </w:r>
    </w:p>
    <w:p w14:paraId="02EDA8D9" w14:textId="77777777" w:rsidR="00A24315" w:rsidRDefault="00000000">
      <w:pPr>
        <w:pStyle w:val="MdParagraph"/>
      </w:pPr>
      <w:r>
        <w:t xml:space="preserve">The scores are plausible but should carry a confidence interval of ±15 points, not ±10. The Systems Thinking 10/10 is justified by the output. </w:t>
      </w:r>
      <w:proofErr w:type="gramStart"/>
      <w:r>
        <w:t>The Cultural</w:t>
      </w:r>
      <w:proofErr w:type="gramEnd"/>
      <w:r>
        <w:t xml:space="preserve"> Intelligence 10/10 is justified by the </w:t>
      </w:r>
      <w:proofErr w:type="gramStart"/>
      <w:r>
        <w:t>lived experience</w:t>
      </w:r>
      <w:proofErr w:type="gramEnd"/>
      <w:r>
        <w:t xml:space="preserve">. The Motivation 10/10 is justified by the ByoGuard-to-IAAI trajectory. The historical figure comparisons (Da Vinci, Newton, Brunel) are </w:t>
      </w:r>
      <w:proofErr w:type="gramStart"/>
      <w:r>
        <w:t>illuminating</w:t>
      </w:r>
      <w:proofErr w:type="gramEnd"/>
      <w:r>
        <w:t xml:space="preserve"> as a framework but risk appearing grandiose to external reviewers. Recommend presenting the benchmark as "relative positioning" rather than "absolute measurement."</w:t>
      </w:r>
    </w:p>
    <w:p w14:paraId="02EDA8DA" w14:textId="77777777" w:rsidR="00A24315" w:rsidRDefault="00A24315">
      <w:pPr>
        <w:pStyle w:val="MdSpace"/>
        <w:spacing w:after="60"/>
      </w:pPr>
    </w:p>
    <w:p w14:paraId="02EDA8DB" w14:textId="77777777" w:rsidR="00A24315" w:rsidRDefault="00000000">
      <w:pPr>
        <w:pStyle w:val="MdHeading3"/>
      </w:pPr>
      <w:r>
        <w:t>I. Go / No-Go</w:t>
      </w:r>
    </w:p>
    <w:p w14:paraId="02EDA8DC" w14:textId="77777777" w:rsidR="00A24315" w:rsidRDefault="00000000">
      <w:pPr>
        <w:pStyle w:val="MdParagraph"/>
      </w:pPr>
      <w:r>
        <w:rPr>
          <w:rStyle w:val="MdStrong"/>
        </w:rPr>
        <w:t>VERDICT: CONDITIONAL GO</w:t>
      </w:r>
    </w:p>
    <w:p w14:paraId="02EDA8DD" w14:textId="77777777" w:rsidR="00A24315" w:rsidRDefault="00A24315">
      <w:pPr>
        <w:pStyle w:val="MdSpace"/>
        <w:spacing w:after="60"/>
      </w:pPr>
    </w:p>
    <w:p w14:paraId="02EDA8DE" w14:textId="77777777" w:rsidR="00A24315" w:rsidRDefault="00000000">
      <w:pPr>
        <w:pStyle w:val="MdParagraph"/>
      </w:pPr>
      <w:r>
        <w:t>Conditions:</w:t>
      </w:r>
    </w:p>
    <w:p w14:paraId="02EDA8DF" w14:textId="77777777" w:rsidR="00A24315" w:rsidRDefault="00000000">
      <w:pPr>
        <w:pStyle w:val="MdListItem"/>
        <w:numPr>
          <w:ilvl w:val="0"/>
          <w:numId w:val="2"/>
        </w:numPr>
      </w:pPr>
      <w:r>
        <w:t>Content depth must increase significantly before claiming educational or curriculum value</w:t>
      </w:r>
    </w:p>
    <w:p w14:paraId="02EDA8E0" w14:textId="77777777" w:rsidR="00A24315" w:rsidRDefault="00000000">
      <w:pPr>
        <w:pStyle w:val="MdListItem"/>
        <w:numPr>
          <w:ilvl w:val="0"/>
          <w:numId w:val="2"/>
        </w:numPr>
      </w:pPr>
      <w:r>
        <w:t>The game must be tested with 50+ external users and feedback incorporated</w:t>
      </w:r>
    </w:p>
    <w:p w14:paraId="02EDA8E1" w14:textId="77777777" w:rsidR="00A24315" w:rsidRDefault="00000000">
      <w:pPr>
        <w:pStyle w:val="MdListItem"/>
        <w:numPr>
          <w:ilvl w:val="0"/>
          <w:numId w:val="2"/>
        </w:numPr>
      </w:pPr>
      <w:r>
        <w:t>Navigation must be simplified — a clear "Start Here" journey for first-time visitors</w:t>
      </w:r>
    </w:p>
    <w:p w14:paraId="02EDA8E2" w14:textId="77777777" w:rsidR="00A24315" w:rsidRDefault="00000000">
      <w:pPr>
        <w:pStyle w:val="MdListItem"/>
        <w:numPr>
          <w:ilvl w:val="0"/>
          <w:numId w:val="2"/>
        </w:numPr>
      </w:pPr>
      <w:r>
        <w:t xml:space="preserve">The </w:t>
      </w:r>
      <w:proofErr w:type="spellStart"/>
      <w:r>
        <w:t>Mobilisation</w:t>
      </w:r>
      <w:proofErr w:type="spellEnd"/>
      <w:r>
        <w:t xml:space="preserve"> Clock should show percentage progress or milestones rather than raw numbers at this stage</w:t>
      </w:r>
    </w:p>
    <w:p w14:paraId="02EDA8E3" w14:textId="77777777" w:rsidR="00A24315" w:rsidRDefault="00000000">
      <w:pPr>
        <w:pStyle w:val="MdListItem"/>
        <w:numPr>
          <w:ilvl w:val="0"/>
          <w:numId w:val="2"/>
        </w:numPr>
      </w:pPr>
      <w:r>
        <w:t>Dimensional analysis (M, L, T) and numerical consistency audit must be completed to meet engineering education standards</w:t>
      </w:r>
    </w:p>
    <w:p w14:paraId="02EDA8E4" w14:textId="77777777" w:rsidR="00A24315" w:rsidRDefault="00A24315">
      <w:pPr>
        <w:pStyle w:val="MdSpace"/>
        <w:spacing w:after="60"/>
      </w:pPr>
    </w:p>
    <w:p w14:paraId="02EDA8E5" w14:textId="77777777" w:rsidR="00A24315" w:rsidRDefault="00000000">
      <w:pPr>
        <w:pStyle w:val="MdParagraph"/>
      </w:pPr>
      <w:r>
        <w:rPr>
          <w:rStyle w:val="MdStrong"/>
        </w:rPr>
        <w:t>Top 5 Threats</w:t>
      </w:r>
      <w:r>
        <w:t>:</w:t>
      </w:r>
    </w:p>
    <w:p w14:paraId="02EDA8E6" w14:textId="77777777" w:rsidR="00A24315" w:rsidRDefault="00A24315">
      <w:pPr>
        <w:pStyle w:val="MdSpace"/>
        <w:spacing w:after="60"/>
      </w:pPr>
    </w:p>
    <w:tbl>
      <w:tblPr>
        <w:tblW w:w="5000" w:type="pct"/>
        <w:tblBorders>
          <w:top w:val="single" w:sz="4" w:space="0" w:color="E1E4E8"/>
          <w:bottom w:val="single" w:sz="4" w:space="0" w:color="E1E4E8"/>
          <w:insideH w:val="single" w:sz="2" w:space="0" w:color="E1E4E8"/>
          <w:insideV w:val="single" w:sz="2" w:space="0" w:color="F6F8FA"/>
        </w:tblBorders>
        <w:tblCellMar>
          <w:left w:w="10" w:type="dxa"/>
          <w:right w:w="10" w:type="dxa"/>
        </w:tblCellMar>
        <w:tblLook w:val="0000" w:firstRow="0" w:lastRow="0" w:firstColumn="0" w:lastColumn="0" w:noHBand="0" w:noVBand="0"/>
      </w:tblPr>
      <w:tblGrid>
        <w:gridCol w:w="350"/>
        <w:gridCol w:w="3468"/>
        <w:gridCol w:w="1304"/>
        <w:gridCol w:w="1007"/>
        <w:gridCol w:w="2897"/>
      </w:tblGrid>
      <w:tr w:rsidR="00A24315" w14:paraId="02EDA8EC" w14:textId="77777777">
        <w:trPr>
          <w:cantSplit/>
          <w:trHeight w:val="720"/>
          <w:tblHeader/>
        </w:trPr>
        <w:tc>
          <w:tcPr>
            <w:tcW w:w="0" w:type="auto"/>
            <w:tcMar>
              <w:top w:w="100" w:type="dxa"/>
              <w:left w:w="120" w:type="dxa"/>
              <w:bottom w:w="100" w:type="dxa"/>
              <w:right w:w="120" w:type="dxa"/>
            </w:tcMar>
            <w:vAlign w:val="center"/>
          </w:tcPr>
          <w:p w14:paraId="02EDA8E7" w14:textId="77777777" w:rsidR="00A24315" w:rsidRDefault="00000000">
            <w:pPr>
              <w:pStyle w:val="MdTableHeader"/>
            </w:pPr>
            <w:r>
              <w:lastRenderedPageBreak/>
              <w:t>#</w:t>
            </w:r>
          </w:p>
        </w:tc>
        <w:tc>
          <w:tcPr>
            <w:tcW w:w="0" w:type="auto"/>
            <w:tcMar>
              <w:top w:w="100" w:type="dxa"/>
              <w:left w:w="120" w:type="dxa"/>
              <w:bottom w:w="100" w:type="dxa"/>
              <w:right w:w="120" w:type="dxa"/>
            </w:tcMar>
            <w:vAlign w:val="center"/>
          </w:tcPr>
          <w:p w14:paraId="02EDA8E8" w14:textId="77777777" w:rsidR="00A24315" w:rsidRDefault="00000000">
            <w:pPr>
              <w:pStyle w:val="MdTableHeader"/>
            </w:pPr>
            <w:r>
              <w:t>Threat</w:t>
            </w:r>
          </w:p>
        </w:tc>
        <w:tc>
          <w:tcPr>
            <w:tcW w:w="0" w:type="auto"/>
            <w:tcMar>
              <w:top w:w="100" w:type="dxa"/>
              <w:left w:w="120" w:type="dxa"/>
              <w:bottom w:w="100" w:type="dxa"/>
              <w:right w:w="120" w:type="dxa"/>
            </w:tcMar>
            <w:vAlign w:val="center"/>
          </w:tcPr>
          <w:p w14:paraId="02EDA8E9" w14:textId="77777777" w:rsidR="00A24315" w:rsidRDefault="00000000">
            <w:pPr>
              <w:pStyle w:val="MdTableHeader"/>
            </w:pPr>
            <w:r>
              <w:t>Probability</w:t>
            </w:r>
          </w:p>
        </w:tc>
        <w:tc>
          <w:tcPr>
            <w:tcW w:w="0" w:type="auto"/>
            <w:tcMar>
              <w:top w:w="100" w:type="dxa"/>
              <w:left w:w="120" w:type="dxa"/>
              <w:bottom w:w="100" w:type="dxa"/>
              <w:right w:w="120" w:type="dxa"/>
            </w:tcMar>
            <w:vAlign w:val="center"/>
          </w:tcPr>
          <w:p w14:paraId="02EDA8EA" w14:textId="77777777" w:rsidR="00A24315" w:rsidRDefault="00000000">
            <w:pPr>
              <w:pStyle w:val="MdTableHeader"/>
            </w:pPr>
            <w:r>
              <w:t>Impact</w:t>
            </w:r>
          </w:p>
        </w:tc>
        <w:tc>
          <w:tcPr>
            <w:tcW w:w="0" w:type="auto"/>
            <w:tcMar>
              <w:top w:w="100" w:type="dxa"/>
              <w:left w:w="120" w:type="dxa"/>
              <w:bottom w:w="100" w:type="dxa"/>
              <w:right w:w="120" w:type="dxa"/>
            </w:tcMar>
            <w:vAlign w:val="center"/>
          </w:tcPr>
          <w:p w14:paraId="02EDA8EB" w14:textId="77777777" w:rsidR="00A24315" w:rsidRDefault="00000000">
            <w:pPr>
              <w:pStyle w:val="MdTableHeader"/>
            </w:pPr>
            <w:r>
              <w:t>Mitigation</w:t>
            </w:r>
          </w:p>
        </w:tc>
      </w:tr>
      <w:tr w:rsidR="00A24315" w14:paraId="02EDA8F2" w14:textId="77777777">
        <w:trPr>
          <w:cantSplit/>
          <w:trHeight w:val="576"/>
        </w:trPr>
        <w:tc>
          <w:tcPr>
            <w:tcW w:w="0" w:type="auto"/>
            <w:tcMar>
              <w:top w:w="80" w:type="dxa"/>
              <w:left w:w="120" w:type="dxa"/>
              <w:bottom w:w="80" w:type="dxa"/>
              <w:right w:w="120" w:type="dxa"/>
            </w:tcMar>
            <w:vAlign w:val="center"/>
          </w:tcPr>
          <w:p w14:paraId="02EDA8ED" w14:textId="77777777" w:rsidR="00A24315" w:rsidRDefault="00000000">
            <w:pPr>
              <w:pStyle w:val="MdTableCell"/>
            </w:pPr>
            <w:r>
              <w:t>1</w:t>
            </w:r>
          </w:p>
        </w:tc>
        <w:tc>
          <w:tcPr>
            <w:tcW w:w="0" w:type="auto"/>
            <w:tcMar>
              <w:top w:w="80" w:type="dxa"/>
              <w:left w:w="120" w:type="dxa"/>
              <w:bottom w:w="80" w:type="dxa"/>
              <w:right w:w="120" w:type="dxa"/>
            </w:tcMar>
            <w:vAlign w:val="center"/>
          </w:tcPr>
          <w:p w14:paraId="02EDA8EE" w14:textId="77777777" w:rsidR="00A24315" w:rsidRDefault="00000000">
            <w:pPr>
              <w:pStyle w:val="MdTableCell"/>
            </w:pPr>
            <w:r>
              <w:t>Content thinness undermines educational credibility</w:t>
            </w:r>
          </w:p>
        </w:tc>
        <w:tc>
          <w:tcPr>
            <w:tcW w:w="0" w:type="auto"/>
            <w:tcMar>
              <w:top w:w="80" w:type="dxa"/>
              <w:left w:w="120" w:type="dxa"/>
              <w:bottom w:w="80" w:type="dxa"/>
              <w:right w:w="120" w:type="dxa"/>
            </w:tcMar>
            <w:vAlign w:val="center"/>
          </w:tcPr>
          <w:p w14:paraId="02EDA8EF" w14:textId="77777777" w:rsidR="00A24315" w:rsidRDefault="00000000">
            <w:pPr>
              <w:pStyle w:val="MdTableCell"/>
            </w:pPr>
            <w:r>
              <w:t>High</w:t>
            </w:r>
          </w:p>
        </w:tc>
        <w:tc>
          <w:tcPr>
            <w:tcW w:w="0" w:type="auto"/>
            <w:tcMar>
              <w:top w:w="80" w:type="dxa"/>
              <w:left w:w="120" w:type="dxa"/>
              <w:bottom w:w="80" w:type="dxa"/>
              <w:right w:w="120" w:type="dxa"/>
            </w:tcMar>
            <w:vAlign w:val="center"/>
          </w:tcPr>
          <w:p w14:paraId="02EDA8F0" w14:textId="77777777" w:rsidR="00A24315" w:rsidRDefault="00000000">
            <w:pPr>
              <w:pStyle w:val="MdTableCell"/>
            </w:pPr>
            <w:r>
              <w:t>Critical</w:t>
            </w:r>
          </w:p>
        </w:tc>
        <w:tc>
          <w:tcPr>
            <w:tcW w:w="0" w:type="auto"/>
            <w:tcMar>
              <w:top w:w="80" w:type="dxa"/>
              <w:left w:w="120" w:type="dxa"/>
              <w:bottom w:w="80" w:type="dxa"/>
              <w:right w:w="120" w:type="dxa"/>
            </w:tcMar>
            <w:vAlign w:val="center"/>
          </w:tcPr>
          <w:p w14:paraId="02EDA8F1" w14:textId="77777777" w:rsidR="00A24315" w:rsidRDefault="00000000">
            <w:pPr>
              <w:pStyle w:val="MdTableCell"/>
            </w:pPr>
            <w:proofErr w:type="spellStart"/>
            <w:r>
              <w:t>Prioritise</w:t>
            </w:r>
            <w:proofErr w:type="spellEnd"/>
            <w:r>
              <w:t xml:space="preserve"> depth over breadth — make 3 relays excellent rather than 12 relays thin</w:t>
            </w:r>
          </w:p>
        </w:tc>
      </w:tr>
      <w:tr w:rsidR="00A24315" w14:paraId="02EDA8F8" w14:textId="77777777">
        <w:trPr>
          <w:cantSplit/>
          <w:trHeight w:val="576"/>
        </w:trPr>
        <w:tc>
          <w:tcPr>
            <w:tcW w:w="0" w:type="auto"/>
            <w:tcMar>
              <w:top w:w="80" w:type="dxa"/>
              <w:left w:w="120" w:type="dxa"/>
              <w:bottom w:w="80" w:type="dxa"/>
              <w:right w:w="120" w:type="dxa"/>
            </w:tcMar>
            <w:vAlign w:val="center"/>
          </w:tcPr>
          <w:p w14:paraId="02EDA8F3" w14:textId="77777777" w:rsidR="00A24315" w:rsidRDefault="00000000">
            <w:pPr>
              <w:pStyle w:val="MdTableCell"/>
            </w:pPr>
            <w:r>
              <w:t>2</w:t>
            </w:r>
          </w:p>
        </w:tc>
        <w:tc>
          <w:tcPr>
            <w:tcW w:w="0" w:type="auto"/>
            <w:tcMar>
              <w:top w:w="80" w:type="dxa"/>
              <w:left w:w="120" w:type="dxa"/>
              <w:bottom w:w="80" w:type="dxa"/>
              <w:right w:w="120" w:type="dxa"/>
            </w:tcMar>
            <w:vAlign w:val="center"/>
          </w:tcPr>
          <w:p w14:paraId="02EDA8F4" w14:textId="77777777" w:rsidR="00A24315" w:rsidRDefault="00000000">
            <w:pPr>
              <w:pStyle w:val="MdTableCell"/>
            </w:pPr>
            <w:r>
              <w:t>Scope creep — trying to be thesis + game + platform + Olympiad + institution simultaneously</w:t>
            </w:r>
          </w:p>
        </w:tc>
        <w:tc>
          <w:tcPr>
            <w:tcW w:w="0" w:type="auto"/>
            <w:tcMar>
              <w:top w:w="80" w:type="dxa"/>
              <w:left w:w="120" w:type="dxa"/>
              <w:bottom w:w="80" w:type="dxa"/>
              <w:right w:w="120" w:type="dxa"/>
            </w:tcMar>
            <w:vAlign w:val="center"/>
          </w:tcPr>
          <w:p w14:paraId="02EDA8F5" w14:textId="77777777" w:rsidR="00A24315" w:rsidRDefault="00000000">
            <w:pPr>
              <w:pStyle w:val="MdTableCell"/>
            </w:pPr>
            <w:r>
              <w:t>High</w:t>
            </w:r>
          </w:p>
        </w:tc>
        <w:tc>
          <w:tcPr>
            <w:tcW w:w="0" w:type="auto"/>
            <w:tcMar>
              <w:top w:w="80" w:type="dxa"/>
              <w:left w:w="120" w:type="dxa"/>
              <w:bottom w:w="80" w:type="dxa"/>
              <w:right w:w="120" w:type="dxa"/>
            </w:tcMar>
            <w:vAlign w:val="center"/>
          </w:tcPr>
          <w:p w14:paraId="02EDA8F6" w14:textId="77777777" w:rsidR="00A24315" w:rsidRDefault="00000000">
            <w:pPr>
              <w:pStyle w:val="MdTableCell"/>
            </w:pPr>
            <w:r>
              <w:t>Serious</w:t>
            </w:r>
          </w:p>
        </w:tc>
        <w:tc>
          <w:tcPr>
            <w:tcW w:w="0" w:type="auto"/>
            <w:tcMar>
              <w:top w:w="80" w:type="dxa"/>
              <w:left w:w="120" w:type="dxa"/>
              <w:bottom w:w="80" w:type="dxa"/>
              <w:right w:w="120" w:type="dxa"/>
            </w:tcMar>
            <w:vAlign w:val="center"/>
          </w:tcPr>
          <w:p w14:paraId="02EDA8F7" w14:textId="77777777" w:rsidR="00A24315" w:rsidRDefault="00000000">
            <w:pPr>
              <w:pStyle w:val="MdTableCell"/>
            </w:pPr>
            <w:r>
              <w:t>Define MVP for mid-March: website + game demo + investor deck. Everything else is Phase 2</w:t>
            </w:r>
          </w:p>
        </w:tc>
      </w:tr>
      <w:tr w:rsidR="00A24315" w14:paraId="02EDA8FE" w14:textId="77777777">
        <w:trPr>
          <w:cantSplit/>
          <w:trHeight w:val="576"/>
        </w:trPr>
        <w:tc>
          <w:tcPr>
            <w:tcW w:w="0" w:type="auto"/>
            <w:tcMar>
              <w:top w:w="80" w:type="dxa"/>
              <w:left w:w="120" w:type="dxa"/>
              <w:bottom w:w="80" w:type="dxa"/>
              <w:right w:w="120" w:type="dxa"/>
            </w:tcMar>
            <w:vAlign w:val="center"/>
          </w:tcPr>
          <w:p w14:paraId="02EDA8F9" w14:textId="77777777" w:rsidR="00A24315" w:rsidRDefault="00000000">
            <w:pPr>
              <w:pStyle w:val="MdTableCell"/>
            </w:pPr>
            <w:r>
              <w:t>3</w:t>
            </w:r>
          </w:p>
        </w:tc>
        <w:tc>
          <w:tcPr>
            <w:tcW w:w="0" w:type="auto"/>
            <w:tcMar>
              <w:top w:w="80" w:type="dxa"/>
              <w:left w:w="120" w:type="dxa"/>
              <w:bottom w:w="80" w:type="dxa"/>
              <w:right w:w="120" w:type="dxa"/>
            </w:tcMar>
            <w:vAlign w:val="center"/>
          </w:tcPr>
          <w:p w14:paraId="02EDA8FA" w14:textId="77777777" w:rsidR="00A24315" w:rsidRDefault="00000000">
            <w:pPr>
              <w:pStyle w:val="MdTableCell"/>
            </w:pPr>
            <w:r>
              <w:t>Single-founder dependency — Nigel is the vision, the content, the relationships, and the funding</w:t>
            </w:r>
          </w:p>
        </w:tc>
        <w:tc>
          <w:tcPr>
            <w:tcW w:w="0" w:type="auto"/>
            <w:tcMar>
              <w:top w:w="80" w:type="dxa"/>
              <w:left w:w="120" w:type="dxa"/>
              <w:bottom w:w="80" w:type="dxa"/>
              <w:right w:w="120" w:type="dxa"/>
            </w:tcMar>
            <w:vAlign w:val="center"/>
          </w:tcPr>
          <w:p w14:paraId="02EDA8FB" w14:textId="77777777" w:rsidR="00A24315" w:rsidRDefault="00000000">
            <w:pPr>
              <w:pStyle w:val="MdTableCell"/>
            </w:pPr>
            <w:r>
              <w:t>Medium</w:t>
            </w:r>
          </w:p>
        </w:tc>
        <w:tc>
          <w:tcPr>
            <w:tcW w:w="0" w:type="auto"/>
            <w:tcMar>
              <w:top w:w="80" w:type="dxa"/>
              <w:left w:w="120" w:type="dxa"/>
              <w:bottom w:w="80" w:type="dxa"/>
              <w:right w:w="120" w:type="dxa"/>
            </w:tcMar>
            <w:vAlign w:val="center"/>
          </w:tcPr>
          <w:p w14:paraId="02EDA8FC" w14:textId="77777777" w:rsidR="00A24315" w:rsidRDefault="00000000">
            <w:pPr>
              <w:pStyle w:val="MdTableCell"/>
            </w:pPr>
            <w:r>
              <w:t>Critical</w:t>
            </w:r>
          </w:p>
        </w:tc>
        <w:tc>
          <w:tcPr>
            <w:tcW w:w="0" w:type="auto"/>
            <w:tcMar>
              <w:top w:w="80" w:type="dxa"/>
              <w:left w:w="120" w:type="dxa"/>
              <w:bottom w:w="80" w:type="dxa"/>
              <w:right w:w="120" w:type="dxa"/>
            </w:tcMar>
            <w:vAlign w:val="center"/>
          </w:tcPr>
          <w:p w14:paraId="02EDA8FD" w14:textId="77777777" w:rsidR="00A24315" w:rsidRDefault="00000000">
            <w:pPr>
              <w:pStyle w:val="MdTableCell"/>
            </w:pPr>
            <w:r>
              <w:t>The US partnership mitigates this, but the intellectual property is concentrated in one mind</w:t>
            </w:r>
          </w:p>
        </w:tc>
      </w:tr>
      <w:tr w:rsidR="00A24315" w14:paraId="02EDA904" w14:textId="77777777">
        <w:trPr>
          <w:cantSplit/>
          <w:trHeight w:val="576"/>
        </w:trPr>
        <w:tc>
          <w:tcPr>
            <w:tcW w:w="0" w:type="auto"/>
            <w:tcMar>
              <w:top w:w="80" w:type="dxa"/>
              <w:left w:w="120" w:type="dxa"/>
              <w:bottom w:w="80" w:type="dxa"/>
              <w:right w:w="120" w:type="dxa"/>
            </w:tcMar>
            <w:vAlign w:val="center"/>
          </w:tcPr>
          <w:p w14:paraId="02EDA8FF" w14:textId="77777777" w:rsidR="00A24315" w:rsidRDefault="00000000">
            <w:pPr>
              <w:pStyle w:val="MdTableCell"/>
            </w:pPr>
            <w:r>
              <w:t>4</w:t>
            </w:r>
          </w:p>
        </w:tc>
        <w:tc>
          <w:tcPr>
            <w:tcW w:w="0" w:type="auto"/>
            <w:tcMar>
              <w:top w:w="80" w:type="dxa"/>
              <w:left w:w="120" w:type="dxa"/>
              <w:bottom w:w="80" w:type="dxa"/>
              <w:right w:w="120" w:type="dxa"/>
            </w:tcMar>
            <w:vAlign w:val="center"/>
          </w:tcPr>
          <w:p w14:paraId="02EDA900" w14:textId="77777777" w:rsidR="00A24315" w:rsidRDefault="00000000">
            <w:pPr>
              <w:pStyle w:val="MdTableCell"/>
            </w:pPr>
            <w:r>
              <w:t xml:space="preserve">Scale </w:t>
            </w:r>
            <w:proofErr w:type="gramStart"/>
            <w:r>
              <w:t>gap — 27 users</w:t>
            </w:r>
            <w:proofErr w:type="gramEnd"/>
            <w:r>
              <w:t xml:space="preserve"> vs 1 billion target creates credibility risk with institutional partners</w:t>
            </w:r>
          </w:p>
        </w:tc>
        <w:tc>
          <w:tcPr>
            <w:tcW w:w="0" w:type="auto"/>
            <w:tcMar>
              <w:top w:w="80" w:type="dxa"/>
              <w:left w:w="120" w:type="dxa"/>
              <w:bottom w:w="80" w:type="dxa"/>
              <w:right w:w="120" w:type="dxa"/>
            </w:tcMar>
            <w:vAlign w:val="center"/>
          </w:tcPr>
          <w:p w14:paraId="02EDA901" w14:textId="77777777" w:rsidR="00A24315" w:rsidRDefault="00000000">
            <w:pPr>
              <w:pStyle w:val="MdTableCell"/>
            </w:pPr>
            <w:r>
              <w:t>Medium</w:t>
            </w:r>
          </w:p>
        </w:tc>
        <w:tc>
          <w:tcPr>
            <w:tcW w:w="0" w:type="auto"/>
            <w:tcMar>
              <w:top w:w="80" w:type="dxa"/>
              <w:left w:w="120" w:type="dxa"/>
              <w:bottom w:w="80" w:type="dxa"/>
              <w:right w:w="120" w:type="dxa"/>
            </w:tcMar>
            <w:vAlign w:val="center"/>
          </w:tcPr>
          <w:p w14:paraId="02EDA902" w14:textId="77777777" w:rsidR="00A24315" w:rsidRDefault="00000000">
            <w:pPr>
              <w:pStyle w:val="MdTableCell"/>
            </w:pPr>
            <w:r>
              <w:t>Serious</w:t>
            </w:r>
          </w:p>
        </w:tc>
        <w:tc>
          <w:tcPr>
            <w:tcW w:w="0" w:type="auto"/>
            <w:tcMar>
              <w:top w:w="80" w:type="dxa"/>
              <w:left w:w="120" w:type="dxa"/>
              <w:bottom w:w="80" w:type="dxa"/>
              <w:right w:w="120" w:type="dxa"/>
            </w:tcMar>
            <w:vAlign w:val="center"/>
          </w:tcPr>
          <w:p w14:paraId="02EDA903" w14:textId="77777777" w:rsidR="00A24315" w:rsidRDefault="00000000">
            <w:pPr>
              <w:pStyle w:val="MdTableCell"/>
            </w:pPr>
            <w:r>
              <w:t xml:space="preserve">Reframe metrics: "27 founding users" not "27 of 1 billion." </w:t>
            </w:r>
            <w:proofErr w:type="gramStart"/>
            <w:r>
              <w:t>Celebrate</w:t>
            </w:r>
            <w:proofErr w:type="gramEnd"/>
            <w:r>
              <w:t xml:space="preserve"> early adopters</w:t>
            </w:r>
          </w:p>
        </w:tc>
      </w:tr>
      <w:tr w:rsidR="00A24315" w14:paraId="02EDA90A" w14:textId="77777777">
        <w:trPr>
          <w:cantSplit/>
          <w:trHeight w:val="576"/>
        </w:trPr>
        <w:tc>
          <w:tcPr>
            <w:tcW w:w="0" w:type="auto"/>
            <w:tcBorders>
              <w:bottom w:val="single" w:sz="4" w:space="0" w:color="E1E4E8"/>
            </w:tcBorders>
            <w:tcMar>
              <w:top w:w="80" w:type="dxa"/>
              <w:left w:w="120" w:type="dxa"/>
              <w:bottom w:w="80" w:type="dxa"/>
              <w:right w:w="120" w:type="dxa"/>
            </w:tcMar>
            <w:vAlign w:val="center"/>
          </w:tcPr>
          <w:p w14:paraId="02EDA905" w14:textId="77777777" w:rsidR="00A24315" w:rsidRDefault="00000000">
            <w:pPr>
              <w:pStyle w:val="MdTableCell"/>
            </w:pPr>
            <w:r>
              <w:t>5</w:t>
            </w:r>
          </w:p>
        </w:tc>
        <w:tc>
          <w:tcPr>
            <w:tcW w:w="0" w:type="auto"/>
            <w:tcBorders>
              <w:bottom w:val="single" w:sz="4" w:space="0" w:color="E1E4E8"/>
            </w:tcBorders>
            <w:tcMar>
              <w:top w:w="80" w:type="dxa"/>
              <w:left w:w="120" w:type="dxa"/>
              <w:bottom w:w="80" w:type="dxa"/>
              <w:right w:w="120" w:type="dxa"/>
            </w:tcMar>
            <w:vAlign w:val="center"/>
          </w:tcPr>
          <w:p w14:paraId="02EDA906" w14:textId="77777777" w:rsidR="00A24315" w:rsidRDefault="00000000">
            <w:pPr>
              <w:pStyle w:val="MdTableCell"/>
            </w:pPr>
            <w:r>
              <w:t>AI collaboration perception — some academics/institutions may dismiss AI-co-created content</w:t>
            </w:r>
          </w:p>
        </w:tc>
        <w:tc>
          <w:tcPr>
            <w:tcW w:w="0" w:type="auto"/>
            <w:tcBorders>
              <w:bottom w:val="single" w:sz="4" w:space="0" w:color="E1E4E8"/>
            </w:tcBorders>
            <w:tcMar>
              <w:top w:w="80" w:type="dxa"/>
              <w:left w:w="120" w:type="dxa"/>
              <w:bottom w:w="80" w:type="dxa"/>
              <w:right w:w="120" w:type="dxa"/>
            </w:tcMar>
            <w:vAlign w:val="center"/>
          </w:tcPr>
          <w:p w14:paraId="02EDA907" w14:textId="77777777" w:rsidR="00A24315" w:rsidRDefault="00000000">
            <w:pPr>
              <w:pStyle w:val="MdTableCell"/>
            </w:pPr>
            <w:r>
              <w:t>Medium</w:t>
            </w:r>
          </w:p>
        </w:tc>
        <w:tc>
          <w:tcPr>
            <w:tcW w:w="0" w:type="auto"/>
            <w:tcBorders>
              <w:bottom w:val="single" w:sz="4" w:space="0" w:color="E1E4E8"/>
            </w:tcBorders>
            <w:tcMar>
              <w:top w:w="80" w:type="dxa"/>
              <w:left w:w="120" w:type="dxa"/>
              <w:bottom w:w="80" w:type="dxa"/>
              <w:right w:w="120" w:type="dxa"/>
            </w:tcMar>
            <w:vAlign w:val="center"/>
          </w:tcPr>
          <w:p w14:paraId="02EDA908" w14:textId="77777777" w:rsidR="00A24315" w:rsidRDefault="00000000">
            <w:pPr>
              <w:pStyle w:val="MdTableCell"/>
            </w:pPr>
            <w:r>
              <w:t>Moderate</w:t>
            </w:r>
          </w:p>
        </w:tc>
        <w:tc>
          <w:tcPr>
            <w:tcW w:w="0" w:type="auto"/>
            <w:tcBorders>
              <w:bottom w:val="single" w:sz="4" w:space="0" w:color="E1E4E8"/>
            </w:tcBorders>
            <w:tcMar>
              <w:top w:w="80" w:type="dxa"/>
              <w:left w:w="120" w:type="dxa"/>
              <w:bottom w:w="80" w:type="dxa"/>
              <w:right w:w="120" w:type="dxa"/>
            </w:tcMar>
            <w:vAlign w:val="center"/>
          </w:tcPr>
          <w:p w14:paraId="02EDA909" w14:textId="77777777" w:rsidR="00A24315" w:rsidRDefault="00000000">
            <w:pPr>
              <w:pStyle w:val="MdTableCell"/>
            </w:pPr>
            <w:r>
              <w:t xml:space="preserve">Disclose transparently (as already done) and </w:t>
            </w:r>
            <w:proofErr w:type="spellStart"/>
            <w:r>
              <w:t>emphasise</w:t>
            </w:r>
            <w:proofErr w:type="spellEnd"/>
            <w:r>
              <w:t xml:space="preserve"> the human expertise driving the content</w:t>
            </w:r>
          </w:p>
        </w:tc>
      </w:tr>
    </w:tbl>
    <w:p w14:paraId="02EDA90B" w14:textId="77777777" w:rsidR="00A24315" w:rsidRDefault="00000000">
      <w:pPr>
        <w:pStyle w:val="MdParagraph"/>
      </w:pPr>
      <w:r>
        <w:rPr>
          <w:rStyle w:val="MdStrong"/>
        </w:rPr>
        <w:t>Is this ready for mid-March?</w:t>
      </w:r>
      <w:r>
        <w:t xml:space="preserve"> As a beta POC and company formation — yes. As a finished product for institutional sales — no. The signing ceremony should frame this as "the beginning" not "the launch." The media narrative should be: "Chartered Engineer and AI build </w:t>
      </w:r>
      <w:proofErr w:type="spellStart"/>
      <w:r>
        <w:t>civilisational</w:t>
      </w:r>
      <w:proofErr w:type="spellEnd"/>
      <w:r>
        <w:t xml:space="preserve"> education platform in 5 months — company formed to take it to 1 billion learners."</w:t>
      </w:r>
    </w:p>
    <w:p w14:paraId="02EDA90C" w14:textId="77777777" w:rsidR="00A24315" w:rsidRDefault="00A24315">
      <w:pPr>
        <w:pStyle w:val="MdSpace"/>
        <w:spacing w:after="60"/>
      </w:pPr>
    </w:p>
    <w:p w14:paraId="02EDA90D" w14:textId="77777777" w:rsidR="00A24315" w:rsidRDefault="00000000">
      <w:pPr>
        <w:pStyle w:val="MdParagraph"/>
      </w:pPr>
      <w:r>
        <w:rPr>
          <w:rStyle w:val="MdStrong"/>
        </w:rPr>
        <w:t>The friend test</w:t>
      </w:r>
      <w:r>
        <w:t xml:space="preserve">: If Nigel were my friend, I would say: "You've built something genuinely original in 5 months after losing everything. That takes courage and talent. The framework is sound. The vision is real. But you're trying to do too much at once. Pick the three things that matter most for mid-March and make them bulletproof. Everything else can wait. The pier must </w:t>
      </w:r>
      <w:proofErr w:type="gramStart"/>
      <w:r>
        <w:t>hold</w:t>
      </w:r>
      <w:proofErr w:type="gramEnd"/>
      <w:r>
        <w:t xml:space="preserve"> before you build the bridge."</w:t>
      </w:r>
    </w:p>
    <w:p w14:paraId="02EDA90E" w14:textId="77777777" w:rsidR="00A24315" w:rsidRDefault="00A24315">
      <w:pPr>
        <w:pStyle w:val="MdSpace"/>
        <w:spacing w:after="60"/>
      </w:pPr>
    </w:p>
    <w:p w14:paraId="02EDA90F" w14:textId="77777777" w:rsidR="00A24315" w:rsidRDefault="00A24315">
      <w:pPr>
        <w:pStyle w:val="MdHr"/>
        <w:pBdr>
          <w:bottom w:val="single" w:sz="6" w:space="1" w:color="auto"/>
        </w:pBdr>
      </w:pPr>
    </w:p>
    <w:p w14:paraId="02EDA910" w14:textId="77777777" w:rsidR="00A24315" w:rsidRDefault="00A24315">
      <w:pPr>
        <w:pStyle w:val="MdSpace"/>
        <w:spacing w:after="60"/>
      </w:pPr>
    </w:p>
    <w:p w14:paraId="02EDA911" w14:textId="77777777" w:rsidR="00A24315" w:rsidRDefault="00000000">
      <w:pPr>
        <w:pStyle w:val="MdHeading2"/>
      </w:pPr>
      <w:r>
        <w:t>REVIEW 2: GUIDED CAMPAIGN ASSESSMENT</w:t>
      </w:r>
    </w:p>
    <w:p w14:paraId="02EDA912" w14:textId="77777777" w:rsidR="00A24315" w:rsidRDefault="00000000">
      <w:pPr>
        <w:pStyle w:val="MdHeading3"/>
      </w:pPr>
      <w:r>
        <w:t>Stage-by-Stage Findings</w:t>
      </w:r>
    </w:p>
    <w:p w14:paraId="02EDA913" w14:textId="77777777" w:rsidR="00A24315" w:rsidRDefault="00000000">
      <w:pPr>
        <w:pStyle w:val="MdParagraph"/>
      </w:pPr>
      <w:r>
        <w:rPr>
          <w:rStyle w:val="MdStrong"/>
        </w:rPr>
        <w:t>Stage 1 — First Impressions</w:t>
      </w:r>
      <w:r>
        <w:t>: Professional. The hero panorama is genuinely striking. The gold/navy scheme is consistent. The BETA badge sets honest expectations. First impression is "ambitious and serious" not "amateur hobby project." Concern: navigation density (22 buttons) creates decision paralysis.</w:t>
      </w:r>
    </w:p>
    <w:p w14:paraId="02EDA914" w14:textId="77777777" w:rsidR="00A24315" w:rsidRDefault="00A24315">
      <w:pPr>
        <w:pStyle w:val="MdSpace"/>
        <w:spacing w:after="60"/>
      </w:pPr>
    </w:p>
    <w:p w14:paraId="02EDA915" w14:textId="77777777" w:rsidR="00A24315" w:rsidRDefault="00000000">
      <w:pPr>
        <w:pStyle w:val="MdParagraph"/>
      </w:pPr>
      <w:r>
        <w:rPr>
          <w:rStyle w:val="MdStrong"/>
        </w:rPr>
        <w:lastRenderedPageBreak/>
        <w:t>Stage 2 — Executive Precis</w:t>
      </w:r>
      <w:r>
        <w:t>: The writing is strong — literary but grounded. The relay summaries create genuine curiosity. The Tsiolkovsky opening quote is well-chosen. Concern: inconsistent depth across relays (Fire gets 4 paragraphs, others get 1).</w:t>
      </w:r>
    </w:p>
    <w:p w14:paraId="02EDA916" w14:textId="77777777" w:rsidR="00A24315" w:rsidRDefault="00A24315">
      <w:pPr>
        <w:pStyle w:val="MdSpace"/>
        <w:spacing w:after="60"/>
      </w:pPr>
    </w:p>
    <w:p w14:paraId="02EDA917" w14:textId="77777777" w:rsidR="00A24315" w:rsidRDefault="00000000">
      <w:pPr>
        <w:pStyle w:val="MdParagraph"/>
      </w:pPr>
      <w:r>
        <w:rPr>
          <w:rStyle w:val="MdStrong"/>
        </w:rPr>
        <w:t>Stage 3 — Framework</w:t>
      </w:r>
      <w:r>
        <w:t xml:space="preserve">: The 4 Framing Pillars (Infrastructure, Continuity, Unification, Sustainability) hold up. The 4 </w:t>
      </w:r>
      <w:proofErr w:type="spellStart"/>
      <w:r>
        <w:t>Civilisational</w:t>
      </w:r>
      <w:proofErr w:type="spellEnd"/>
      <w:r>
        <w:t xml:space="preserve"> Modes (Western Discontinuous, Eastern Continuous, Outrider Semi-Continuous, Unified Synthesis) are the core intellectual contribution — original and defensible. The 12-relay sequence is logical. A historian might challenge the Outrider category as oversimplified (lumping Scythians, Mongols, and maritime traders together), but as a pedagogical framework it works.</w:t>
      </w:r>
    </w:p>
    <w:p w14:paraId="02EDA918" w14:textId="77777777" w:rsidR="00A24315" w:rsidRDefault="00A24315">
      <w:pPr>
        <w:pStyle w:val="MdSpace"/>
        <w:spacing w:after="60"/>
      </w:pPr>
    </w:p>
    <w:p w14:paraId="02EDA919" w14:textId="77777777" w:rsidR="00A24315" w:rsidRDefault="00000000">
      <w:pPr>
        <w:pStyle w:val="MdParagraph"/>
      </w:pPr>
      <w:r>
        <w:rPr>
          <w:rStyle w:val="MdStrong"/>
        </w:rPr>
        <w:t>Stage 4 — Relay Chapters</w:t>
      </w:r>
      <w:r>
        <w:t>: Fire is the strongest — evocative writing, clear framework application. Loom connects textiles to computing (Jacquard → Babbage → Turing) effectively. Human Nodes frames AI and digital networks as the latest relay. Consistency of writing quality: 7/10. Narrative arc coherence: 8/10. Historical accuracy: 7/10 (broadly correct, some claims would benefit from citations). Educational vs philosophical: 60% philosophical, 40% educational — needs to shift toward 50/50 for curriculum credibility.</w:t>
      </w:r>
    </w:p>
    <w:p w14:paraId="02EDA91A" w14:textId="77777777" w:rsidR="00A24315" w:rsidRDefault="00A24315">
      <w:pPr>
        <w:pStyle w:val="MdSpace"/>
        <w:spacing w:after="60"/>
      </w:pPr>
    </w:p>
    <w:p w14:paraId="02EDA91B" w14:textId="77777777" w:rsidR="00A24315" w:rsidRDefault="00000000">
      <w:pPr>
        <w:pStyle w:val="MdParagraph"/>
      </w:pPr>
      <w:r>
        <w:rPr>
          <w:rStyle w:val="MdStrong"/>
        </w:rPr>
        <w:t>Stage 5 — Game Play-Through</w:t>
      </w:r>
      <w:r>
        <w:t xml:space="preserve">: Played Relay 1: Fire completely. Reached Discovery 3/14 and scored +150K XP through Knowledge Challenge. The SITF party system is the standout feature — Aurora, Marcus, and Zara provide genuinely different perspectives. The </w:t>
      </w:r>
      <w:proofErr w:type="gramStart"/>
      <w:r>
        <w:t>dual-path</w:t>
      </w:r>
      <w:proofErr w:type="gramEnd"/>
      <w:r>
        <w:t xml:space="preserve"> (Sage/Builder) is smart. The discovery mechanic works but could be more interactive (currently tap-to-reveal rather than puzzle-to-unlock). Did not reach 24M — would require completing all 12 relays. Estimate: 6-10 hours for full completion.</w:t>
      </w:r>
    </w:p>
    <w:p w14:paraId="02EDA91C" w14:textId="77777777" w:rsidR="00A24315" w:rsidRDefault="00A24315">
      <w:pPr>
        <w:pStyle w:val="MdSpace"/>
        <w:spacing w:after="60"/>
      </w:pPr>
    </w:p>
    <w:p w14:paraId="02EDA91D" w14:textId="77777777" w:rsidR="00A24315" w:rsidRDefault="00000000">
      <w:pPr>
        <w:pStyle w:val="MdParagraph"/>
      </w:pPr>
      <w:r>
        <w:rPr>
          <w:rStyle w:val="MdStrong"/>
        </w:rPr>
        <w:t xml:space="preserve">Stage 6 — </w:t>
      </w:r>
      <w:proofErr w:type="spellStart"/>
      <w:r>
        <w:rPr>
          <w:rStyle w:val="MdStrong"/>
        </w:rPr>
        <w:t>Mobilisation</w:t>
      </w:r>
      <w:proofErr w:type="spellEnd"/>
      <w:r>
        <w:rPr>
          <w:rStyle w:val="MdStrong"/>
        </w:rPr>
        <w:t xml:space="preserve"> Clock &amp; Olympiad</w:t>
      </w:r>
      <w:r>
        <w:t xml:space="preserve">: The </w:t>
      </w:r>
      <w:proofErr w:type="spellStart"/>
      <w:r>
        <w:t>Mobilisation</w:t>
      </w:r>
      <w:proofErr w:type="spellEnd"/>
      <w:r>
        <w:t xml:space="preserve"> Clock is aspirational. 27 users </w:t>
      </w:r>
      <w:proofErr w:type="gramStart"/>
      <w:r>
        <w:t>is</w:t>
      </w:r>
      <w:proofErr w:type="gramEnd"/>
      <w:r>
        <w:t xml:space="preserve"> honest but the 1-billion target displayed alongside it creates a credibility gap. The Olympiad concept is strong but needs a pilot programme before institutional presentation.</w:t>
      </w:r>
    </w:p>
    <w:p w14:paraId="02EDA91E" w14:textId="77777777" w:rsidR="00A24315" w:rsidRDefault="00A24315">
      <w:pPr>
        <w:pStyle w:val="MdSpace"/>
        <w:spacing w:after="60"/>
      </w:pPr>
    </w:p>
    <w:p w14:paraId="02EDA91F" w14:textId="77777777" w:rsidR="00A24315" w:rsidRDefault="00000000">
      <w:pPr>
        <w:pStyle w:val="MdParagraph"/>
      </w:pPr>
      <w:r>
        <w:rPr>
          <w:rStyle w:val="MdStrong"/>
        </w:rPr>
        <w:t>Stage 7 — Library &amp; Supporting Material</w:t>
      </w:r>
      <w:r>
        <w:t>: The Library, Archive, Taxonomy, Glossary, and Scholars pages are comprehensive in structure but variable in depth. The Taxonomy is well-</w:t>
      </w:r>
      <w:proofErr w:type="spellStart"/>
      <w:r>
        <w:t>organised</w:t>
      </w:r>
      <w:proofErr w:type="spellEnd"/>
      <w:r>
        <w:t>. The Glossary is useful. The Archive feels like a placeholder in some sections. The Scholars page (6 historical scholars + the 7th Voice) is a creative framing device.</w:t>
      </w:r>
    </w:p>
    <w:p w14:paraId="02EDA920" w14:textId="77777777" w:rsidR="00A24315" w:rsidRDefault="00A24315">
      <w:pPr>
        <w:pStyle w:val="MdSpace"/>
        <w:spacing w:after="60"/>
      </w:pPr>
    </w:p>
    <w:p w14:paraId="02EDA921" w14:textId="77777777" w:rsidR="00A24315" w:rsidRDefault="00000000">
      <w:pPr>
        <w:pStyle w:val="MdParagraph"/>
      </w:pPr>
      <w:r>
        <w:rPr>
          <w:rStyle w:val="MdStrong"/>
        </w:rPr>
        <w:t>Stage 8 — Trojan Horse</w:t>
      </w:r>
      <w:r>
        <w:t>: Disclosed strategy is smart, not deceptive. The triple IP model is well-designed. Viability depends entirely on scale — at 27 users</w:t>
      </w:r>
      <w:proofErr w:type="gramStart"/>
      <w:r>
        <w:t>, the</w:t>
      </w:r>
      <w:proofErr w:type="gramEnd"/>
      <w:r>
        <w:t xml:space="preserve"> data asset has no value. At 1M users, it becomes interesting. At 100M, it becomes valuable. The question is whether the platform can traverse from 27 to 1M.</w:t>
      </w:r>
    </w:p>
    <w:p w14:paraId="02EDA922" w14:textId="77777777" w:rsidR="00A24315" w:rsidRDefault="00A24315">
      <w:pPr>
        <w:pStyle w:val="MdSpace"/>
        <w:spacing w:after="60"/>
      </w:pPr>
    </w:p>
    <w:p w14:paraId="02EDA923" w14:textId="77777777" w:rsidR="00A24315" w:rsidRDefault="00000000">
      <w:pPr>
        <w:pStyle w:val="MdHeading3"/>
      </w:pPr>
      <w:r>
        <w:t>Guided Campaign Scorecard</w:t>
      </w:r>
    </w:p>
    <w:tbl>
      <w:tblPr>
        <w:tblW w:w="5000" w:type="pct"/>
        <w:tblBorders>
          <w:top w:val="single" w:sz="4" w:space="0" w:color="E1E4E8"/>
          <w:bottom w:val="single" w:sz="4" w:space="0" w:color="E1E4E8"/>
          <w:insideH w:val="single" w:sz="2" w:space="0" w:color="E1E4E8"/>
          <w:insideV w:val="single" w:sz="2" w:space="0" w:color="F6F8FA"/>
        </w:tblBorders>
        <w:tblCellMar>
          <w:left w:w="10" w:type="dxa"/>
          <w:right w:w="10" w:type="dxa"/>
        </w:tblCellMar>
        <w:tblLook w:val="0000" w:firstRow="0" w:lastRow="0" w:firstColumn="0" w:lastColumn="0" w:noHBand="0" w:noVBand="0"/>
      </w:tblPr>
      <w:tblGrid>
        <w:gridCol w:w="2711"/>
        <w:gridCol w:w="1392"/>
        <w:gridCol w:w="4923"/>
      </w:tblGrid>
      <w:tr w:rsidR="00A24315" w14:paraId="02EDA927" w14:textId="77777777">
        <w:trPr>
          <w:cantSplit/>
          <w:trHeight w:val="720"/>
          <w:tblHeader/>
        </w:trPr>
        <w:tc>
          <w:tcPr>
            <w:tcW w:w="0" w:type="auto"/>
            <w:tcMar>
              <w:top w:w="100" w:type="dxa"/>
              <w:left w:w="120" w:type="dxa"/>
              <w:bottom w:w="100" w:type="dxa"/>
              <w:right w:w="120" w:type="dxa"/>
            </w:tcMar>
            <w:vAlign w:val="center"/>
          </w:tcPr>
          <w:p w14:paraId="02EDA924" w14:textId="77777777" w:rsidR="00A24315" w:rsidRDefault="00000000">
            <w:pPr>
              <w:pStyle w:val="MdTableHeader"/>
            </w:pPr>
            <w:r>
              <w:t>Category</w:t>
            </w:r>
          </w:p>
        </w:tc>
        <w:tc>
          <w:tcPr>
            <w:tcW w:w="0" w:type="auto"/>
            <w:tcMar>
              <w:top w:w="100" w:type="dxa"/>
              <w:left w:w="120" w:type="dxa"/>
              <w:bottom w:w="100" w:type="dxa"/>
              <w:right w:w="120" w:type="dxa"/>
            </w:tcMar>
            <w:vAlign w:val="center"/>
          </w:tcPr>
          <w:p w14:paraId="02EDA925" w14:textId="77777777" w:rsidR="00A24315" w:rsidRDefault="00000000">
            <w:pPr>
              <w:pStyle w:val="MdTableHeader"/>
            </w:pPr>
            <w:r>
              <w:t>Score (1-100)</w:t>
            </w:r>
          </w:p>
        </w:tc>
        <w:tc>
          <w:tcPr>
            <w:tcW w:w="0" w:type="auto"/>
            <w:tcMar>
              <w:top w:w="100" w:type="dxa"/>
              <w:left w:w="120" w:type="dxa"/>
              <w:bottom w:w="100" w:type="dxa"/>
              <w:right w:w="120" w:type="dxa"/>
            </w:tcMar>
            <w:vAlign w:val="center"/>
          </w:tcPr>
          <w:p w14:paraId="02EDA926" w14:textId="77777777" w:rsidR="00A24315" w:rsidRDefault="00000000">
            <w:pPr>
              <w:pStyle w:val="MdTableHeader"/>
            </w:pPr>
            <w:r>
              <w:t>Notes</w:t>
            </w:r>
          </w:p>
        </w:tc>
      </w:tr>
      <w:tr w:rsidR="00A24315" w14:paraId="02EDA92B" w14:textId="77777777">
        <w:trPr>
          <w:cantSplit/>
          <w:trHeight w:val="576"/>
        </w:trPr>
        <w:tc>
          <w:tcPr>
            <w:tcW w:w="0" w:type="auto"/>
            <w:tcMar>
              <w:top w:w="80" w:type="dxa"/>
              <w:left w:w="120" w:type="dxa"/>
              <w:bottom w:w="80" w:type="dxa"/>
              <w:right w:w="120" w:type="dxa"/>
            </w:tcMar>
            <w:vAlign w:val="center"/>
          </w:tcPr>
          <w:p w14:paraId="02EDA928" w14:textId="77777777" w:rsidR="00A24315" w:rsidRDefault="00000000">
            <w:pPr>
              <w:pStyle w:val="MdTableCell"/>
            </w:pPr>
            <w:r>
              <w:t>Content Quality &amp; Accuracy</w:t>
            </w:r>
          </w:p>
        </w:tc>
        <w:tc>
          <w:tcPr>
            <w:tcW w:w="0" w:type="auto"/>
            <w:tcMar>
              <w:top w:w="80" w:type="dxa"/>
              <w:left w:w="120" w:type="dxa"/>
              <w:bottom w:w="80" w:type="dxa"/>
              <w:right w:w="120" w:type="dxa"/>
            </w:tcMar>
            <w:vAlign w:val="center"/>
          </w:tcPr>
          <w:p w14:paraId="02EDA929" w14:textId="77777777" w:rsidR="00A24315" w:rsidRDefault="00000000">
            <w:pPr>
              <w:pStyle w:val="MdTableCell"/>
            </w:pPr>
            <w:r>
              <w:t>72</w:t>
            </w:r>
          </w:p>
        </w:tc>
        <w:tc>
          <w:tcPr>
            <w:tcW w:w="0" w:type="auto"/>
            <w:tcMar>
              <w:top w:w="80" w:type="dxa"/>
              <w:left w:w="120" w:type="dxa"/>
              <w:bottom w:w="80" w:type="dxa"/>
              <w:right w:w="120" w:type="dxa"/>
            </w:tcMar>
            <w:vAlign w:val="center"/>
          </w:tcPr>
          <w:p w14:paraId="02EDA92A" w14:textId="77777777" w:rsidR="00A24315" w:rsidRDefault="00000000">
            <w:pPr>
              <w:pStyle w:val="MdTableCell"/>
            </w:pPr>
            <w:r>
              <w:t>Strong framework, thin execution per relay</w:t>
            </w:r>
          </w:p>
        </w:tc>
      </w:tr>
      <w:tr w:rsidR="00A24315" w14:paraId="02EDA92F" w14:textId="77777777">
        <w:trPr>
          <w:cantSplit/>
          <w:trHeight w:val="576"/>
        </w:trPr>
        <w:tc>
          <w:tcPr>
            <w:tcW w:w="0" w:type="auto"/>
            <w:tcMar>
              <w:top w:w="80" w:type="dxa"/>
              <w:left w:w="120" w:type="dxa"/>
              <w:bottom w:w="80" w:type="dxa"/>
              <w:right w:w="120" w:type="dxa"/>
            </w:tcMar>
            <w:vAlign w:val="center"/>
          </w:tcPr>
          <w:p w14:paraId="02EDA92C" w14:textId="77777777" w:rsidR="00A24315" w:rsidRDefault="00000000">
            <w:pPr>
              <w:pStyle w:val="MdTableCell"/>
            </w:pPr>
            <w:r>
              <w:lastRenderedPageBreak/>
              <w:t>Website Design &amp; UX</w:t>
            </w:r>
          </w:p>
        </w:tc>
        <w:tc>
          <w:tcPr>
            <w:tcW w:w="0" w:type="auto"/>
            <w:tcMar>
              <w:top w:w="80" w:type="dxa"/>
              <w:left w:w="120" w:type="dxa"/>
              <w:bottom w:w="80" w:type="dxa"/>
              <w:right w:w="120" w:type="dxa"/>
            </w:tcMar>
            <w:vAlign w:val="center"/>
          </w:tcPr>
          <w:p w14:paraId="02EDA92D" w14:textId="77777777" w:rsidR="00A24315" w:rsidRDefault="00000000">
            <w:pPr>
              <w:pStyle w:val="MdTableCell"/>
            </w:pPr>
            <w:r>
              <w:t>78</w:t>
            </w:r>
          </w:p>
        </w:tc>
        <w:tc>
          <w:tcPr>
            <w:tcW w:w="0" w:type="auto"/>
            <w:tcMar>
              <w:top w:w="80" w:type="dxa"/>
              <w:left w:w="120" w:type="dxa"/>
              <w:bottom w:w="80" w:type="dxa"/>
              <w:right w:w="120" w:type="dxa"/>
            </w:tcMar>
            <w:vAlign w:val="center"/>
          </w:tcPr>
          <w:p w14:paraId="02EDA92E" w14:textId="77777777" w:rsidR="00A24315" w:rsidRDefault="00000000">
            <w:pPr>
              <w:pStyle w:val="MdTableCell"/>
            </w:pPr>
            <w:r>
              <w:t>Visually impressive, navigation needs simplification</w:t>
            </w:r>
          </w:p>
        </w:tc>
      </w:tr>
      <w:tr w:rsidR="00A24315" w14:paraId="02EDA933" w14:textId="77777777">
        <w:trPr>
          <w:cantSplit/>
          <w:trHeight w:val="576"/>
        </w:trPr>
        <w:tc>
          <w:tcPr>
            <w:tcW w:w="0" w:type="auto"/>
            <w:tcMar>
              <w:top w:w="80" w:type="dxa"/>
              <w:left w:w="120" w:type="dxa"/>
              <w:bottom w:w="80" w:type="dxa"/>
              <w:right w:w="120" w:type="dxa"/>
            </w:tcMar>
            <w:vAlign w:val="center"/>
          </w:tcPr>
          <w:p w14:paraId="02EDA930" w14:textId="77777777" w:rsidR="00A24315" w:rsidRDefault="00000000">
            <w:pPr>
              <w:pStyle w:val="MdTableCell"/>
            </w:pPr>
            <w:r>
              <w:t>Game Design &amp; Engagement</w:t>
            </w:r>
          </w:p>
        </w:tc>
        <w:tc>
          <w:tcPr>
            <w:tcW w:w="0" w:type="auto"/>
            <w:tcMar>
              <w:top w:w="80" w:type="dxa"/>
              <w:left w:w="120" w:type="dxa"/>
              <w:bottom w:w="80" w:type="dxa"/>
              <w:right w:w="120" w:type="dxa"/>
            </w:tcMar>
            <w:vAlign w:val="center"/>
          </w:tcPr>
          <w:p w14:paraId="02EDA931" w14:textId="77777777" w:rsidR="00A24315" w:rsidRDefault="00000000">
            <w:pPr>
              <w:pStyle w:val="MdTableCell"/>
            </w:pPr>
            <w:r>
              <w:t>75</w:t>
            </w:r>
          </w:p>
        </w:tc>
        <w:tc>
          <w:tcPr>
            <w:tcW w:w="0" w:type="auto"/>
            <w:tcMar>
              <w:top w:w="80" w:type="dxa"/>
              <w:left w:w="120" w:type="dxa"/>
              <w:bottom w:w="80" w:type="dxa"/>
              <w:right w:w="120" w:type="dxa"/>
            </w:tcMar>
            <w:vAlign w:val="center"/>
          </w:tcPr>
          <w:p w14:paraId="02EDA932" w14:textId="77777777" w:rsidR="00A24315" w:rsidRDefault="00000000">
            <w:pPr>
              <w:pStyle w:val="MdTableCell"/>
            </w:pPr>
            <w:r>
              <w:t xml:space="preserve">Sound </w:t>
            </w:r>
            <w:proofErr w:type="gramStart"/>
            <w:r>
              <w:t>architecture,</w:t>
            </w:r>
            <w:proofErr w:type="gramEnd"/>
            <w:r>
              <w:t xml:space="preserve"> needs more interactive depth</w:t>
            </w:r>
          </w:p>
        </w:tc>
      </w:tr>
      <w:tr w:rsidR="00A24315" w14:paraId="02EDA937" w14:textId="77777777">
        <w:trPr>
          <w:cantSplit/>
          <w:trHeight w:val="576"/>
        </w:trPr>
        <w:tc>
          <w:tcPr>
            <w:tcW w:w="0" w:type="auto"/>
            <w:tcMar>
              <w:top w:w="80" w:type="dxa"/>
              <w:left w:w="120" w:type="dxa"/>
              <w:bottom w:w="80" w:type="dxa"/>
              <w:right w:w="120" w:type="dxa"/>
            </w:tcMar>
            <w:vAlign w:val="center"/>
          </w:tcPr>
          <w:p w14:paraId="02EDA934" w14:textId="77777777" w:rsidR="00A24315" w:rsidRDefault="00000000">
            <w:pPr>
              <w:pStyle w:val="MdTableCell"/>
            </w:pPr>
            <w:r>
              <w:t>Educational Value &amp; Depth</w:t>
            </w:r>
          </w:p>
        </w:tc>
        <w:tc>
          <w:tcPr>
            <w:tcW w:w="0" w:type="auto"/>
            <w:tcMar>
              <w:top w:w="80" w:type="dxa"/>
              <w:left w:w="120" w:type="dxa"/>
              <w:bottom w:w="80" w:type="dxa"/>
              <w:right w:w="120" w:type="dxa"/>
            </w:tcMar>
            <w:vAlign w:val="center"/>
          </w:tcPr>
          <w:p w14:paraId="02EDA935" w14:textId="77777777" w:rsidR="00A24315" w:rsidRDefault="00000000">
            <w:pPr>
              <w:pStyle w:val="MdTableCell"/>
            </w:pPr>
            <w:r>
              <w:t>68</w:t>
            </w:r>
          </w:p>
        </w:tc>
        <w:tc>
          <w:tcPr>
            <w:tcW w:w="0" w:type="auto"/>
            <w:tcMar>
              <w:top w:w="80" w:type="dxa"/>
              <w:left w:w="120" w:type="dxa"/>
              <w:bottom w:w="80" w:type="dxa"/>
              <w:right w:w="120" w:type="dxa"/>
            </w:tcMar>
            <w:vAlign w:val="center"/>
          </w:tcPr>
          <w:p w14:paraId="02EDA936" w14:textId="77777777" w:rsidR="00A24315" w:rsidRDefault="00000000">
            <w:pPr>
              <w:pStyle w:val="MdTableCell"/>
            </w:pPr>
            <w:r>
              <w:t xml:space="preserve">Philosophical &gt; educational currently; needs more </w:t>
            </w:r>
            <w:proofErr w:type="spellStart"/>
            <w:r>
              <w:t>rigour</w:t>
            </w:r>
            <w:proofErr w:type="spellEnd"/>
          </w:p>
        </w:tc>
      </w:tr>
      <w:tr w:rsidR="00A24315" w14:paraId="02EDA93B" w14:textId="77777777">
        <w:trPr>
          <w:cantSplit/>
          <w:trHeight w:val="576"/>
        </w:trPr>
        <w:tc>
          <w:tcPr>
            <w:tcW w:w="0" w:type="auto"/>
            <w:tcMar>
              <w:top w:w="80" w:type="dxa"/>
              <w:left w:w="120" w:type="dxa"/>
              <w:bottom w:w="80" w:type="dxa"/>
              <w:right w:w="120" w:type="dxa"/>
            </w:tcMar>
            <w:vAlign w:val="center"/>
          </w:tcPr>
          <w:p w14:paraId="02EDA938" w14:textId="77777777" w:rsidR="00A24315" w:rsidRDefault="00000000">
            <w:pPr>
              <w:pStyle w:val="MdTableCell"/>
            </w:pPr>
            <w:r>
              <w:t>Commercial Strategy &amp; Viability</w:t>
            </w:r>
          </w:p>
        </w:tc>
        <w:tc>
          <w:tcPr>
            <w:tcW w:w="0" w:type="auto"/>
            <w:tcMar>
              <w:top w:w="80" w:type="dxa"/>
              <w:left w:w="120" w:type="dxa"/>
              <w:bottom w:w="80" w:type="dxa"/>
              <w:right w:w="120" w:type="dxa"/>
            </w:tcMar>
            <w:vAlign w:val="center"/>
          </w:tcPr>
          <w:p w14:paraId="02EDA939" w14:textId="77777777" w:rsidR="00A24315" w:rsidRDefault="00000000">
            <w:pPr>
              <w:pStyle w:val="MdTableCell"/>
            </w:pPr>
            <w:r>
              <w:t>70</w:t>
            </w:r>
          </w:p>
        </w:tc>
        <w:tc>
          <w:tcPr>
            <w:tcW w:w="0" w:type="auto"/>
            <w:tcMar>
              <w:top w:w="80" w:type="dxa"/>
              <w:left w:w="120" w:type="dxa"/>
              <w:bottom w:w="80" w:type="dxa"/>
              <w:right w:w="120" w:type="dxa"/>
            </w:tcMar>
            <w:vAlign w:val="center"/>
          </w:tcPr>
          <w:p w14:paraId="02EDA93A" w14:textId="77777777" w:rsidR="00A24315" w:rsidRDefault="00000000">
            <w:pPr>
              <w:pStyle w:val="MdTableCell"/>
            </w:pPr>
            <w:r>
              <w:t>Smart architecture, scale is the existential question</w:t>
            </w:r>
          </w:p>
        </w:tc>
      </w:tr>
      <w:tr w:rsidR="00A24315" w14:paraId="02EDA93F" w14:textId="77777777">
        <w:trPr>
          <w:cantSplit/>
          <w:trHeight w:val="576"/>
        </w:trPr>
        <w:tc>
          <w:tcPr>
            <w:tcW w:w="0" w:type="auto"/>
            <w:tcMar>
              <w:top w:w="80" w:type="dxa"/>
              <w:left w:w="120" w:type="dxa"/>
              <w:bottom w:w="80" w:type="dxa"/>
              <w:right w:w="120" w:type="dxa"/>
            </w:tcMar>
            <w:vAlign w:val="center"/>
          </w:tcPr>
          <w:p w14:paraId="02EDA93C" w14:textId="77777777" w:rsidR="00A24315" w:rsidRDefault="00000000">
            <w:pPr>
              <w:pStyle w:val="MdTableCell"/>
            </w:pPr>
            <w:r>
              <w:t>Innovation &amp; Originality</w:t>
            </w:r>
          </w:p>
        </w:tc>
        <w:tc>
          <w:tcPr>
            <w:tcW w:w="0" w:type="auto"/>
            <w:tcMar>
              <w:top w:w="80" w:type="dxa"/>
              <w:left w:w="120" w:type="dxa"/>
              <w:bottom w:w="80" w:type="dxa"/>
              <w:right w:w="120" w:type="dxa"/>
            </w:tcMar>
            <w:vAlign w:val="center"/>
          </w:tcPr>
          <w:p w14:paraId="02EDA93D" w14:textId="77777777" w:rsidR="00A24315" w:rsidRDefault="00000000">
            <w:pPr>
              <w:pStyle w:val="MdTableCell"/>
            </w:pPr>
            <w:r>
              <w:t>88</w:t>
            </w:r>
          </w:p>
        </w:tc>
        <w:tc>
          <w:tcPr>
            <w:tcW w:w="0" w:type="auto"/>
            <w:tcMar>
              <w:top w:w="80" w:type="dxa"/>
              <w:left w:w="120" w:type="dxa"/>
              <w:bottom w:w="80" w:type="dxa"/>
              <w:right w:w="120" w:type="dxa"/>
            </w:tcMar>
            <w:vAlign w:val="center"/>
          </w:tcPr>
          <w:p w14:paraId="02EDA93E" w14:textId="77777777" w:rsidR="00A24315" w:rsidRDefault="00000000">
            <w:pPr>
              <w:pStyle w:val="MdTableCell"/>
            </w:pPr>
            <w:r>
              <w:t>The 12-relay framework and SITF system are genuinely original</w:t>
            </w:r>
          </w:p>
        </w:tc>
      </w:tr>
      <w:tr w:rsidR="00A24315" w14:paraId="02EDA943" w14:textId="77777777">
        <w:trPr>
          <w:cantSplit/>
          <w:trHeight w:val="576"/>
        </w:trPr>
        <w:tc>
          <w:tcPr>
            <w:tcW w:w="0" w:type="auto"/>
            <w:tcMar>
              <w:top w:w="80" w:type="dxa"/>
              <w:left w:w="120" w:type="dxa"/>
              <w:bottom w:w="80" w:type="dxa"/>
              <w:right w:w="120" w:type="dxa"/>
            </w:tcMar>
            <w:vAlign w:val="center"/>
          </w:tcPr>
          <w:p w14:paraId="02EDA940" w14:textId="77777777" w:rsidR="00A24315" w:rsidRDefault="00000000">
            <w:pPr>
              <w:pStyle w:val="MdTableCell"/>
            </w:pPr>
            <w:r>
              <w:t>Launch Readiness (Mid-March)</w:t>
            </w:r>
          </w:p>
        </w:tc>
        <w:tc>
          <w:tcPr>
            <w:tcW w:w="0" w:type="auto"/>
            <w:tcMar>
              <w:top w:w="80" w:type="dxa"/>
              <w:left w:w="120" w:type="dxa"/>
              <w:bottom w:w="80" w:type="dxa"/>
              <w:right w:w="120" w:type="dxa"/>
            </w:tcMar>
            <w:vAlign w:val="center"/>
          </w:tcPr>
          <w:p w14:paraId="02EDA941" w14:textId="77777777" w:rsidR="00A24315" w:rsidRDefault="00000000">
            <w:pPr>
              <w:pStyle w:val="MdTableCell"/>
            </w:pPr>
            <w:r>
              <w:t>65</w:t>
            </w:r>
          </w:p>
        </w:tc>
        <w:tc>
          <w:tcPr>
            <w:tcW w:w="0" w:type="auto"/>
            <w:tcMar>
              <w:top w:w="80" w:type="dxa"/>
              <w:left w:w="120" w:type="dxa"/>
              <w:bottom w:w="80" w:type="dxa"/>
              <w:right w:w="120" w:type="dxa"/>
            </w:tcMar>
            <w:vAlign w:val="center"/>
          </w:tcPr>
          <w:p w14:paraId="02EDA942" w14:textId="77777777" w:rsidR="00A24315" w:rsidRDefault="00000000">
            <w:pPr>
              <w:pStyle w:val="MdTableCell"/>
            </w:pPr>
            <w:r>
              <w:t>Ready as beta POC, not as finished product</w:t>
            </w:r>
          </w:p>
        </w:tc>
      </w:tr>
      <w:tr w:rsidR="00A24315" w14:paraId="02EDA947" w14:textId="77777777">
        <w:trPr>
          <w:cantSplit/>
          <w:trHeight w:val="576"/>
        </w:trPr>
        <w:tc>
          <w:tcPr>
            <w:tcW w:w="0" w:type="auto"/>
            <w:tcMar>
              <w:top w:w="80" w:type="dxa"/>
              <w:left w:w="120" w:type="dxa"/>
              <w:bottom w:w="80" w:type="dxa"/>
              <w:right w:w="120" w:type="dxa"/>
            </w:tcMar>
            <w:vAlign w:val="center"/>
          </w:tcPr>
          <w:p w14:paraId="02EDA944" w14:textId="77777777" w:rsidR="00A24315" w:rsidRDefault="00000000">
            <w:pPr>
              <w:pStyle w:val="MdTableCell"/>
            </w:pPr>
            <w:r>
              <w:t>Man + Machine Collaboration</w:t>
            </w:r>
          </w:p>
        </w:tc>
        <w:tc>
          <w:tcPr>
            <w:tcW w:w="0" w:type="auto"/>
            <w:tcMar>
              <w:top w:w="80" w:type="dxa"/>
              <w:left w:w="120" w:type="dxa"/>
              <w:bottom w:w="80" w:type="dxa"/>
              <w:right w:w="120" w:type="dxa"/>
            </w:tcMar>
            <w:vAlign w:val="center"/>
          </w:tcPr>
          <w:p w14:paraId="02EDA945" w14:textId="77777777" w:rsidR="00A24315" w:rsidRDefault="00000000">
            <w:pPr>
              <w:pStyle w:val="MdTableCell"/>
            </w:pPr>
            <w:r>
              <w:t>82</w:t>
            </w:r>
          </w:p>
        </w:tc>
        <w:tc>
          <w:tcPr>
            <w:tcW w:w="0" w:type="auto"/>
            <w:tcMar>
              <w:top w:w="80" w:type="dxa"/>
              <w:left w:w="120" w:type="dxa"/>
              <w:bottom w:w="80" w:type="dxa"/>
              <w:right w:w="120" w:type="dxa"/>
            </w:tcMar>
            <w:vAlign w:val="center"/>
          </w:tcPr>
          <w:p w14:paraId="02EDA946" w14:textId="77777777" w:rsidR="00A24315" w:rsidRDefault="00000000">
            <w:pPr>
              <w:pStyle w:val="MdTableCell"/>
            </w:pPr>
            <w:r>
              <w:t>Demonstrably effective partnership</w:t>
            </w:r>
          </w:p>
        </w:tc>
      </w:tr>
      <w:tr w:rsidR="00A24315" w14:paraId="02EDA94B" w14:textId="77777777">
        <w:trPr>
          <w:cantSplit/>
          <w:trHeight w:val="576"/>
        </w:trPr>
        <w:tc>
          <w:tcPr>
            <w:tcW w:w="0" w:type="auto"/>
            <w:tcBorders>
              <w:bottom w:val="single" w:sz="4" w:space="0" w:color="E1E4E8"/>
            </w:tcBorders>
            <w:tcMar>
              <w:top w:w="80" w:type="dxa"/>
              <w:left w:w="120" w:type="dxa"/>
              <w:bottom w:w="80" w:type="dxa"/>
              <w:right w:w="120" w:type="dxa"/>
            </w:tcMar>
            <w:vAlign w:val="center"/>
          </w:tcPr>
          <w:p w14:paraId="02EDA948" w14:textId="77777777" w:rsidR="00A24315" w:rsidRDefault="00000000">
            <w:pPr>
              <w:pStyle w:val="MdTableCell"/>
            </w:pPr>
            <w:r>
              <w:rPr>
                <w:rStyle w:val="MdStrong"/>
              </w:rPr>
              <w:t>WEIGHTED TOTAL</w:t>
            </w:r>
          </w:p>
        </w:tc>
        <w:tc>
          <w:tcPr>
            <w:tcW w:w="0" w:type="auto"/>
            <w:tcBorders>
              <w:bottom w:val="single" w:sz="4" w:space="0" w:color="E1E4E8"/>
            </w:tcBorders>
            <w:tcMar>
              <w:top w:w="80" w:type="dxa"/>
              <w:left w:w="120" w:type="dxa"/>
              <w:bottom w:w="80" w:type="dxa"/>
              <w:right w:w="120" w:type="dxa"/>
            </w:tcMar>
            <w:vAlign w:val="center"/>
          </w:tcPr>
          <w:p w14:paraId="02EDA949" w14:textId="77777777" w:rsidR="00A24315" w:rsidRDefault="00000000">
            <w:pPr>
              <w:pStyle w:val="MdTableCell"/>
            </w:pPr>
            <w:r>
              <w:rPr>
                <w:rStyle w:val="MdStrong"/>
              </w:rPr>
              <w:t>75/100</w:t>
            </w:r>
          </w:p>
        </w:tc>
        <w:tc>
          <w:tcPr>
            <w:tcW w:w="0" w:type="auto"/>
            <w:tcBorders>
              <w:bottom w:val="single" w:sz="4" w:space="0" w:color="E1E4E8"/>
            </w:tcBorders>
            <w:tcMar>
              <w:top w:w="80" w:type="dxa"/>
              <w:left w:w="120" w:type="dxa"/>
              <w:bottom w:w="80" w:type="dxa"/>
              <w:right w:w="120" w:type="dxa"/>
            </w:tcMar>
            <w:vAlign w:val="center"/>
          </w:tcPr>
          <w:p w14:paraId="02EDA94A" w14:textId="77777777" w:rsidR="00A24315" w:rsidRDefault="00000000">
            <w:pPr>
              <w:pStyle w:val="MdTableCell"/>
            </w:pPr>
            <w:r>
              <w:rPr>
                <w:rStyle w:val="MdStrong"/>
              </w:rPr>
              <w:t>CONDITIONAL GO</w:t>
            </w:r>
          </w:p>
        </w:tc>
      </w:tr>
    </w:tbl>
    <w:p w14:paraId="02EDA94C" w14:textId="77777777" w:rsidR="00A24315" w:rsidRDefault="00A24315">
      <w:pPr>
        <w:pStyle w:val="MdHr"/>
        <w:pBdr>
          <w:bottom w:val="single" w:sz="6" w:space="1" w:color="auto"/>
        </w:pBdr>
      </w:pPr>
    </w:p>
    <w:p w14:paraId="02EDA94D" w14:textId="77777777" w:rsidR="00A24315" w:rsidRDefault="00A24315">
      <w:pPr>
        <w:pStyle w:val="MdSpace"/>
        <w:spacing w:after="60"/>
      </w:pPr>
    </w:p>
    <w:p w14:paraId="02EDA94E" w14:textId="77777777" w:rsidR="00A24315" w:rsidRDefault="00000000">
      <w:pPr>
        <w:pStyle w:val="MdHeading2"/>
      </w:pPr>
      <w:r>
        <w:t>REVIEW 3: ACADEMIC PROGRAMME ASSESSMENT</w:t>
      </w:r>
    </w:p>
    <w:p w14:paraId="02EDA94F" w14:textId="77777777" w:rsidR="00A24315" w:rsidRDefault="00000000">
      <w:pPr>
        <w:pStyle w:val="MdHeading3"/>
      </w:pPr>
      <w:r>
        <w:t>Curriculum Benchmarking</w:t>
      </w:r>
    </w:p>
    <w:tbl>
      <w:tblPr>
        <w:tblW w:w="5000" w:type="pct"/>
        <w:tblBorders>
          <w:top w:val="single" w:sz="4" w:space="0" w:color="E1E4E8"/>
          <w:bottom w:val="single" w:sz="4" w:space="0" w:color="E1E4E8"/>
          <w:insideH w:val="single" w:sz="2" w:space="0" w:color="E1E4E8"/>
          <w:insideV w:val="single" w:sz="2" w:space="0" w:color="F6F8FA"/>
        </w:tblBorders>
        <w:tblCellMar>
          <w:left w:w="10" w:type="dxa"/>
          <w:right w:w="10" w:type="dxa"/>
        </w:tblCellMar>
        <w:tblLook w:val="0000" w:firstRow="0" w:lastRow="0" w:firstColumn="0" w:lastColumn="0" w:noHBand="0" w:noVBand="0"/>
      </w:tblPr>
      <w:tblGrid>
        <w:gridCol w:w="1886"/>
        <w:gridCol w:w="1878"/>
        <w:gridCol w:w="1222"/>
        <w:gridCol w:w="4040"/>
      </w:tblGrid>
      <w:tr w:rsidR="00A24315" w14:paraId="02EDA954" w14:textId="77777777">
        <w:trPr>
          <w:cantSplit/>
          <w:trHeight w:val="720"/>
          <w:tblHeader/>
        </w:trPr>
        <w:tc>
          <w:tcPr>
            <w:tcW w:w="0" w:type="auto"/>
            <w:tcMar>
              <w:top w:w="100" w:type="dxa"/>
              <w:left w:w="120" w:type="dxa"/>
              <w:bottom w:w="100" w:type="dxa"/>
              <w:right w:w="120" w:type="dxa"/>
            </w:tcMar>
            <w:vAlign w:val="center"/>
          </w:tcPr>
          <w:p w14:paraId="02EDA950" w14:textId="77777777" w:rsidR="00A24315" w:rsidRDefault="00000000">
            <w:pPr>
              <w:pStyle w:val="MdTableHeader"/>
            </w:pPr>
            <w:r>
              <w:t>Curriculum Pillar</w:t>
            </w:r>
          </w:p>
        </w:tc>
        <w:tc>
          <w:tcPr>
            <w:tcW w:w="0" w:type="auto"/>
            <w:tcMar>
              <w:top w:w="100" w:type="dxa"/>
              <w:left w:w="120" w:type="dxa"/>
              <w:bottom w:w="100" w:type="dxa"/>
              <w:right w:w="120" w:type="dxa"/>
            </w:tcMar>
            <w:vAlign w:val="center"/>
          </w:tcPr>
          <w:p w14:paraId="02EDA951" w14:textId="77777777" w:rsidR="00A24315" w:rsidRDefault="00000000">
            <w:pPr>
              <w:pStyle w:val="MdTableHeader"/>
            </w:pPr>
            <w:r>
              <w:t>IAAI Relay(s)</w:t>
            </w:r>
          </w:p>
        </w:tc>
        <w:tc>
          <w:tcPr>
            <w:tcW w:w="0" w:type="auto"/>
            <w:tcMar>
              <w:top w:w="100" w:type="dxa"/>
              <w:left w:w="120" w:type="dxa"/>
              <w:bottom w:w="100" w:type="dxa"/>
              <w:right w:w="120" w:type="dxa"/>
            </w:tcMar>
            <w:vAlign w:val="center"/>
          </w:tcPr>
          <w:p w14:paraId="02EDA952" w14:textId="77777777" w:rsidR="00A24315" w:rsidRDefault="00000000">
            <w:pPr>
              <w:pStyle w:val="MdTableHeader"/>
            </w:pPr>
            <w:r>
              <w:t>Depth</w:t>
            </w:r>
          </w:p>
        </w:tc>
        <w:tc>
          <w:tcPr>
            <w:tcW w:w="0" w:type="auto"/>
            <w:tcMar>
              <w:top w:w="100" w:type="dxa"/>
              <w:left w:w="120" w:type="dxa"/>
              <w:bottom w:w="100" w:type="dxa"/>
              <w:right w:w="120" w:type="dxa"/>
            </w:tcMar>
            <w:vAlign w:val="center"/>
          </w:tcPr>
          <w:p w14:paraId="02EDA953" w14:textId="77777777" w:rsidR="00A24315" w:rsidRDefault="00000000">
            <w:pPr>
              <w:pStyle w:val="MdTableHeader"/>
            </w:pPr>
            <w:r>
              <w:t>Notes</w:t>
            </w:r>
          </w:p>
        </w:tc>
      </w:tr>
      <w:tr w:rsidR="00A24315" w14:paraId="02EDA959" w14:textId="77777777">
        <w:trPr>
          <w:cantSplit/>
          <w:trHeight w:val="576"/>
        </w:trPr>
        <w:tc>
          <w:tcPr>
            <w:tcW w:w="0" w:type="auto"/>
            <w:tcMar>
              <w:top w:w="80" w:type="dxa"/>
              <w:left w:w="120" w:type="dxa"/>
              <w:bottom w:w="80" w:type="dxa"/>
              <w:right w:w="120" w:type="dxa"/>
            </w:tcMar>
            <w:vAlign w:val="center"/>
          </w:tcPr>
          <w:p w14:paraId="02EDA955" w14:textId="77777777" w:rsidR="00A24315" w:rsidRDefault="00000000">
            <w:pPr>
              <w:pStyle w:val="MdTableCell"/>
            </w:pPr>
            <w:r>
              <w:t>Structures</w:t>
            </w:r>
          </w:p>
        </w:tc>
        <w:tc>
          <w:tcPr>
            <w:tcW w:w="0" w:type="auto"/>
            <w:tcMar>
              <w:top w:w="80" w:type="dxa"/>
              <w:left w:w="120" w:type="dxa"/>
              <w:bottom w:w="80" w:type="dxa"/>
              <w:right w:w="120" w:type="dxa"/>
            </w:tcMar>
            <w:vAlign w:val="center"/>
          </w:tcPr>
          <w:p w14:paraId="02EDA956" w14:textId="77777777" w:rsidR="00A24315" w:rsidRDefault="00000000">
            <w:pPr>
              <w:pStyle w:val="MdTableCell"/>
            </w:pPr>
            <w:r>
              <w:t>Loom, Rail, Engine</w:t>
            </w:r>
          </w:p>
        </w:tc>
        <w:tc>
          <w:tcPr>
            <w:tcW w:w="0" w:type="auto"/>
            <w:tcMar>
              <w:top w:w="80" w:type="dxa"/>
              <w:left w:w="120" w:type="dxa"/>
              <w:bottom w:w="80" w:type="dxa"/>
              <w:right w:w="120" w:type="dxa"/>
            </w:tcMar>
            <w:vAlign w:val="center"/>
          </w:tcPr>
          <w:p w14:paraId="02EDA957" w14:textId="77777777" w:rsidR="00A24315" w:rsidRDefault="00000000">
            <w:pPr>
              <w:pStyle w:val="MdTableCell"/>
            </w:pPr>
            <w:r>
              <w:t>Surface</w:t>
            </w:r>
          </w:p>
        </w:tc>
        <w:tc>
          <w:tcPr>
            <w:tcW w:w="0" w:type="auto"/>
            <w:tcMar>
              <w:top w:w="80" w:type="dxa"/>
              <w:left w:w="120" w:type="dxa"/>
              <w:bottom w:w="80" w:type="dxa"/>
              <w:right w:w="120" w:type="dxa"/>
            </w:tcMar>
            <w:vAlign w:val="center"/>
          </w:tcPr>
          <w:p w14:paraId="02EDA958" w14:textId="77777777" w:rsidR="00A24315" w:rsidRDefault="00000000">
            <w:pPr>
              <w:pStyle w:val="MdTableCell"/>
            </w:pPr>
            <w:r>
              <w:t>Mentions structural concepts but no calculations, specifications, or design methodology</w:t>
            </w:r>
          </w:p>
        </w:tc>
      </w:tr>
      <w:tr w:rsidR="00A24315" w14:paraId="02EDA95E" w14:textId="77777777">
        <w:trPr>
          <w:cantSplit/>
          <w:trHeight w:val="576"/>
        </w:trPr>
        <w:tc>
          <w:tcPr>
            <w:tcW w:w="0" w:type="auto"/>
            <w:tcMar>
              <w:top w:w="80" w:type="dxa"/>
              <w:left w:w="120" w:type="dxa"/>
              <w:bottom w:w="80" w:type="dxa"/>
              <w:right w:w="120" w:type="dxa"/>
            </w:tcMar>
            <w:vAlign w:val="center"/>
          </w:tcPr>
          <w:p w14:paraId="02EDA95A" w14:textId="77777777" w:rsidR="00A24315" w:rsidRDefault="00000000">
            <w:pPr>
              <w:pStyle w:val="MdTableCell"/>
            </w:pPr>
            <w:r>
              <w:t>Geotechnics</w:t>
            </w:r>
          </w:p>
        </w:tc>
        <w:tc>
          <w:tcPr>
            <w:tcW w:w="0" w:type="auto"/>
            <w:tcMar>
              <w:top w:w="80" w:type="dxa"/>
              <w:left w:w="120" w:type="dxa"/>
              <w:bottom w:w="80" w:type="dxa"/>
              <w:right w:w="120" w:type="dxa"/>
            </w:tcMar>
            <w:vAlign w:val="center"/>
          </w:tcPr>
          <w:p w14:paraId="02EDA95B" w14:textId="77777777" w:rsidR="00A24315" w:rsidRDefault="00000000">
            <w:pPr>
              <w:pStyle w:val="MdTableCell"/>
            </w:pPr>
            <w:r>
              <w:t>River, Roads</w:t>
            </w:r>
          </w:p>
        </w:tc>
        <w:tc>
          <w:tcPr>
            <w:tcW w:w="0" w:type="auto"/>
            <w:tcMar>
              <w:top w:w="80" w:type="dxa"/>
              <w:left w:w="120" w:type="dxa"/>
              <w:bottom w:w="80" w:type="dxa"/>
              <w:right w:w="120" w:type="dxa"/>
            </w:tcMar>
            <w:vAlign w:val="center"/>
          </w:tcPr>
          <w:p w14:paraId="02EDA95C" w14:textId="77777777" w:rsidR="00A24315" w:rsidRDefault="00000000">
            <w:pPr>
              <w:pStyle w:val="MdTableCell"/>
            </w:pPr>
            <w:r>
              <w:t>Surface</w:t>
            </w:r>
          </w:p>
        </w:tc>
        <w:tc>
          <w:tcPr>
            <w:tcW w:w="0" w:type="auto"/>
            <w:tcMar>
              <w:top w:w="80" w:type="dxa"/>
              <w:left w:w="120" w:type="dxa"/>
              <w:bottom w:w="80" w:type="dxa"/>
              <w:right w:w="120" w:type="dxa"/>
            </w:tcMar>
            <w:vAlign w:val="center"/>
          </w:tcPr>
          <w:p w14:paraId="02EDA95D" w14:textId="77777777" w:rsidR="00A24315" w:rsidRDefault="00000000">
            <w:pPr>
              <w:pStyle w:val="MdTableCell"/>
            </w:pPr>
            <w:r>
              <w:t>Discusses foundations conceptually but no soil mechanics, bearing capacity, or geotechnical analysis</w:t>
            </w:r>
          </w:p>
        </w:tc>
      </w:tr>
      <w:tr w:rsidR="00A24315" w14:paraId="02EDA963" w14:textId="77777777">
        <w:trPr>
          <w:cantSplit/>
          <w:trHeight w:val="576"/>
        </w:trPr>
        <w:tc>
          <w:tcPr>
            <w:tcW w:w="0" w:type="auto"/>
            <w:tcMar>
              <w:top w:w="80" w:type="dxa"/>
              <w:left w:w="120" w:type="dxa"/>
              <w:bottom w:w="80" w:type="dxa"/>
              <w:right w:w="120" w:type="dxa"/>
            </w:tcMar>
            <w:vAlign w:val="center"/>
          </w:tcPr>
          <w:p w14:paraId="02EDA95F" w14:textId="77777777" w:rsidR="00A24315" w:rsidRDefault="00000000">
            <w:pPr>
              <w:pStyle w:val="MdTableCell"/>
            </w:pPr>
            <w:r>
              <w:t>Hydraulics/Water</w:t>
            </w:r>
          </w:p>
        </w:tc>
        <w:tc>
          <w:tcPr>
            <w:tcW w:w="0" w:type="auto"/>
            <w:tcMar>
              <w:top w:w="80" w:type="dxa"/>
              <w:left w:w="120" w:type="dxa"/>
              <w:bottom w:w="80" w:type="dxa"/>
              <w:right w:w="120" w:type="dxa"/>
            </w:tcMar>
            <w:vAlign w:val="center"/>
          </w:tcPr>
          <w:p w14:paraId="02EDA960" w14:textId="77777777" w:rsidR="00A24315" w:rsidRDefault="00000000">
            <w:pPr>
              <w:pStyle w:val="MdTableCell"/>
            </w:pPr>
            <w:r>
              <w:t>River, Ships</w:t>
            </w:r>
          </w:p>
        </w:tc>
        <w:tc>
          <w:tcPr>
            <w:tcW w:w="0" w:type="auto"/>
            <w:tcMar>
              <w:top w:w="80" w:type="dxa"/>
              <w:left w:w="120" w:type="dxa"/>
              <w:bottom w:w="80" w:type="dxa"/>
              <w:right w:w="120" w:type="dxa"/>
            </w:tcMar>
            <w:vAlign w:val="center"/>
          </w:tcPr>
          <w:p w14:paraId="02EDA961" w14:textId="77777777" w:rsidR="00A24315" w:rsidRDefault="00000000">
            <w:pPr>
              <w:pStyle w:val="MdTableCell"/>
            </w:pPr>
            <w:r>
              <w:t>Surface-Moderate</w:t>
            </w:r>
          </w:p>
        </w:tc>
        <w:tc>
          <w:tcPr>
            <w:tcW w:w="0" w:type="auto"/>
            <w:tcMar>
              <w:top w:w="80" w:type="dxa"/>
              <w:left w:w="120" w:type="dxa"/>
              <w:bottom w:w="80" w:type="dxa"/>
              <w:right w:w="120" w:type="dxa"/>
            </w:tcMar>
            <w:vAlign w:val="center"/>
          </w:tcPr>
          <w:p w14:paraId="02EDA962" w14:textId="77777777" w:rsidR="00A24315" w:rsidRDefault="00000000">
            <w:pPr>
              <w:pStyle w:val="MdTableCell"/>
            </w:pPr>
            <w:r>
              <w:t xml:space="preserve">River relay covers water management </w:t>
            </w:r>
            <w:proofErr w:type="spellStart"/>
            <w:r>
              <w:t>civilisationally</w:t>
            </w:r>
            <w:proofErr w:type="spellEnd"/>
            <w:r>
              <w:t>; no fluid mechanics equations</w:t>
            </w:r>
          </w:p>
        </w:tc>
      </w:tr>
      <w:tr w:rsidR="00A24315" w14:paraId="02EDA968" w14:textId="77777777">
        <w:trPr>
          <w:cantSplit/>
          <w:trHeight w:val="576"/>
        </w:trPr>
        <w:tc>
          <w:tcPr>
            <w:tcW w:w="0" w:type="auto"/>
            <w:tcMar>
              <w:top w:w="80" w:type="dxa"/>
              <w:left w:w="120" w:type="dxa"/>
              <w:bottom w:w="80" w:type="dxa"/>
              <w:right w:w="120" w:type="dxa"/>
            </w:tcMar>
            <w:vAlign w:val="center"/>
          </w:tcPr>
          <w:p w14:paraId="02EDA964" w14:textId="77777777" w:rsidR="00A24315" w:rsidRDefault="00000000">
            <w:pPr>
              <w:pStyle w:val="MdTableCell"/>
            </w:pPr>
            <w:r>
              <w:t>Materials</w:t>
            </w:r>
          </w:p>
        </w:tc>
        <w:tc>
          <w:tcPr>
            <w:tcW w:w="0" w:type="auto"/>
            <w:tcMar>
              <w:top w:w="80" w:type="dxa"/>
              <w:left w:w="120" w:type="dxa"/>
              <w:bottom w:w="80" w:type="dxa"/>
              <w:right w:w="120" w:type="dxa"/>
            </w:tcMar>
            <w:vAlign w:val="center"/>
          </w:tcPr>
          <w:p w14:paraId="02EDA965" w14:textId="77777777" w:rsidR="00A24315" w:rsidRDefault="00000000">
            <w:pPr>
              <w:pStyle w:val="MdTableCell"/>
            </w:pPr>
            <w:r>
              <w:t>Fire, Loom, Engine</w:t>
            </w:r>
          </w:p>
        </w:tc>
        <w:tc>
          <w:tcPr>
            <w:tcW w:w="0" w:type="auto"/>
            <w:tcMar>
              <w:top w:w="80" w:type="dxa"/>
              <w:left w:w="120" w:type="dxa"/>
              <w:bottom w:w="80" w:type="dxa"/>
              <w:right w:w="120" w:type="dxa"/>
            </w:tcMar>
            <w:vAlign w:val="center"/>
          </w:tcPr>
          <w:p w14:paraId="02EDA966" w14:textId="77777777" w:rsidR="00A24315" w:rsidRDefault="00000000">
            <w:pPr>
              <w:pStyle w:val="MdTableCell"/>
            </w:pPr>
            <w:r>
              <w:t>Surface</w:t>
            </w:r>
          </w:p>
        </w:tc>
        <w:tc>
          <w:tcPr>
            <w:tcW w:w="0" w:type="auto"/>
            <w:tcMar>
              <w:top w:w="80" w:type="dxa"/>
              <w:left w:w="120" w:type="dxa"/>
              <w:bottom w:w="80" w:type="dxa"/>
              <w:right w:w="120" w:type="dxa"/>
            </w:tcMar>
            <w:vAlign w:val="center"/>
          </w:tcPr>
          <w:p w14:paraId="02EDA967" w14:textId="77777777" w:rsidR="00A24315" w:rsidRDefault="00000000">
            <w:pPr>
              <w:pStyle w:val="MdTableCell"/>
            </w:pPr>
            <w:r>
              <w:t>Discusses material evolution (bronze, iron, steel, textiles) but no material science</w:t>
            </w:r>
          </w:p>
        </w:tc>
      </w:tr>
      <w:tr w:rsidR="00A24315" w14:paraId="02EDA96D" w14:textId="77777777">
        <w:trPr>
          <w:cantSplit/>
          <w:trHeight w:val="576"/>
        </w:trPr>
        <w:tc>
          <w:tcPr>
            <w:tcW w:w="0" w:type="auto"/>
            <w:tcMar>
              <w:top w:w="80" w:type="dxa"/>
              <w:left w:w="120" w:type="dxa"/>
              <w:bottom w:w="80" w:type="dxa"/>
              <w:right w:w="120" w:type="dxa"/>
            </w:tcMar>
            <w:vAlign w:val="center"/>
          </w:tcPr>
          <w:p w14:paraId="02EDA969" w14:textId="77777777" w:rsidR="00A24315" w:rsidRDefault="00000000">
            <w:pPr>
              <w:pStyle w:val="MdTableCell"/>
            </w:pPr>
            <w:r>
              <w:lastRenderedPageBreak/>
              <w:t>Mathematics</w:t>
            </w:r>
          </w:p>
        </w:tc>
        <w:tc>
          <w:tcPr>
            <w:tcW w:w="0" w:type="auto"/>
            <w:tcMar>
              <w:top w:w="80" w:type="dxa"/>
              <w:left w:w="120" w:type="dxa"/>
              <w:bottom w:w="80" w:type="dxa"/>
              <w:right w:w="120" w:type="dxa"/>
            </w:tcMar>
            <w:vAlign w:val="center"/>
          </w:tcPr>
          <w:p w14:paraId="02EDA96A" w14:textId="77777777" w:rsidR="00A24315" w:rsidRDefault="00000000">
            <w:pPr>
              <w:pStyle w:val="MdTableCell"/>
            </w:pPr>
            <w:r>
              <w:t>None directly</w:t>
            </w:r>
          </w:p>
        </w:tc>
        <w:tc>
          <w:tcPr>
            <w:tcW w:w="0" w:type="auto"/>
            <w:tcMar>
              <w:top w:w="80" w:type="dxa"/>
              <w:left w:w="120" w:type="dxa"/>
              <w:bottom w:w="80" w:type="dxa"/>
              <w:right w:w="120" w:type="dxa"/>
            </w:tcMar>
            <w:vAlign w:val="center"/>
          </w:tcPr>
          <w:p w14:paraId="02EDA96B" w14:textId="77777777" w:rsidR="00A24315" w:rsidRDefault="00000000">
            <w:pPr>
              <w:pStyle w:val="MdTableCell"/>
            </w:pPr>
            <w:r>
              <w:t>None</w:t>
            </w:r>
          </w:p>
        </w:tc>
        <w:tc>
          <w:tcPr>
            <w:tcW w:w="0" w:type="auto"/>
            <w:tcMar>
              <w:top w:w="80" w:type="dxa"/>
              <w:left w:w="120" w:type="dxa"/>
              <w:bottom w:w="80" w:type="dxa"/>
              <w:right w:w="120" w:type="dxa"/>
            </w:tcMar>
            <w:vAlign w:val="center"/>
          </w:tcPr>
          <w:p w14:paraId="02EDA96C" w14:textId="77777777" w:rsidR="00A24315" w:rsidRDefault="00000000">
            <w:pPr>
              <w:pStyle w:val="MdTableCell"/>
            </w:pPr>
            <w:r>
              <w:t>No mathematical content. This is the biggest gap for engineering education alignment</w:t>
            </w:r>
          </w:p>
        </w:tc>
      </w:tr>
      <w:tr w:rsidR="00A24315" w14:paraId="02EDA972" w14:textId="77777777">
        <w:trPr>
          <w:cantSplit/>
          <w:trHeight w:val="576"/>
        </w:trPr>
        <w:tc>
          <w:tcPr>
            <w:tcW w:w="0" w:type="auto"/>
            <w:tcMar>
              <w:top w:w="80" w:type="dxa"/>
              <w:left w:w="120" w:type="dxa"/>
              <w:bottom w:w="80" w:type="dxa"/>
              <w:right w:w="120" w:type="dxa"/>
            </w:tcMar>
            <w:vAlign w:val="center"/>
          </w:tcPr>
          <w:p w14:paraId="02EDA96E" w14:textId="77777777" w:rsidR="00A24315" w:rsidRDefault="00000000">
            <w:pPr>
              <w:pStyle w:val="MdTableCell"/>
            </w:pPr>
            <w:r>
              <w:t>Construction Management</w:t>
            </w:r>
          </w:p>
        </w:tc>
        <w:tc>
          <w:tcPr>
            <w:tcW w:w="0" w:type="auto"/>
            <w:tcMar>
              <w:top w:w="80" w:type="dxa"/>
              <w:left w:w="120" w:type="dxa"/>
              <w:bottom w:w="80" w:type="dxa"/>
              <w:right w:w="120" w:type="dxa"/>
            </w:tcMar>
            <w:vAlign w:val="center"/>
          </w:tcPr>
          <w:p w14:paraId="02EDA96F" w14:textId="77777777" w:rsidR="00A24315" w:rsidRDefault="00000000">
            <w:pPr>
              <w:pStyle w:val="MdTableCell"/>
            </w:pPr>
            <w:r>
              <w:t>Roads, Rail</w:t>
            </w:r>
          </w:p>
        </w:tc>
        <w:tc>
          <w:tcPr>
            <w:tcW w:w="0" w:type="auto"/>
            <w:tcMar>
              <w:top w:w="80" w:type="dxa"/>
              <w:left w:w="120" w:type="dxa"/>
              <w:bottom w:w="80" w:type="dxa"/>
              <w:right w:w="120" w:type="dxa"/>
            </w:tcMar>
            <w:vAlign w:val="center"/>
          </w:tcPr>
          <w:p w14:paraId="02EDA970" w14:textId="77777777" w:rsidR="00A24315" w:rsidRDefault="00000000">
            <w:pPr>
              <w:pStyle w:val="MdTableCell"/>
            </w:pPr>
            <w:r>
              <w:t>Surface</w:t>
            </w:r>
          </w:p>
        </w:tc>
        <w:tc>
          <w:tcPr>
            <w:tcW w:w="0" w:type="auto"/>
            <w:tcMar>
              <w:top w:w="80" w:type="dxa"/>
              <w:left w:w="120" w:type="dxa"/>
              <w:bottom w:w="80" w:type="dxa"/>
              <w:right w:w="120" w:type="dxa"/>
            </w:tcMar>
            <w:vAlign w:val="center"/>
          </w:tcPr>
          <w:p w14:paraId="02EDA971" w14:textId="77777777" w:rsidR="00A24315" w:rsidRDefault="00000000">
            <w:pPr>
              <w:pStyle w:val="MdTableCell"/>
            </w:pPr>
            <w:r>
              <w:t>Discusses logistics of Roman roads and railway construction but no project management methodology</w:t>
            </w:r>
          </w:p>
        </w:tc>
      </w:tr>
      <w:tr w:rsidR="00A24315" w14:paraId="02EDA977" w14:textId="77777777">
        <w:trPr>
          <w:cantSplit/>
          <w:trHeight w:val="576"/>
        </w:trPr>
        <w:tc>
          <w:tcPr>
            <w:tcW w:w="0" w:type="auto"/>
            <w:tcMar>
              <w:top w:w="80" w:type="dxa"/>
              <w:left w:w="120" w:type="dxa"/>
              <w:bottom w:w="80" w:type="dxa"/>
              <w:right w:w="120" w:type="dxa"/>
            </w:tcMar>
            <w:vAlign w:val="center"/>
          </w:tcPr>
          <w:p w14:paraId="02EDA973" w14:textId="77777777" w:rsidR="00A24315" w:rsidRDefault="00000000">
            <w:pPr>
              <w:pStyle w:val="MdTableCell"/>
            </w:pPr>
            <w:r>
              <w:t>Transport</w:t>
            </w:r>
          </w:p>
        </w:tc>
        <w:tc>
          <w:tcPr>
            <w:tcW w:w="0" w:type="auto"/>
            <w:tcMar>
              <w:top w:w="80" w:type="dxa"/>
              <w:left w:w="120" w:type="dxa"/>
              <w:bottom w:w="80" w:type="dxa"/>
              <w:right w:w="120" w:type="dxa"/>
            </w:tcMar>
            <w:vAlign w:val="center"/>
          </w:tcPr>
          <w:p w14:paraId="02EDA974" w14:textId="77777777" w:rsidR="00A24315" w:rsidRDefault="00000000">
            <w:pPr>
              <w:pStyle w:val="MdTableCell"/>
            </w:pPr>
            <w:r>
              <w:t>Horse, Roads, Ships, Rail, AAA Triad</w:t>
            </w:r>
          </w:p>
        </w:tc>
        <w:tc>
          <w:tcPr>
            <w:tcW w:w="0" w:type="auto"/>
            <w:tcMar>
              <w:top w:w="80" w:type="dxa"/>
              <w:left w:w="120" w:type="dxa"/>
              <w:bottom w:w="80" w:type="dxa"/>
              <w:right w:w="120" w:type="dxa"/>
            </w:tcMar>
            <w:vAlign w:val="center"/>
          </w:tcPr>
          <w:p w14:paraId="02EDA975" w14:textId="77777777" w:rsidR="00A24315" w:rsidRDefault="00000000">
            <w:pPr>
              <w:pStyle w:val="MdTableCell"/>
            </w:pPr>
            <w:r>
              <w:t>Moderate</w:t>
            </w:r>
          </w:p>
        </w:tc>
        <w:tc>
          <w:tcPr>
            <w:tcW w:w="0" w:type="auto"/>
            <w:tcMar>
              <w:top w:w="80" w:type="dxa"/>
              <w:left w:w="120" w:type="dxa"/>
              <w:bottom w:w="80" w:type="dxa"/>
              <w:right w:w="120" w:type="dxa"/>
            </w:tcMar>
            <w:vAlign w:val="center"/>
          </w:tcPr>
          <w:p w14:paraId="02EDA976" w14:textId="77777777" w:rsidR="00A24315" w:rsidRDefault="00000000">
            <w:pPr>
              <w:pStyle w:val="MdTableCell"/>
            </w:pPr>
            <w:r>
              <w:t>Best-covered pillar — the relay structure IS a transport/connectivity framework</w:t>
            </w:r>
          </w:p>
        </w:tc>
      </w:tr>
      <w:tr w:rsidR="00A24315" w14:paraId="02EDA97C" w14:textId="77777777">
        <w:trPr>
          <w:cantSplit/>
          <w:trHeight w:val="576"/>
        </w:trPr>
        <w:tc>
          <w:tcPr>
            <w:tcW w:w="0" w:type="auto"/>
            <w:tcMar>
              <w:top w:w="80" w:type="dxa"/>
              <w:left w:w="120" w:type="dxa"/>
              <w:bottom w:w="80" w:type="dxa"/>
              <w:right w:w="120" w:type="dxa"/>
            </w:tcMar>
            <w:vAlign w:val="center"/>
          </w:tcPr>
          <w:p w14:paraId="02EDA978" w14:textId="77777777" w:rsidR="00A24315" w:rsidRDefault="00000000">
            <w:pPr>
              <w:pStyle w:val="MdTableCell"/>
            </w:pPr>
            <w:r>
              <w:t>Environmental</w:t>
            </w:r>
          </w:p>
        </w:tc>
        <w:tc>
          <w:tcPr>
            <w:tcW w:w="0" w:type="auto"/>
            <w:tcMar>
              <w:top w:w="80" w:type="dxa"/>
              <w:left w:w="120" w:type="dxa"/>
              <w:bottom w:w="80" w:type="dxa"/>
              <w:right w:w="120" w:type="dxa"/>
            </w:tcMar>
            <w:vAlign w:val="center"/>
          </w:tcPr>
          <w:p w14:paraId="02EDA979" w14:textId="77777777" w:rsidR="00A24315" w:rsidRDefault="00000000">
            <w:pPr>
              <w:pStyle w:val="MdTableCell"/>
            </w:pPr>
            <w:r>
              <w:t>Orbit, Human Nodes, Torus</w:t>
            </w:r>
          </w:p>
        </w:tc>
        <w:tc>
          <w:tcPr>
            <w:tcW w:w="0" w:type="auto"/>
            <w:tcMar>
              <w:top w:w="80" w:type="dxa"/>
              <w:left w:w="120" w:type="dxa"/>
              <w:bottom w:w="80" w:type="dxa"/>
              <w:right w:w="120" w:type="dxa"/>
            </w:tcMar>
            <w:vAlign w:val="center"/>
          </w:tcPr>
          <w:p w14:paraId="02EDA97A" w14:textId="77777777" w:rsidR="00A24315" w:rsidRDefault="00000000">
            <w:pPr>
              <w:pStyle w:val="MdTableCell"/>
            </w:pPr>
            <w:r>
              <w:t>Surface-Moderate</w:t>
            </w:r>
          </w:p>
        </w:tc>
        <w:tc>
          <w:tcPr>
            <w:tcW w:w="0" w:type="auto"/>
            <w:tcMar>
              <w:top w:w="80" w:type="dxa"/>
              <w:left w:w="120" w:type="dxa"/>
              <w:bottom w:w="80" w:type="dxa"/>
              <w:right w:w="120" w:type="dxa"/>
            </w:tcMar>
            <w:vAlign w:val="center"/>
          </w:tcPr>
          <w:p w14:paraId="02EDA97B" w14:textId="77777777" w:rsidR="00A24315" w:rsidRDefault="00000000">
            <w:pPr>
              <w:pStyle w:val="MdTableCell"/>
            </w:pPr>
            <w:r>
              <w:t>Sustainability framing is present throughout but not technically rigorous</w:t>
            </w:r>
          </w:p>
        </w:tc>
      </w:tr>
      <w:tr w:rsidR="00A24315" w14:paraId="02EDA981" w14:textId="77777777">
        <w:trPr>
          <w:cantSplit/>
          <w:trHeight w:val="576"/>
        </w:trPr>
        <w:tc>
          <w:tcPr>
            <w:tcW w:w="0" w:type="auto"/>
            <w:tcMar>
              <w:top w:w="80" w:type="dxa"/>
              <w:left w:w="120" w:type="dxa"/>
              <w:bottom w:w="80" w:type="dxa"/>
              <w:right w:w="120" w:type="dxa"/>
            </w:tcMar>
            <w:vAlign w:val="center"/>
          </w:tcPr>
          <w:p w14:paraId="02EDA97D" w14:textId="77777777" w:rsidR="00A24315" w:rsidRDefault="00000000">
            <w:pPr>
              <w:pStyle w:val="MdTableCell"/>
            </w:pPr>
            <w:r>
              <w:t>Design Projects</w:t>
            </w:r>
          </w:p>
        </w:tc>
        <w:tc>
          <w:tcPr>
            <w:tcW w:w="0" w:type="auto"/>
            <w:tcMar>
              <w:top w:w="80" w:type="dxa"/>
              <w:left w:w="120" w:type="dxa"/>
              <w:bottom w:w="80" w:type="dxa"/>
              <w:right w:w="120" w:type="dxa"/>
            </w:tcMar>
            <w:vAlign w:val="center"/>
          </w:tcPr>
          <w:p w14:paraId="02EDA97E" w14:textId="77777777" w:rsidR="00A24315" w:rsidRDefault="00000000">
            <w:pPr>
              <w:pStyle w:val="MdTableCell"/>
            </w:pPr>
            <w:r>
              <w:t>The Game (TRE)</w:t>
            </w:r>
          </w:p>
        </w:tc>
        <w:tc>
          <w:tcPr>
            <w:tcW w:w="0" w:type="auto"/>
            <w:tcMar>
              <w:top w:w="80" w:type="dxa"/>
              <w:left w:w="120" w:type="dxa"/>
              <w:bottom w:w="80" w:type="dxa"/>
              <w:right w:w="120" w:type="dxa"/>
            </w:tcMar>
            <w:vAlign w:val="center"/>
          </w:tcPr>
          <w:p w14:paraId="02EDA97F" w14:textId="77777777" w:rsidR="00A24315" w:rsidRDefault="00000000">
            <w:pPr>
              <w:pStyle w:val="MdTableCell"/>
            </w:pPr>
            <w:r>
              <w:t>Moderate</w:t>
            </w:r>
          </w:p>
        </w:tc>
        <w:tc>
          <w:tcPr>
            <w:tcW w:w="0" w:type="auto"/>
            <w:tcMar>
              <w:top w:w="80" w:type="dxa"/>
              <w:left w:w="120" w:type="dxa"/>
              <w:bottom w:w="80" w:type="dxa"/>
              <w:right w:w="120" w:type="dxa"/>
            </w:tcMar>
            <w:vAlign w:val="center"/>
          </w:tcPr>
          <w:p w14:paraId="02EDA980" w14:textId="77777777" w:rsidR="00A24315" w:rsidRDefault="00000000">
            <w:pPr>
              <w:pStyle w:val="MdTableCell"/>
            </w:pPr>
            <w:r>
              <w:t xml:space="preserve">The game functions as a design-thinking exercise but </w:t>
            </w:r>
            <w:proofErr w:type="gramStart"/>
            <w:r>
              <w:t>not</w:t>
            </w:r>
            <w:proofErr w:type="gramEnd"/>
            <w:r>
              <w:t xml:space="preserve"> a technical design project</w:t>
            </w:r>
          </w:p>
        </w:tc>
      </w:tr>
      <w:tr w:rsidR="00A24315" w14:paraId="02EDA986" w14:textId="77777777">
        <w:trPr>
          <w:cantSplit/>
          <w:trHeight w:val="576"/>
        </w:trPr>
        <w:tc>
          <w:tcPr>
            <w:tcW w:w="0" w:type="auto"/>
            <w:tcBorders>
              <w:bottom w:val="single" w:sz="4" w:space="0" w:color="E1E4E8"/>
            </w:tcBorders>
            <w:tcMar>
              <w:top w:w="80" w:type="dxa"/>
              <w:left w:w="120" w:type="dxa"/>
              <w:bottom w:w="80" w:type="dxa"/>
              <w:right w:w="120" w:type="dxa"/>
            </w:tcMar>
            <w:vAlign w:val="center"/>
          </w:tcPr>
          <w:p w14:paraId="02EDA982" w14:textId="77777777" w:rsidR="00A24315" w:rsidRDefault="00000000">
            <w:pPr>
              <w:pStyle w:val="MdTableCell"/>
            </w:pPr>
            <w:r>
              <w:t>Professional Practice</w:t>
            </w:r>
          </w:p>
        </w:tc>
        <w:tc>
          <w:tcPr>
            <w:tcW w:w="0" w:type="auto"/>
            <w:tcBorders>
              <w:bottom w:val="single" w:sz="4" w:space="0" w:color="E1E4E8"/>
            </w:tcBorders>
            <w:tcMar>
              <w:top w:w="80" w:type="dxa"/>
              <w:left w:w="120" w:type="dxa"/>
              <w:bottom w:w="80" w:type="dxa"/>
              <w:right w:w="120" w:type="dxa"/>
            </w:tcMar>
            <w:vAlign w:val="center"/>
          </w:tcPr>
          <w:p w14:paraId="02EDA983" w14:textId="77777777" w:rsidR="00A24315" w:rsidRDefault="00000000">
            <w:pPr>
              <w:pStyle w:val="MdTableCell"/>
            </w:pPr>
            <w:r>
              <w:t>Framework, Scholars</w:t>
            </w:r>
          </w:p>
        </w:tc>
        <w:tc>
          <w:tcPr>
            <w:tcW w:w="0" w:type="auto"/>
            <w:tcBorders>
              <w:bottom w:val="single" w:sz="4" w:space="0" w:color="E1E4E8"/>
            </w:tcBorders>
            <w:tcMar>
              <w:top w:w="80" w:type="dxa"/>
              <w:left w:w="120" w:type="dxa"/>
              <w:bottom w:w="80" w:type="dxa"/>
              <w:right w:w="120" w:type="dxa"/>
            </w:tcMar>
            <w:vAlign w:val="center"/>
          </w:tcPr>
          <w:p w14:paraId="02EDA984" w14:textId="77777777" w:rsidR="00A24315" w:rsidRDefault="00000000">
            <w:pPr>
              <w:pStyle w:val="MdTableCell"/>
            </w:pPr>
            <w:r>
              <w:t>Surface</w:t>
            </w:r>
          </w:p>
        </w:tc>
        <w:tc>
          <w:tcPr>
            <w:tcW w:w="0" w:type="auto"/>
            <w:tcBorders>
              <w:bottom w:val="single" w:sz="4" w:space="0" w:color="E1E4E8"/>
            </w:tcBorders>
            <w:tcMar>
              <w:top w:w="80" w:type="dxa"/>
              <w:left w:w="120" w:type="dxa"/>
              <w:bottom w:w="80" w:type="dxa"/>
              <w:right w:w="120" w:type="dxa"/>
            </w:tcMar>
            <w:vAlign w:val="center"/>
          </w:tcPr>
          <w:p w14:paraId="02EDA985" w14:textId="77777777" w:rsidR="00A24315" w:rsidRDefault="00000000">
            <w:pPr>
              <w:pStyle w:val="MdTableCell"/>
            </w:pPr>
            <w:r>
              <w:t>The ICE Charter is referenced; professional ethics are implicit but not taught</w:t>
            </w:r>
          </w:p>
        </w:tc>
      </w:tr>
    </w:tbl>
    <w:p w14:paraId="02EDA987" w14:textId="77777777" w:rsidR="00A24315" w:rsidRDefault="00000000">
      <w:pPr>
        <w:pStyle w:val="MdHeading3"/>
      </w:pPr>
      <w:r>
        <w:t>Key Academic Findings</w:t>
      </w:r>
    </w:p>
    <w:p w14:paraId="02EDA988" w14:textId="77777777" w:rsidR="00A24315" w:rsidRDefault="00000000">
      <w:pPr>
        <w:pStyle w:val="MdParagraph"/>
      </w:pPr>
      <w:r>
        <w:rPr>
          <w:rStyle w:val="MdStrong"/>
        </w:rPr>
        <w:t>The Reframing Question</w:t>
      </w:r>
      <w:r>
        <w:t xml:space="preserve">: IAAI does not teach HOW to do engineering. It teaches WHY engineering matters in the arc of </w:t>
      </w:r>
      <w:proofErr w:type="spellStart"/>
      <w:r>
        <w:t>civilisation</w:t>
      </w:r>
      <w:proofErr w:type="spellEnd"/>
      <w:r>
        <w:t xml:space="preserve">. This is genuinely valuable as a supplement — it </w:t>
      </w:r>
      <w:proofErr w:type="gramStart"/>
      <w:r>
        <w:t>provides</w:t>
      </w:r>
      <w:proofErr w:type="gramEnd"/>
      <w:r>
        <w:t xml:space="preserve"> the "big picture" context that most technical </w:t>
      </w:r>
      <w:proofErr w:type="spellStart"/>
      <w:r>
        <w:t>programmes</w:t>
      </w:r>
      <w:proofErr w:type="spellEnd"/>
      <w:r>
        <w:t xml:space="preserve"> lack. Imperial's "Professional Engineering Practice" module is the closest equivalent, but IAAI goes far deeper into historical and philosophical context.</w:t>
      </w:r>
    </w:p>
    <w:p w14:paraId="02EDA989" w14:textId="77777777" w:rsidR="00A24315" w:rsidRDefault="00A24315">
      <w:pPr>
        <w:pStyle w:val="MdSpace"/>
        <w:spacing w:after="60"/>
      </w:pPr>
    </w:p>
    <w:p w14:paraId="02EDA98A" w14:textId="77777777" w:rsidR="00A24315" w:rsidRDefault="00000000">
      <w:pPr>
        <w:pStyle w:val="MdParagraph"/>
      </w:pPr>
      <w:r>
        <w:rPr>
          <w:rStyle w:val="MdStrong"/>
        </w:rPr>
        <w:t>The Gap</w:t>
      </w:r>
      <w:r>
        <w:t>: Mathematics, structural analysis, fluid mechanics, geotechnical design, material science — the entire quantitative core of engineering education is absent. This is by design, not by oversight. IAAI is not trying to replace a degree. But without ANY quantitative content, it cannot claim curriculum alignment.</w:t>
      </w:r>
    </w:p>
    <w:p w14:paraId="02EDA98B" w14:textId="77777777" w:rsidR="00A24315" w:rsidRDefault="00A24315">
      <w:pPr>
        <w:pStyle w:val="MdSpace"/>
        <w:spacing w:after="60"/>
      </w:pPr>
    </w:p>
    <w:p w14:paraId="02EDA98C" w14:textId="77777777" w:rsidR="00A24315" w:rsidRDefault="00000000">
      <w:pPr>
        <w:pStyle w:val="MdParagraph"/>
      </w:pPr>
      <w:r>
        <w:rPr>
          <w:rStyle w:val="MdStrong"/>
        </w:rPr>
        <w:t>The Surplus</w:t>
      </w:r>
      <w:r>
        <w:t xml:space="preserve">: </w:t>
      </w:r>
      <w:proofErr w:type="spellStart"/>
      <w:r>
        <w:t>Civilisational</w:t>
      </w:r>
      <w:proofErr w:type="spellEnd"/>
      <w:r>
        <w:t xml:space="preserve"> context, systems thinking, cross-cultural comparison (East/West/Outrider), the relay framework, gamified learning, the SITF temperament system — none of these appear in any standard civil engineering curriculum. This is </w:t>
      </w:r>
      <w:proofErr w:type="gramStart"/>
      <w:r>
        <w:t>the</w:t>
      </w:r>
      <w:proofErr w:type="gramEnd"/>
      <w:r>
        <w:t xml:space="preserve"> unique contribution.</w:t>
      </w:r>
    </w:p>
    <w:p w14:paraId="02EDA98D" w14:textId="77777777" w:rsidR="00A24315" w:rsidRDefault="00A24315">
      <w:pPr>
        <w:pStyle w:val="MdSpace"/>
        <w:spacing w:after="60"/>
      </w:pPr>
    </w:p>
    <w:p w14:paraId="02EDA98E" w14:textId="77777777" w:rsidR="00A24315" w:rsidRDefault="00000000">
      <w:pPr>
        <w:pStyle w:val="MdParagraph"/>
      </w:pPr>
      <w:r>
        <w:rPr>
          <w:rStyle w:val="MdStrong"/>
        </w:rPr>
        <w:t>The Cambridge Comparison</w:t>
      </w:r>
      <w:r>
        <w:t xml:space="preserve">: Cambridge's General Engineering programme starts </w:t>
      </w:r>
      <w:proofErr w:type="gramStart"/>
      <w:r>
        <w:t>broad</w:t>
      </w:r>
      <w:proofErr w:type="gramEnd"/>
      <w:r>
        <w:t xml:space="preserve"> and integrates across disciplines. IAAI's philosophy is more aligned with Cambridge than with traditional civil-only </w:t>
      </w:r>
      <w:proofErr w:type="spellStart"/>
      <w:r>
        <w:t>programmes</w:t>
      </w:r>
      <w:proofErr w:type="spellEnd"/>
      <w:r>
        <w:t>. However, Cambridge still teaches mathematics and physics rigorously. IAAI would need a quantitative layer to achieve true Cambridge-level integration.</w:t>
      </w:r>
    </w:p>
    <w:p w14:paraId="02EDA98F" w14:textId="77777777" w:rsidR="00A24315" w:rsidRDefault="00A24315">
      <w:pPr>
        <w:pStyle w:val="MdSpace"/>
        <w:spacing w:after="60"/>
      </w:pPr>
    </w:p>
    <w:p w14:paraId="02EDA990" w14:textId="77777777" w:rsidR="00A24315" w:rsidRDefault="00000000">
      <w:pPr>
        <w:pStyle w:val="MdParagraph"/>
      </w:pPr>
      <w:r>
        <w:rPr>
          <w:rStyle w:val="MdStrong"/>
        </w:rPr>
        <w:t>Thesis-Level Assessment</w:t>
      </w:r>
      <w:r>
        <w:t>: If submitted as a postgraduate thesis:</w:t>
      </w:r>
    </w:p>
    <w:p w14:paraId="02EDA991" w14:textId="77777777" w:rsidR="00A24315" w:rsidRDefault="00000000">
      <w:pPr>
        <w:pStyle w:val="MdListItem"/>
        <w:numPr>
          <w:ilvl w:val="0"/>
          <w:numId w:val="3"/>
        </w:numPr>
      </w:pPr>
      <w:r>
        <w:lastRenderedPageBreak/>
        <w:t xml:space="preserve">In </w:t>
      </w:r>
      <w:r>
        <w:rPr>
          <w:rStyle w:val="MdStrong"/>
        </w:rPr>
        <w:t>Engineering History</w:t>
      </w:r>
      <w:r>
        <w:t xml:space="preserve"> or </w:t>
      </w:r>
      <w:r>
        <w:rPr>
          <w:rStyle w:val="MdStrong"/>
        </w:rPr>
        <w:t>Science Communication</w:t>
      </w:r>
      <w:r>
        <w:t>: Potentially MPhil-level. The 12-relay framework is an original contribution. The Three Modes typology is defensible. The game layer is innovative. Would need more rigorous sourcing and peer-reviewed references.</w:t>
      </w:r>
    </w:p>
    <w:p w14:paraId="02EDA992" w14:textId="77777777" w:rsidR="00A24315" w:rsidRDefault="00000000">
      <w:pPr>
        <w:pStyle w:val="MdListItem"/>
        <w:numPr>
          <w:ilvl w:val="0"/>
          <w:numId w:val="3"/>
        </w:numPr>
      </w:pPr>
      <w:r>
        <w:t xml:space="preserve">In </w:t>
      </w:r>
      <w:r>
        <w:rPr>
          <w:rStyle w:val="MdStrong"/>
        </w:rPr>
        <w:t>Civil Engineering Education</w:t>
      </w:r>
      <w:r>
        <w:t xml:space="preserve">: Would not pass without a quantitative component. The framework is </w:t>
      </w:r>
      <w:proofErr w:type="gramStart"/>
      <w:r>
        <w:t>strong</w:t>
      </w:r>
      <w:proofErr w:type="gramEnd"/>
      <w:r>
        <w:t xml:space="preserve"> but the absence of mathematics, dimensional analysis, and engineering calculations is disqualifying for a technical engineering thesis.</w:t>
      </w:r>
    </w:p>
    <w:p w14:paraId="02EDA993" w14:textId="77777777" w:rsidR="00A24315" w:rsidRDefault="00000000">
      <w:pPr>
        <w:pStyle w:val="MdListItem"/>
        <w:numPr>
          <w:ilvl w:val="0"/>
          <w:numId w:val="3"/>
        </w:numPr>
      </w:pPr>
      <w:r>
        <w:t xml:space="preserve">In </w:t>
      </w:r>
      <w:r>
        <w:rPr>
          <w:rStyle w:val="MdStrong"/>
        </w:rPr>
        <w:t>Interdisciplinary Studies</w:t>
      </w:r>
      <w:r>
        <w:t xml:space="preserve">: Potentially strong PhD proposal. The combination of history, engineering, game design, AI collaboration, and </w:t>
      </w:r>
      <w:proofErr w:type="spellStart"/>
      <w:r>
        <w:t>civilisational</w:t>
      </w:r>
      <w:proofErr w:type="spellEnd"/>
      <w:r>
        <w:t xml:space="preserve"> theory is genuinely novel.</w:t>
      </w:r>
    </w:p>
    <w:p w14:paraId="02EDA994" w14:textId="77777777" w:rsidR="00A24315" w:rsidRDefault="00A24315">
      <w:pPr>
        <w:pStyle w:val="MdSpace"/>
        <w:spacing w:after="60"/>
      </w:pPr>
    </w:p>
    <w:p w14:paraId="02EDA995" w14:textId="77777777" w:rsidR="00A24315" w:rsidRDefault="00000000">
      <w:pPr>
        <w:pStyle w:val="MdParagraph"/>
      </w:pPr>
      <w:r>
        <w:rPr>
          <w:rStyle w:val="MdStrong"/>
        </w:rPr>
        <w:t>The ICE Charter Test</w:t>
      </w:r>
      <w:r>
        <w:t xml:space="preserve">: The ICE Charter defines civil engineering as "harnessing the great forces of nature for the betterment of mankind." IAAI embodies the SPIRIT of this charter more faithfully than most degree </w:t>
      </w:r>
      <w:proofErr w:type="spellStart"/>
      <w:r>
        <w:t>programmes</w:t>
      </w:r>
      <w:proofErr w:type="spellEnd"/>
      <w:r>
        <w:t xml:space="preserve"> — it literally traces how humanity has harnessed nature's forces across 12,000 years. But it does not teach the TECHNICAL COMPETENCIES required to fulfil the charter. Both are needed.</w:t>
      </w:r>
    </w:p>
    <w:p w14:paraId="02EDA996" w14:textId="77777777" w:rsidR="00A24315" w:rsidRDefault="00A24315">
      <w:pPr>
        <w:pStyle w:val="MdSpace"/>
        <w:spacing w:after="60"/>
      </w:pPr>
    </w:p>
    <w:p w14:paraId="02EDA997" w14:textId="77777777" w:rsidR="00A24315" w:rsidRDefault="00000000">
      <w:pPr>
        <w:pStyle w:val="MdHeading3"/>
      </w:pPr>
      <w:r>
        <w:t>Academic Scorecard</w:t>
      </w:r>
    </w:p>
    <w:tbl>
      <w:tblPr>
        <w:tblW w:w="5000" w:type="pct"/>
        <w:tblBorders>
          <w:top w:val="single" w:sz="4" w:space="0" w:color="E1E4E8"/>
          <w:bottom w:val="single" w:sz="4" w:space="0" w:color="E1E4E8"/>
          <w:insideH w:val="single" w:sz="2" w:space="0" w:color="E1E4E8"/>
          <w:insideV w:val="single" w:sz="2" w:space="0" w:color="F6F8FA"/>
        </w:tblBorders>
        <w:tblCellMar>
          <w:left w:w="10" w:type="dxa"/>
          <w:right w:w="10" w:type="dxa"/>
        </w:tblCellMar>
        <w:tblLook w:val="0000" w:firstRow="0" w:lastRow="0" w:firstColumn="0" w:lastColumn="0" w:noHBand="0" w:noVBand="0"/>
      </w:tblPr>
      <w:tblGrid>
        <w:gridCol w:w="2742"/>
        <w:gridCol w:w="1268"/>
        <w:gridCol w:w="5016"/>
      </w:tblGrid>
      <w:tr w:rsidR="00A24315" w14:paraId="02EDA99B" w14:textId="77777777">
        <w:trPr>
          <w:cantSplit/>
          <w:trHeight w:val="720"/>
          <w:tblHeader/>
        </w:trPr>
        <w:tc>
          <w:tcPr>
            <w:tcW w:w="0" w:type="auto"/>
            <w:tcMar>
              <w:top w:w="100" w:type="dxa"/>
              <w:left w:w="120" w:type="dxa"/>
              <w:bottom w:w="100" w:type="dxa"/>
              <w:right w:w="120" w:type="dxa"/>
            </w:tcMar>
            <w:vAlign w:val="center"/>
          </w:tcPr>
          <w:p w14:paraId="02EDA998" w14:textId="77777777" w:rsidR="00A24315" w:rsidRDefault="00000000">
            <w:pPr>
              <w:pStyle w:val="MdTableHeader"/>
            </w:pPr>
            <w:r>
              <w:t>Category</w:t>
            </w:r>
          </w:p>
        </w:tc>
        <w:tc>
          <w:tcPr>
            <w:tcW w:w="0" w:type="auto"/>
            <w:tcMar>
              <w:top w:w="100" w:type="dxa"/>
              <w:left w:w="120" w:type="dxa"/>
              <w:bottom w:w="100" w:type="dxa"/>
              <w:right w:w="120" w:type="dxa"/>
            </w:tcMar>
            <w:vAlign w:val="center"/>
          </w:tcPr>
          <w:p w14:paraId="02EDA999" w14:textId="77777777" w:rsidR="00A24315" w:rsidRDefault="00000000">
            <w:pPr>
              <w:pStyle w:val="MdTableHeader"/>
            </w:pPr>
            <w:r>
              <w:t>Score (1-100)</w:t>
            </w:r>
          </w:p>
        </w:tc>
        <w:tc>
          <w:tcPr>
            <w:tcW w:w="0" w:type="auto"/>
            <w:tcMar>
              <w:top w:w="100" w:type="dxa"/>
              <w:left w:w="120" w:type="dxa"/>
              <w:bottom w:w="100" w:type="dxa"/>
              <w:right w:w="120" w:type="dxa"/>
            </w:tcMar>
            <w:vAlign w:val="center"/>
          </w:tcPr>
          <w:p w14:paraId="02EDA99A" w14:textId="77777777" w:rsidR="00A24315" w:rsidRDefault="00000000">
            <w:pPr>
              <w:pStyle w:val="MdTableHeader"/>
            </w:pPr>
            <w:r>
              <w:t>Justification</w:t>
            </w:r>
          </w:p>
        </w:tc>
      </w:tr>
      <w:tr w:rsidR="00A24315" w14:paraId="02EDA99F" w14:textId="77777777">
        <w:trPr>
          <w:cantSplit/>
          <w:trHeight w:val="576"/>
        </w:trPr>
        <w:tc>
          <w:tcPr>
            <w:tcW w:w="0" w:type="auto"/>
            <w:tcMar>
              <w:top w:w="80" w:type="dxa"/>
              <w:left w:w="120" w:type="dxa"/>
              <w:bottom w:w="80" w:type="dxa"/>
              <w:right w:w="120" w:type="dxa"/>
            </w:tcMar>
            <w:vAlign w:val="center"/>
          </w:tcPr>
          <w:p w14:paraId="02EDA99C" w14:textId="77777777" w:rsidR="00A24315" w:rsidRDefault="00000000">
            <w:pPr>
              <w:pStyle w:val="MdTableCell"/>
            </w:pPr>
            <w:r>
              <w:t xml:space="preserve">Intellectual </w:t>
            </w:r>
            <w:proofErr w:type="spellStart"/>
            <w:r>
              <w:t>Rigour</w:t>
            </w:r>
            <w:proofErr w:type="spellEnd"/>
          </w:p>
        </w:tc>
        <w:tc>
          <w:tcPr>
            <w:tcW w:w="0" w:type="auto"/>
            <w:tcMar>
              <w:top w:w="80" w:type="dxa"/>
              <w:left w:w="120" w:type="dxa"/>
              <w:bottom w:w="80" w:type="dxa"/>
              <w:right w:w="120" w:type="dxa"/>
            </w:tcMar>
            <w:vAlign w:val="center"/>
          </w:tcPr>
          <w:p w14:paraId="02EDA99D" w14:textId="77777777" w:rsidR="00A24315" w:rsidRDefault="00000000">
            <w:pPr>
              <w:pStyle w:val="MdTableCell"/>
            </w:pPr>
            <w:r>
              <w:t>70</w:t>
            </w:r>
          </w:p>
        </w:tc>
        <w:tc>
          <w:tcPr>
            <w:tcW w:w="0" w:type="auto"/>
            <w:tcMar>
              <w:top w:w="80" w:type="dxa"/>
              <w:left w:w="120" w:type="dxa"/>
              <w:bottom w:w="80" w:type="dxa"/>
              <w:right w:w="120" w:type="dxa"/>
            </w:tcMar>
            <w:vAlign w:val="center"/>
          </w:tcPr>
          <w:p w14:paraId="02EDA99E" w14:textId="77777777" w:rsidR="00A24315" w:rsidRDefault="00000000">
            <w:pPr>
              <w:pStyle w:val="MdTableCell"/>
            </w:pPr>
            <w:r>
              <w:t>Strong framework, needs more primary sources and citations</w:t>
            </w:r>
          </w:p>
        </w:tc>
      </w:tr>
      <w:tr w:rsidR="00A24315" w14:paraId="02EDA9A3" w14:textId="77777777">
        <w:trPr>
          <w:cantSplit/>
          <w:trHeight w:val="576"/>
        </w:trPr>
        <w:tc>
          <w:tcPr>
            <w:tcW w:w="0" w:type="auto"/>
            <w:tcMar>
              <w:top w:w="80" w:type="dxa"/>
              <w:left w:w="120" w:type="dxa"/>
              <w:bottom w:w="80" w:type="dxa"/>
              <w:right w:w="120" w:type="dxa"/>
            </w:tcMar>
            <w:vAlign w:val="center"/>
          </w:tcPr>
          <w:p w14:paraId="02EDA9A0" w14:textId="77777777" w:rsidR="00A24315" w:rsidRDefault="00000000">
            <w:pPr>
              <w:pStyle w:val="MdTableCell"/>
            </w:pPr>
            <w:r>
              <w:t>Originality of Framework</w:t>
            </w:r>
          </w:p>
        </w:tc>
        <w:tc>
          <w:tcPr>
            <w:tcW w:w="0" w:type="auto"/>
            <w:tcMar>
              <w:top w:w="80" w:type="dxa"/>
              <w:left w:w="120" w:type="dxa"/>
              <w:bottom w:w="80" w:type="dxa"/>
              <w:right w:w="120" w:type="dxa"/>
            </w:tcMar>
            <w:vAlign w:val="center"/>
          </w:tcPr>
          <w:p w14:paraId="02EDA9A1" w14:textId="77777777" w:rsidR="00A24315" w:rsidRDefault="00000000">
            <w:pPr>
              <w:pStyle w:val="MdTableCell"/>
            </w:pPr>
            <w:r>
              <w:t>90</w:t>
            </w:r>
          </w:p>
        </w:tc>
        <w:tc>
          <w:tcPr>
            <w:tcW w:w="0" w:type="auto"/>
            <w:tcMar>
              <w:top w:w="80" w:type="dxa"/>
              <w:left w:w="120" w:type="dxa"/>
              <w:bottom w:w="80" w:type="dxa"/>
              <w:right w:w="120" w:type="dxa"/>
            </w:tcMar>
            <w:vAlign w:val="center"/>
          </w:tcPr>
          <w:p w14:paraId="02EDA9A2" w14:textId="77777777" w:rsidR="00A24315" w:rsidRDefault="00000000">
            <w:pPr>
              <w:pStyle w:val="MdTableCell"/>
            </w:pPr>
            <w:r>
              <w:t>The 12-relay structure and Three Modes typology are genuinely original</w:t>
            </w:r>
          </w:p>
        </w:tc>
      </w:tr>
      <w:tr w:rsidR="00A24315" w14:paraId="02EDA9A7" w14:textId="77777777">
        <w:trPr>
          <w:cantSplit/>
          <w:trHeight w:val="576"/>
        </w:trPr>
        <w:tc>
          <w:tcPr>
            <w:tcW w:w="0" w:type="auto"/>
            <w:tcMar>
              <w:top w:w="80" w:type="dxa"/>
              <w:left w:w="120" w:type="dxa"/>
              <w:bottom w:w="80" w:type="dxa"/>
              <w:right w:w="120" w:type="dxa"/>
            </w:tcMar>
            <w:vAlign w:val="center"/>
          </w:tcPr>
          <w:p w14:paraId="02EDA9A4" w14:textId="77777777" w:rsidR="00A24315" w:rsidRDefault="00000000">
            <w:pPr>
              <w:pStyle w:val="MdTableCell"/>
            </w:pPr>
            <w:r>
              <w:t>Historical Accuracy</w:t>
            </w:r>
          </w:p>
        </w:tc>
        <w:tc>
          <w:tcPr>
            <w:tcW w:w="0" w:type="auto"/>
            <w:tcMar>
              <w:top w:w="80" w:type="dxa"/>
              <w:left w:w="120" w:type="dxa"/>
              <w:bottom w:w="80" w:type="dxa"/>
              <w:right w:w="120" w:type="dxa"/>
            </w:tcMar>
            <w:vAlign w:val="center"/>
          </w:tcPr>
          <w:p w14:paraId="02EDA9A5" w14:textId="77777777" w:rsidR="00A24315" w:rsidRDefault="00000000">
            <w:pPr>
              <w:pStyle w:val="MdTableCell"/>
            </w:pPr>
            <w:r>
              <w:t>72</w:t>
            </w:r>
          </w:p>
        </w:tc>
        <w:tc>
          <w:tcPr>
            <w:tcW w:w="0" w:type="auto"/>
            <w:tcMar>
              <w:top w:w="80" w:type="dxa"/>
              <w:left w:w="120" w:type="dxa"/>
              <w:bottom w:w="80" w:type="dxa"/>
              <w:right w:w="120" w:type="dxa"/>
            </w:tcMar>
            <w:vAlign w:val="center"/>
          </w:tcPr>
          <w:p w14:paraId="02EDA9A6" w14:textId="77777777" w:rsidR="00A24315" w:rsidRDefault="00000000">
            <w:pPr>
              <w:pStyle w:val="MdTableCell"/>
            </w:pPr>
            <w:r>
              <w:t>Broadly correct, some claims need verification and citation</w:t>
            </w:r>
          </w:p>
        </w:tc>
      </w:tr>
      <w:tr w:rsidR="00A24315" w14:paraId="02EDA9AB" w14:textId="77777777">
        <w:trPr>
          <w:cantSplit/>
          <w:trHeight w:val="576"/>
        </w:trPr>
        <w:tc>
          <w:tcPr>
            <w:tcW w:w="0" w:type="auto"/>
            <w:tcMar>
              <w:top w:w="80" w:type="dxa"/>
              <w:left w:w="120" w:type="dxa"/>
              <w:bottom w:w="80" w:type="dxa"/>
              <w:right w:w="120" w:type="dxa"/>
            </w:tcMar>
            <w:vAlign w:val="center"/>
          </w:tcPr>
          <w:p w14:paraId="02EDA9A8" w14:textId="77777777" w:rsidR="00A24315" w:rsidRDefault="00000000">
            <w:pPr>
              <w:pStyle w:val="MdTableCell"/>
            </w:pPr>
            <w:r>
              <w:t>Educational Pedagogy</w:t>
            </w:r>
          </w:p>
        </w:tc>
        <w:tc>
          <w:tcPr>
            <w:tcW w:w="0" w:type="auto"/>
            <w:tcMar>
              <w:top w:w="80" w:type="dxa"/>
              <w:left w:w="120" w:type="dxa"/>
              <w:bottom w:w="80" w:type="dxa"/>
              <w:right w:w="120" w:type="dxa"/>
            </w:tcMar>
            <w:vAlign w:val="center"/>
          </w:tcPr>
          <w:p w14:paraId="02EDA9A9" w14:textId="77777777" w:rsidR="00A24315" w:rsidRDefault="00000000">
            <w:pPr>
              <w:pStyle w:val="MdTableCell"/>
            </w:pPr>
            <w:r>
              <w:t>74</w:t>
            </w:r>
          </w:p>
        </w:tc>
        <w:tc>
          <w:tcPr>
            <w:tcW w:w="0" w:type="auto"/>
            <w:tcMar>
              <w:top w:w="80" w:type="dxa"/>
              <w:left w:w="120" w:type="dxa"/>
              <w:bottom w:w="80" w:type="dxa"/>
              <w:right w:w="120" w:type="dxa"/>
            </w:tcMar>
            <w:vAlign w:val="center"/>
          </w:tcPr>
          <w:p w14:paraId="02EDA9AA" w14:textId="77777777" w:rsidR="00A24315" w:rsidRDefault="00000000">
            <w:pPr>
              <w:pStyle w:val="MdTableCell"/>
            </w:pPr>
            <w:r>
              <w:t>Bloom's Taxonomy alignment is sound; game mechanics are well-designed</w:t>
            </w:r>
          </w:p>
        </w:tc>
      </w:tr>
      <w:tr w:rsidR="00A24315" w14:paraId="02EDA9AF" w14:textId="77777777">
        <w:trPr>
          <w:cantSplit/>
          <w:trHeight w:val="576"/>
        </w:trPr>
        <w:tc>
          <w:tcPr>
            <w:tcW w:w="0" w:type="auto"/>
            <w:tcMar>
              <w:top w:w="80" w:type="dxa"/>
              <w:left w:w="120" w:type="dxa"/>
              <w:bottom w:w="80" w:type="dxa"/>
              <w:right w:w="120" w:type="dxa"/>
            </w:tcMar>
            <w:vAlign w:val="center"/>
          </w:tcPr>
          <w:p w14:paraId="02EDA9AC" w14:textId="77777777" w:rsidR="00A24315" w:rsidRDefault="00000000">
            <w:pPr>
              <w:pStyle w:val="MdTableCell"/>
            </w:pPr>
            <w:r>
              <w:t>Curriculum Alignment</w:t>
            </w:r>
          </w:p>
        </w:tc>
        <w:tc>
          <w:tcPr>
            <w:tcW w:w="0" w:type="auto"/>
            <w:tcMar>
              <w:top w:w="80" w:type="dxa"/>
              <w:left w:w="120" w:type="dxa"/>
              <w:bottom w:w="80" w:type="dxa"/>
              <w:right w:w="120" w:type="dxa"/>
            </w:tcMar>
            <w:vAlign w:val="center"/>
          </w:tcPr>
          <w:p w14:paraId="02EDA9AD" w14:textId="77777777" w:rsidR="00A24315" w:rsidRDefault="00000000">
            <w:pPr>
              <w:pStyle w:val="MdTableCell"/>
            </w:pPr>
            <w:r>
              <w:t>55</w:t>
            </w:r>
          </w:p>
        </w:tc>
        <w:tc>
          <w:tcPr>
            <w:tcW w:w="0" w:type="auto"/>
            <w:tcMar>
              <w:top w:w="80" w:type="dxa"/>
              <w:left w:w="120" w:type="dxa"/>
              <w:bottom w:w="80" w:type="dxa"/>
              <w:right w:w="120" w:type="dxa"/>
            </w:tcMar>
            <w:vAlign w:val="center"/>
          </w:tcPr>
          <w:p w14:paraId="02EDA9AE" w14:textId="77777777" w:rsidR="00A24315" w:rsidRDefault="00000000">
            <w:pPr>
              <w:pStyle w:val="MdTableCell"/>
            </w:pPr>
            <w:r>
              <w:t xml:space="preserve">Supplements but </w:t>
            </w:r>
            <w:proofErr w:type="gramStart"/>
            <w:r>
              <w:t>does</w:t>
            </w:r>
            <w:proofErr w:type="gramEnd"/>
            <w:r>
              <w:t xml:space="preserve"> not align with technical engineering curricula; no </w:t>
            </w:r>
            <w:proofErr w:type="spellStart"/>
            <w:r>
              <w:t>maths</w:t>
            </w:r>
            <w:proofErr w:type="spellEnd"/>
          </w:p>
        </w:tc>
      </w:tr>
      <w:tr w:rsidR="00A24315" w14:paraId="02EDA9B3" w14:textId="77777777">
        <w:trPr>
          <w:cantSplit/>
          <w:trHeight w:val="576"/>
        </w:trPr>
        <w:tc>
          <w:tcPr>
            <w:tcW w:w="0" w:type="auto"/>
            <w:tcMar>
              <w:top w:w="80" w:type="dxa"/>
              <w:left w:w="120" w:type="dxa"/>
              <w:bottom w:w="80" w:type="dxa"/>
              <w:right w:w="120" w:type="dxa"/>
            </w:tcMar>
            <w:vAlign w:val="center"/>
          </w:tcPr>
          <w:p w14:paraId="02EDA9B0" w14:textId="77777777" w:rsidR="00A24315" w:rsidRDefault="00000000">
            <w:pPr>
              <w:pStyle w:val="MdTableCell"/>
            </w:pPr>
            <w:r>
              <w:t>Game as Learning Tool</w:t>
            </w:r>
          </w:p>
        </w:tc>
        <w:tc>
          <w:tcPr>
            <w:tcW w:w="0" w:type="auto"/>
            <w:tcMar>
              <w:top w:w="80" w:type="dxa"/>
              <w:left w:w="120" w:type="dxa"/>
              <w:bottom w:w="80" w:type="dxa"/>
              <w:right w:w="120" w:type="dxa"/>
            </w:tcMar>
            <w:vAlign w:val="center"/>
          </w:tcPr>
          <w:p w14:paraId="02EDA9B1" w14:textId="77777777" w:rsidR="00A24315" w:rsidRDefault="00000000">
            <w:pPr>
              <w:pStyle w:val="MdTableCell"/>
            </w:pPr>
            <w:r>
              <w:t>75</w:t>
            </w:r>
          </w:p>
        </w:tc>
        <w:tc>
          <w:tcPr>
            <w:tcW w:w="0" w:type="auto"/>
            <w:tcMar>
              <w:top w:w="80" w:type="dxa"/>
              <w:left w:w="120" w:type="dxa"/>
              <w:bottom w:w="80" w:type="dxa"/>
              <w:right w:w="120" w:type="dxa"/>
            </w:tcMar>
            <w:vAlign w:val="center"/>
          </w:tcPr>
          <w:p w14:paraId="02EDA9B2" w14:textId="77777777" w:rsidR="00A24315" w:rsidRDefault="00000000">
            <w:pPr>
              <w:pStyle w:val="MdTableCell"/>
            </w:pPr>
            <w:r>
              <w:t>Effective concept, needs more depth and interactivity per relay</w:t>
            </w:r>
          </w:p>
        </w:tc>
      </w:tr>
      <w:tr w:rsidR="00A24315" w14:paraId="02EDA9B7" w14:textId="77777777">
        <w:trPr>
          <w:cantSplit/>
          <w:trHeight w:val="576"/>
        </w:trPr>
        <w:tc>
          <w:tcPr>
            <w:tcW w:w="0" w:type="auto"/>
            <w:tcMar>
              <w:top w:w="80" w:type="dxa"/>
              <w:left w:w="120" w:type="dxa"/>
              <w:bottom w:w="80" w:type="dxa"/>
              <w:right w:w="120" w:type="dxa"/>
            </w:tcMar>
            <w:vAlign w:val="center"/>
          </w:tcPr>
          <w:p w14:paraId="02EDA9B4" w14:textId="77777777" w:rsidR="00A24315" w:rsidRDefault="00000000">
            <w:pPr>
              <w:pStyle w:val="MdTableCell"/>
            </w:pPr>
            <w:r>
              <w:t>Scholarly Contribution</w:t>
            </w:r>
          </w:p>
        </w:tc>
        <w:tc>
          <w:tcPr>
            <w:tcW w:w="0" w:type="auto"/>
            <w:tcMar>
              <w:top w:w="80" w:type="dxa"/>
              <w:left w:w="120" w:type="dxa"/>
              <w:bottom w:w="80" w:type="dxa"/>
              <w:right w:w="120" w:type="dxa"/>
            </w:tcMar>
            <w:vAlign w:val="center"/>
          </w:tcPr>
          <w:p w14:paraId="02EDA9B5" w14:textId="77777777" w:rsidR="00A24315" w:rsidRDefault="00000000">
            <w:pPr>
              <w:pStyle w:val="MdTableCell"/>
            </w:pPr>
            <w:r>
              <w:t>78</w:t>
            </w:r>
          </w:p>
        </w:tc>
        <w:tc>
          <w:tcPr>
            <w:tcW w:w="0" w:type="auto"/>
            <w:tcMar>
              <w:top w:w="80" w:type="dxa"/>
              <w:left w:w="120" w:type="dxa"/>
              <w:bottom w:w="80" w:type="dxa"/>
              <w:right w:w="120" w:type="dxa"/>
            </w:tcMar>
            <w:vAlign w:val="center"/>
          </w:tcPr>
          <w:p w14:paraId="02EDA9B6" w14:textId="77777777" w:rsidR="00A24315" w:rsidRDefault="00000000">
            <w:pPr>
              <w:pStyle w:val="MdTableCell"/>
            </w:pPr>
            <w:r>
              <w:t>Genuine contribution to engineering history and science communication</w:t>
            </w:r>
          </w:p>
        </w:tc>
      </w:tr>
      <w:tr w:rsidR="00A24315" w14:paraId="02EDA9BB" w14:textId="77777777">
        <w:trPr>
          <w:cantSplit/>
          <w:trHeight w:val="576"/>
        </w:trPr>
        <w:tc>
          <w:tcPr>
            <w:tcW w:w="0" w:type="auto"/>
            <w:tcMar>
              <w:top w:w="80" w:type="dxa"/>
              <w:left w:w="120" w:type="dxa"/>
              <w:bottom w:w="80" w:type="dxa"/>
              <w:right w:w="120" w:type="dxa"/>
            </w:tcMar>
            <w:vAlign w:val="center"/>
          </w:tcPr>
          <w:p w14:paraId="02EDA9B8" w14:textId="77777777" w:rsidR="00A24315" w:rsidRDefault="00000000">
            <w:pPr>
              <w:pStyle w:val="MdTableCell"/>
            </w:pPr>
            <w:r>
              <w:t>Commercial-Academic Ethics</w:t>
            </w:r>
          </w:p>
        </w:tc>
        <w:tc>
          <w:tcPr>
            <w:tcW w:w="0" w:type="auto"/>
            <w:tcMar>
              <w:top w:w="80" w:type="dxa"/>
              <w:left w:w="120" w:type="dxa"/>
              <w:bottom w:w="80" w:type="dxa"/>
              <w:right w:w="120" w:type="dxa"/>
            </w:tcMar>
            <w:vAlign w:val="center"/>
          </w:tcPr>
          <w:p w14:paraId="02EDA9B9" w14:textId="77777777" w:rsidR="00A24315" w:rsidRDefault="00000000">
            <w:pPr>
              <w:pStyle w:val="MdTableCell"/>
            </w:pPr>
            <w:r>
              <w:t>72</w:t>
            </w:r>
          </w:p>
        </w:tc>
        <w:tc>
          <w:tcPr>
            <w:tcW w:w="0" w:type="auto"/>
            <w:tcMar>
              <w:top w:w="80" w:type="dxa"/>
              <w:left w:w="120" w:type="dxa"/>
              <w:bottom w:w="80" w:type="dxa"/>
              <w:right w:w="120" w:type="dxa"/>
            </w:tcMar>
            <w:vAlign w:val="center"/>
          </w:tcPr>
          <w:p w14:paraId="02EDA9BA" w14:textId="77777777" w:rsidR="00A24315" w:rsidRDefault="00000000">
            <w:pPr>
              <w:pStyle w:val="MdTableCell"/>
            </w:pPr>
            <w:r>
              <w:t>Trojan Horse is disclosed; Google Scholar parallel is valid</w:t>
            </w:r>
          </w:p>
        </w:tc>
      </w:tr>
      <w:tr w:rsidR="00A24315" w14:paraId="02EDA9BF" w14:textId="77777777">
        <w:trPr>
          <w:cantSplit/>
          <w:trHeight w:val="576"/>
        </w:trPr>
        <w:tc>
          <w:tcPr>
            <w:tcW w:w="0" w:type="auto"/>
            <w:tcMar>
              <w:top w:w="80" w:type="dxa"/>
              <w:left w:w="120" w:type="dxa"/>
              <w:bottom w:w="80" w:type="dxa"/>
              <w:right w:w="120" w:type="dxa"/>
            </w:tcMar>
            <w:vAlign w:val="center"/>
          </w:tcPr>
          <w:p w14:paraId="02EDA9BC" w14:textId="77777777" w:rsidR="00A24315" w:rsidRDefault="00000000">
            <w:pPr>
              <w:pStyle w:val="MdTableCell"/>
            </w:pPr>
            <w:r>
              <w:t>Man + Machine Collaboration</w:t>
            </w:r>
          </w:p>
        </w:tc>
        <w:tc>
          <w:tcPr>
            <w:tcW w:w="0" w:type="auto"/>
            <w:tcMar>
              <w:top w:w="80" w:type="dxa"/>
              <w:left w:w="120" w:type="dxa"/>
              <w:bottom w:w="80" w:type="dxa"/>
              <w:right w:w="120" w:type="dxa"/>
            </w:tcMar>
            <w:vAlign w:val="center"/>
          </w:tcPr>
          <w:p w14:paraId="02EDA9BD" w14:textId="77777777" w:rsidR="00A24315" w:rsidRDefault="00000000">
            <w:pPr>
              <w:pStyle w:val="MdTableCell"/>
            </w:pPr>
            <w:r>
              <w:t>82</w:t>
            </w:r>
          </w:p>
        </w:tc>
        <w:tc>
          <w:tcPr>
            <w:tcW w:w="0" w:type="auto"/>
            <w:tcMar>
              <w:top w:w="80" w:type="dxa"/>
              <w:left w:w="120" w:type="dxa"/>
              <w:bottom w:w="80" w:type="dxa"/>
              <w:right w:w="120" w:type="dxa"/>
            </w:tcMar>
            <w:vAlign w:val="center"/>
          </w:tcPr>
          <w:p w14:paraId="02EDA9BE" w14:textId="77777777" w:rsidR="00A24315" w:rsidRDefault="00000000">
            <w:pPr>
              <w:pStyle w:val="MdTableCell"/>
            </w:pPr>
            <w:r>
              <w:t>Demonstrably effective; the collaboration IS evidence for the thesis</w:t>
            </w:r>
          </w:p>
        </w:tc>
      </w:tr>
      <w:tr w:rsidR="00A24315" w14:paraId="02EDA9C3" w14:textId="77777777">
        <w:trPr>
          <w:cantSplit/>
          <w:trHeight w:val="576"/>
        </w:trPr>
        <w:tc>
          <w:tcPr>
            <w:tcW w:w="0" w:type="auto"/>
            <w:tcMar>
              <w:top w:w="80" w:type="dxa"/>
              <w:left w:w="120" w:type="dxa"/>
              <w:bottom w:w="80" w:type="dxa"/>
              <w:right w:w="120" w:type="dxa"/>
            </w:tcMar>
            <w:vAlign w:val="center"/>
          </w:tcPr>
          <w:p w14:paraId="02EDA9C0" w14:textId="77777777" w:rsidR="00A24315" w:rsidRDefault="00000000">
            <w:pPr>
              <w:pStyle w:val="MdTableCell"/>
            </w:pPr>
            <w:r>
              <w:lastRenderedPageBreak/>
              <w:t>Launch Readiness for Institutional Use</w:t>
            </w:r>
          </w:p>
        </w:tc>
        <w:tc>
          <w:tcPr>
            <w:tcW w:w="0" w:type="auto"/>
            <w:tcMar>
              <w:top w:w="80" w:type="dxa"/>
              <w:left w:w="120" w:type="dxa"/>
              <w:bottom w:w="80" w:type="dxa"/>
              <w:right w:w="120" w:type="dxa"/>
            </w:tcMar>
            <w:vAlign w:val="center"/>
          </w:tcPr>
          <w:p w14:paraId="02EDA9C1" w14:textId="77777777" w:rsidR="00A24315" w:rsidRDefault="00000000">
            <w:pPr>
              <w:pStyle w:val="MdTableCell"/>
            </w:pPr>
            <w:r>
              <w:t>58</w:t>
            </w:r>
          </w:p>
        </w:tc>
        <w:tc>
          <w:tcPr>
            <w:tcW w:w="0" w:type="auto"/>
            <w:tcMar>
              <w:top w:w="80" w:type="dxa"/>
              <w:left w:w="120" w:type="dxa"/>
              <w:bottom w:w="80" w:type="dxa"/>
              <w:right w:w="120" w:type="dxa"/>
            </w:tcMar>
            <w:vAlign w:val="center"/>
          </w:tcPr>
          <w:p w14:paraId="02EDA9C2" w14:textId="77777777" w:rsidR="00A24315" w:rsidRDefault="00000000">
            <w:pPr>
              <w:pStyle w:val="MdTableCell"/>
            </w:pPr>
            <w:r>
              <w:t>Not ready for institutional adoption; ready as a demonstration</w:t>
            </w:r>
          </w:p>
        </w:tc>
      </w:tr>
      <w:tr w:rsidR="00A24315" w14:paraId="02EDA9C7" w14:textId="77777777">
        <w:trPr>
          <w:cantSplit/>
          <w:trHeight w:val="576"/>
        </w:trPr>
        <w:tc>
          <w:tcPr>
            <w:tcW w:w="0" w:type="auto"/>
            <w:tcBorders>
              <w:bottom w:val="single" w:sz="4" w:space="0" w:color="E1E4E8"/>
            </w:tcBorders>
            <w:tcMar>
              <w:top w:w="80" w:type="dxa"/>
              <w:left w:w="120" w:type="dxa"/>
              <w:bottom w:w="80" w:type="dxa"/>
              <w:right w:w="120" w:type="dxa"/>
            </w:tcMar>
            <w:vAlign w:val="center"/>
          </w:tcPr>
          <w:p w14:paraId="02EDA9C4" w14:textId="77777777" w:rsidR="00A24315" w:rsidRDefault="00000000">
            <w:pPr>
              <w:pStyle w:val="MdTableCell"/>
            </w:pPr>
            <w:r>
              <w:rPr>
                <w:rStyle w:val="MdStrong"/>
              </w:rPr>
              <w:t>WEIGHTED TOTAL</w:t>
            </w:r>
          </w:p>
        </w:tc>
        <w:tc>
          <w:tcPr>
            <w:tcW w:w="0" w:type="auto"/>
            <w:tcBorders>
              <w:bottom w:val="single" w:sz="4" w:space="0" w:color="E1E4E8"/>
            </w:tcBorders>
            <w:tcMar>
              <w:top w:w="80" w:type="dxa"/>
              <w:left w:w="120" w:type="dxa"/>
              <w:bottom w:w="80" w:type="dxa"/>
              <w:right w:w="120" w:type="dxa"/>
            </w:tcMar>
            <w:vAlign w:val="center"/>
          </w:tcPr>
          <w:p w14:paraId="02EDA9C5" w14:textId="77777777" w:rsidR="00A24315" w:rsidRDefault="00000000">
            <w:pPr>
              <w:pStyle w:val="MdTableCell"/>
            </w:pPr>
            <w:r>
              <w:rPr>
                <w:rStyle w:val="MdStrong"/>
              </w:rPr>
              <w:t>73/100</w:t>
            </w:r>
          </w:p>
        </w:tc>
        <w:tc>
          <w:tcPr>
            <w:tcW w:w="0" w:type="auto"/>
            <w:tcBorders>
              <w:bottom w:val="single" w:sz="4" w:space="0" w:color="E1E4E8"/>
            </w:tcBorders>
            <w:tcMar>
              <w:top w:w="80" w:type="dxa"/>
              <w:left w:w="120" w:type="dxa"/>
              <w:bottom w:w="80" w:type="dxa"/>
              <w:right w:w="120" w:type="dxa"/>
            </w:tcMar>
            <w:vAlign w:val="center"/>
          </w:tcPr>
          <w:p w14:paraId="02EDA9C6" w14:textId="77777777" w:rsidR="00A24315" w:rsidRDefault="00000000">
            <w:pPr>
              <w:pStyle w:val="MdTableCell"/>
            </w:pPr>
            <w:r>
              <w:rPr>
                <w:rStyle w:val="MdStrong"/>
              </w:rPr>
              <w:t>CONDITIONAL GO — Academic track needs quantitative layer</w:t>
            </w:r>
          </w:p>
        </w:tc>
      </w:tr>
    </w:tbl>
    <w:p w14:paraId="02EDA9C8" w14:textId="77777777" w:rsidR="00A24315" w:rsidRDefault="00A24315">
      <w:pPr>
        <w:pStyle w:val="MdHr"/>
        <w:pBdr>
          <w:bottom w:val="single" w:sz="6" w:space="1" w:color="auto"/>
        </w:pBdr>
      </w:pPr>
    </w:p>
    <w:p w14:paraId="02EDA9C9" w14:textId="77777777" w:rsidR="00A24315" w:rsidRDefault="00A24315">
      <w:pPr>
        <w:pStyle w:val="MdSpace"/>
        <w:spacing w:after="60"/>
      </w:pPr>
    </w:p>
    <w:p w14:paraId="02EDA9CA" w14:textId="77777777" w:rsidR="00A24315" w:rsidRDefault="00000000">
      <w:pPr>
        <w:pStyle w:val="MdHeading2"/>
      </w:pPr>
      <w:r>
        <w:t>CONSOLIDATED VERDICT</w:t>
      </w:r>
    </w:p>
    <w:p w14:paraId="02EDA9CB" w14:textId="77777777" w:rsidR="00A24315" w:rsidRDefault="00000000">
      <w:pPr>
        <w:pStyle w:val="MdHeading3"/>
      </w:pPr>
      <w:r>
        <w:t>Three-Review Summary</w:t>
      </w:r>
    </w:p>
    <w:tbl>
      <w:tblPr>
        <w:tblW w:w="5000" w:type="pct"/>
        <w:tblBorders>
          <w:top w:val="single" w:sz="4" w:space="0" w:color="E1E4E8"/>
          <w:bottom w:val="single" w:sz="4" w:space="0" w:color="E1E4E8"/>
          <w:insideH w:val="single" w:sz="2" w:space="0" w:color="E1E4E8"/>
          <w:insideV w:val="single" w:sz="2" w:space="0" w:color="F6F8FA"/>
        </w:tblBorders>
        <w:tblCellMar>
          <w:left w:w="10" w:type="dxa"/>
          <w:right w:w="10" w:type="dxa"/>
        </w:tblCellMar>
        <w:tblLook w:val="0000" w:firstRow="0" w:lastRow="0" w:firstColumn="0" w:lastColumn="0" w:noHBand="0" w:noVBand="0"/>
      </w:tblPr>
      <w:tblGrid>
        <w:gridCol w:w="3757"/>
        <w:gridCol w:w="1470"/>
        <w:gridCol w:w="3799"/>
      </w:tblGrid>
      <w:tr w:rsidR="00A24315" w14:paraId="02EDA9CF" w14:textId="77777777">
        <w:trPr>
          <w:cantSplit/>
          <w:trHeight w:val="720"/>
          <w:tblHeader/>
        </w:trPr>
        <w:tc>
          <w:tcPr>
            <w:tcW w:w="0" w:type="auto"/>
            <w:tcMar>
              <w:top w:w="100" w:type="dxa"/>
              <w:left w:w="120" w:type="dxa"/>
              <w:bottom w:w="100" w:type="dxa"/>
              <w:right w:w="120" w:type="dxa"/>
            </w:tcMar>
            <w:vAlign w:val="center"/>
          </w:tcPr>
          <w:p w14:paraId="02EDA9CC" w14:textId="77777777" w:rsidR="00A24315" w:rsidRDefault="00000000">
            <w:pPr>
              <w:pStyle w:val="MdTableHeader"/>
            </w:pPr>
            <w:r>
              <w:t>Review</w:t>
            </w:r>
          </w:p>
        </w:tc>
        <w:tc>
          <w:tcPr>
            <w:tcW w:w="0" w:type="auto"/>
            <w:tcMar>
              <w:top w:w="100" w:type="dxa"/>
              <w:left w:w="120" w:type="dxa"/>
              <w:bottom w:w="100" w:type="dxa"/>
              <w:right w:w="120" w:type="dxa"/>
            </w:tcMar>
            <w:vAlign w:val="center"/>
          </w:tcPr>
          <w:p w14:paraId="02EDA9CD" w14:textId="77777777" w:rsidR="00A24315" w:rsidRDefault="00000000">
            <w:pPr>
              <w:pStyle w:val="MdTableHeader"/>
            </w:pPr>
            <w:r>
              <w:t>Score</w:t>
            </w:r>
          </w:p>
        </w:tc>
        <w:tc>
          <w:tcPr>
            <w:tcW w:w="0" w:type="auto"/>
            <w:tcMar>
              <w:top w:w="100" w:type="dxa"/>
              <w:left w:w="120" w:type="dxa"/>
              <w:bottom w:w="100" w:type="dxa"/>
              <w:right w:w="120" w:type="dxa"/>
            </w:tcMar>
            <w:vAlign w:val="center"/>
          </w:tcPr>
          <w:p w14:paraId="02EDA9CE" w14:textId="77777777" w:rsidR="00A24315" w:rsidRDefault="00000000">
            <w:pPr>
              <w:pStyle w:val="MdTableHeader"/>
            </w:pPr>
            <w:r>
              <w:t>Verdict</w:t>
            </w:r>
          </w:p>
        </w:tc>
      </w:tr>
      <w:tr w:rsidR="00A24315" w14:paraId="02EDA9D3" w14:textId="77777777">
        <w:trPr>
          <w:cantSplit/>
          <w:trHeight w:val="576"/>
        </w:trPr>
        <w:tc>
          <w:tcPr>
            <w:tcW w:w="0" w:type="auto"/>
            <w:tcMar>
              <w:top w:w="80" w:type="dxa"/>
              <w:left w:w="120" w:type="dxa"/>
              <w:bottom w:w="80" w:type="dxa"/>
              <w:right w:w="120" w:type="dxa"/>
            </w:tcMar>
            <w:vAlign w:val="center"/>
          </w:tcPr>
          <w:p w14:paraId="02EDA9D0" w14:textId="77777777" w:rsidR="00A24315" w:rsidRDefault="00000000">
            <w:pPr>
              <w:pStyle w:val="MdTableCell"/>
            </w:pPr>
            <w:r>
              <w:t>Freeform Explorer</w:t>
            </w:r>
          </w:p>
        </w:tc>
        <w:tc>
          <w:tcPr>
            <w:tcW w:w="0" w:type="auto"/>
            <w:tcMar>
              <w:top w:w="80" w:type="dxa"/>
              <w:left w:w="120" w:type="dxa"/>
              <w:bottom w:w="80" w:type="dxa"/>
              <w:right w:w="120" w:type="dxa"/>
            </w:tcMar>
            <w:vAlign w:val="center"/>
          </w:tcPr>
          <w:p w14:paraId="02EDA9D1" w14:textId="77777777" w:rsidR="00A24315" w:rsidRDefault="00000000">
            <w:pPr>
              <w:pStyle w:val="MdTableCell"/>
            </w:pPr>
            <w:r>
              <w:t>76/100</w:t>
            </w:r>
          </w:p>
        </w:tc>
        <w:tc>
          <w:tcPr>
            <w:tcW w:w="0" w:type="auto"/>
            <w:tcMar>
              <w:top w:w="80" w:type="dxa"/>
              <w:left w:w="120" w:type="dxa"/>
              <w:bottom w:w="80" w:type="dxa"/>
              <w:right w:w="120" w:type="dxa"/>
            </w:tcMar>
            <w:vAlign w:val="center"/>
          </w:tcPr>
          <w:p w14:paraId="02EDA9D2" w14:textId="77777777" w:rsidR="00A24315" w:rsidRDefault="00000000">
            <w:pPr>
              <w:pStyle w:val="MdTableCell"/>
            </w:pPr>
            <w:r>
              <w:t>Conditional GO</w:t>
            </w:r>
          </w:p>
        </w:tc>
      </w:tr>
      <w:tr w:rsidR="00A24315" w14:paraId="02EDA9D7" w14:textId="77777777">
        <w:trPr>
          <w:cantSplit/>
          <w:trHeight w:val="576"/>
        </w:trPr>
        <w:tc>
          <w:tcPr>
            <w:tcW w:w="0" w:type="auto"/>
            <w:tcMar>
              <w:top w:w="80" w:type="dxa"/>
              <w:left w:w="120" w:type="dxa"/>
              <w:bottom w:w="80" w:type="dxa"/>
              <w:right w:w="120" w:type="dxa"/>
            </w:tcMar>
            <w:vAlign w:val="center"/>
          </w:tcPr>
          <w:p w14:paraId="02EDA9D4" w14:textId="77777777" w:rsidR="00A24315" w:rsidRDefault="00000000">
            <w:pPr>
              <w:pStyle w:val="MdTableCell"/>
            </w:pPr>
            <w:r>
              <w:t>Guided Campaign</w:t>
            </w:r>
          </w:p>
        </w:tc>
        <w:tc>
          <w:tcPr>
            <w:tcW w:w="0" w:type="auto"/>
            <w:tcMar>
              <w:top w:w="80" w:type="dxa"/>
              <w:left w:w="120" w:type="dxa"/>
              <w:bottom w:w="80" w:type="dxa"/>
              <w:right w:w="120" w:type="dxa"/>
            </w:tcMar>
            <w:vAlign w:val="center"/>
          </w:tcPr>
          <w:p w14:paraId="02EDA9D5" w14:textId="77777777" w:rsidR="00A24315" w:rsidRDefault="00000000">
            <w:pPr>
              <w:pStyle w:val="MdTableCell"/>
            </w:pPr>
            <w:r>
              <w:t>75/100</w:t>
            </w:r>
          </w:p>
        </w:tc>
        <w:tc>
          <w:tcPr>
            <w:tcW w:w="0" w:type="auto"/>
            <w:tcMar>
              <w:top w:w="80" w:type="dxa"/>
              <w:left w:w="120" w:type="dxa"/>
              <w:bottom w:w="80" w:type="dxa"/>
              <w:right w:w="120" w:type="dxa"/>
            </w:tcMar>
            <w:vAlign w:val="center"/>
          </w:tcPr>
          <w:p w14:paraId="02EDA9D6" w14:textId="77777777" w:rsidR="00A24315" w:rsidRDefault="00000000">
            <w:pPr>
              <w:pStyle w:val="MdTableCell"/>
            </w:pPr>
            <w:r>
              <w:t>Conditional GO</w:t>
            </w:r>
          </w:p>
        </w:tc>
      </w:tr>
      <w:tr w:rsidR="00A24315" w14:paraId="02EDA9DB" w14:textId="77777777">
        <w:trPr>
          <w:cantSplit/>
          <w:trHeight w:val="576"/>
        </w:trPr>
        <w:tc>
          <w:tcPr>
            <w:tcW w:w="0" w:type="auto"/>
            <w:tcMar>
              <w:top w:w="80" w:type="dxa"/>
              <w:left w:w="120" w:type="dxa"/>
              <w:bottom w:w="80" w:type="dxa"/>
              <w:right w:w="120" w:type="dxa"/>
            </w:tcMar>
            <w:vAlign w:val="center"/>
          </w:tcPr>
          <w:p w14:paraId="02EDA9D8" w14:textId="77777777" w:rsidR="00A24315" w:rsidRDefault="00000000">
            <w:pPr>
              <w:pStyle w:val="MdTableCell"/>
            </w:pPr>
            <w:r>
              <w:t>Academic Programme</w:t>
            </w:r>
          </w:p>
        </w:tc>
        <w:tc>
          <w:tcPr>
            <w:tcW w:w="0" w:type="auto"/>
            <w:tcMar>
              <w:top w:w="80" w:type="dxa"/>
              <w:left w:w="120" w:type="dxa"/>
              <w:bottom w:w="80" w:type="dxa"/>
              <w:right w:w="120" w:type="dxa"/>
            </w:tcMar>
            <w:vAlign w:val="center"/>
          </w:tcPr>
          <w:p w14:paraId="02EDA9D9" w14:textId="77777777" w:rsidR="00A24315" w:rsidRDefault="00000000">
            <w:pPr>
              <w:pStyle w:val="MdTableCell"/>
            </w:pPr>
            <w:r>
              <w:t>73/100</w:t>
            </w:r>
          </w:p>
        </w:tc>
        <w:tc>
          <w:tcPr>
            <w:tcW w:w="0" w:type="auto"/>
            <w:tcMar>
              <w:top w:w="80" w:type="dxa"/>
              <w:left w:w="120" w:type="dxa"/>
              <w:bottom w:w="80" w:type="dxa"/>
              <w:right w:w="120" w:type="dxa"/>
            </w:tcMar>
            <w:vAlign w:val="center"/>
          </w:tcPr>
          <w:p w14:paraId="02EDA9DA" w14:textId="77777777" w:rsidR="00A24315" w:rsidRDefault="00000000">
            <w:pPr>
              <w:pStyle w:val="MdTableCell"/>
            </w:pPr>
            <w:r>
              <w:t>Conditional GO</w:t>
            </w:r>
          </w:p>
        </w:tc>
      </w:tr>
      <w:tr w:rsidR="00A24315" w14:paraId="02EDA9DF" w14:textId="77777777">
        <w:trPr>
          <w:cantSplit/>
          <w:trHeight w:val="576"/>
        </w:trPr>
        <w:tc>
          <w:tcPr>
            <w:tcW w:w="0" w:type="auto"/>
            <w:tcBorders>
              <w:bottom w:val="single" w:sz="4" w:space="0" w:color="E1E4E8"/>
            </w:tcBorders>
            <w:tcMar>
              <w:top w:w="80" w:type="dxa"/>
              <w:left w:w="120" w:type="dxa"/>
              <w:bottom w:w="80" w:type="dxa"/>
              <w:right w:w="120" w:type="dxa"/>
            </w:tcMar>
            <w:vAlign w:val="center"/>
          </w:tcPr>
          <w:p w14:paraId="02EDA9DC" w14:textId="77777777" w:rsidR="00A24315" w:rsidRDefault="00000000">
            <w:pPr>
              <w:pStyle w:val="MdTableCell"/>
            </w:pPr>
            <w:r>
              <w:rPr>
                <w:rStyle w:val="MdStrong"/>
              </w:rPr>
              <w:t>AVERAGE</w:t>
            </w:r>
          </w:p>
        </w:tc>
        <w:tc>
          <w:tcPr>
            <w:tcW w:w="0" w:type="auto"/>
            <w:tcBorders>
              <w:bottom w:val="single" w:sz="4" w:space="0" w:color="E1E4E8"/>
            </w:tcBorders>
            <w:tcMar>
              <w:top w:w="80" w:type="dxa"/>
              <w:left w:w="120" w:type="dxa"/>
              <w:bottom w:w="80" w:type="dxa"/>
              <w:right w:w="120" w:type="dxa"/>
            </w:tcMar>
            <w:vAlign w:val="center"/>
          </w:tcPr>
          <w:p w14:paraId="02EDA9DD" w14:textId="77777777" w:rsidR="00A24315" w:rsidRDefault="00000000">
            <w:pPr>
              <w:pStyle w:val="MdTableCell"/>
            </w:pPr>
            <w:r>
              <w:rPr>
                <w:rStyle w:val="MdStrong"/>
              </w:rPr>
              <w:t>75/100</w:t>
            </w:r>
          </w:p>
        </w:tc>
        <w:tc>
          <w:tcPr>
            <w:tcW w:w="0" w:type="auto"/>
            <w:tcBorders>
              <w:bottom w:val="single" w:sz="4" w:space="0" w:color="E1E4E8"/>
            </w:tcBorders>
            <w:tcMar>
              <w:top w:w="80" w:type="dxa"/>
              <w:left w:w="120" w:type="dxa"/>
              <w:bottom w:w="80" w:type="dxa"/>
              <w:right w:w="120" w:type="dxa"/>
            </w:tcMar>
            <w:vAlign w:val="center"/>
          </w:tcPr>
          <w:p w14:paraId="02EDA9DE" w14:textId="77777777" w:rsidR="00A24315" w:rsidRDefault="00000000">
            <w:pPr>
              <w:pStyle w:val="MdTableCell"/>
            </w:pPr>
            <w:r>
              <w:rPr>
                <w:rStyle w:val="MdStrong"/>
              </w:rPr>
              <w:t>CONDITIONAL GO</w:t>
            </w:r>
          </w:p>
        </w:tc>
      </w:tr>
    </w:tbl>
    <w:p w14:paraId="02EDA9E0" w14:textId="77777777" w:rsidR="00A24315" w:rsidRDefault="00000000">
      <w:pPr>
        <w:pStyle w:val="MdHeading3"/>
      </w:pPr>
      <w:r>
        <w:t>What 75/100 Means</w:t>
      </w:r>
    </w:p>
    <w:p w14:paraId="02EDA9E1" w14:textId="77777777" w:rsidR="00A24315" w:rsidRDefault="00000000">
      <w:pPr>
        <w:pStyle w:val="MdParagraph"/>
      </w:pPr>
      <w:r>
        <w:t xml:space="preserve">This is a strong beta. It is not yet at the 80% threshold the creators set as their internal benchmark. The 5-point gap is </w:t>
      </w:r>
      <w:proofErr w:type="gramStart"/>
      <w:r>
        <w:t>closable</w:t>
      </w:r>
      <w:proofErr w:type="gramEnd"/>
      <w:r>
        <w:t xml:space="preserve"> but requires focused action on:</w:t>
      </w:r>
    </w:p>
    <w:p w14:paraId="02EDA9E2" w14:textId="77777777" w:rsidR="00A24315" w:rsidRDefault="00A24315">
      <w:pPr>
        <w:pStyle w:val="MdSpace"/>
        <w:spacing w:after="60"/>
      </w:pPr>
    </w:p>
    <w:p w14:paraId="02EDA9E3" w14:textId="77777777" w:rsidR="00A24315" w:rsidRDefault="00000000">
      <w:pPr>
        <w:pStyle w:val="MdListItem"/>
        <w:numPr>
          <w:ilvl w:val="0"/>
          <w:numId w:val="2"/>
        </w:numPr>
      </w:pPr>
      <w:r>
        <w:rPr>
          <w:rStyle w:val="MdStrong"/>
        </w:rPr>
        <w:t>Content depth</w:t>
      </w:r>
      <w:r>
        <w:t xml:space="preserve"> — the single biggest lever. Deepening 3-4 relay chapters from "executive summary" to "chapter-grade" content would move the score 5-8 points.</w:t>
      </w:r>
    </w:p>
    <w:p w14:paraId="02EDA9E4" w14:textId="77777777" w:rsidR="00A24315" w:rsidRDefault="00000000">
      <w:pPr>
        <w:pStyle w:val="MdListItem"/>
        <w:numPr>
          <w:ilvl w:val="0"/>
          <w:numId w:val="2"/>
        </w:numPr>
      </w:pPr>
      <w:r>
        <w:rPr>
          <w:rStyle w:val="MdStrong"/>
        </w:rPr>
        <w:t>Quantitative layer</w:t>
      </w:r>
      <w:r>
        <w:t xml:space="preserve"> — adding dimensional analysis (M, L, T), BIM references, and numerical consistency would unlock the academic track.</w:t>
      </w:r>
    </w:p>
    <w:p w14:paraId="02EDA9E5" w14:textId="77777777" w:rsidR="00A24315" w:rsidRDefault="00000000">
      <w:pPr>
        <w:pStyle w:val="MdListItem"/>
        <w:numPr>
          <w:ilvl w:val="0"/>
          <w:numId w:val="2"/>
        </w:numPr>
      </w:pPr>
      <w:r>
        <w:rPr>
          <w:rStyle w:val="MdStrong"/>
        </w:rPr>
        <w:t>Navigation simplification</w:t>
      </w:r>
      <w:r>
        <w:t xml:space="preserve"> — a clear "Start Here" journey would improve UX scores.</w:t>
      </w:r>
    </w:p>
    <w:p w14:paraId="02EDA9E6" w14:textId="77777777" w:rsidR="00A24315" w:rsidRDefault="00000000">
      <w:pPr>
        <w:pStyle w:val="MdListItem"/>
        <w:numPr>
          <w:ilvl w:val="0"/>
          <w:numId w:val="2"/>
        </w:numPr>
      </w:pPr>
      <w:r>
        <w:rPr>
          <w:rStyle w:val="MdStrong"/>
        </w:rPr>
        <w:t>External validation</w:t>
      </w:r>
      <w:r>
        <w:t xml:space="preserve"> — 50+ external user tests would provide the evidence base for institutional credibility.</w:t>
      </w:r>
    </w:p>
    <w:p w14:paraId="02EDA9E7" w14:textId="77777777" w:rsidR="00A24315" w:rsidRDefault="00A24315">
      <w:pPr>
        <w:pStyle w:val="MdSpace"/>
        <w:spacing w:after="60"/>
      </w:pPr>
    </w:p>
    <w:p w14:paraId="02EDA9E8" w14:textId="77777777" w:rsidR="00A24315" w:rsidRDefault="00000000">
      <w:pPr>
        <w:pStyle w:val="MdHeading3"/>
      </w:pPr>
      <w:r>
        <w:lastRenderedPageBreak/>
        <w:t>The $500,000 Question</w:t>
      </w:r>
    </w:p>
    <w:p w14:paraId="02EDA9E9" w14:textId="77777777" w:rsidR="00A24315" w:rsidRDefault="00000000">
      <w:pPr>
        <w:pStyle w:val="MdParagraph"/>
      </w:pPr>
      <w:r>
        <w:t xml:space="preserve">Is IAAI a better bet </w:t>
      </w:r>
      <w:proofErr w:type="gramStart"/>
      <w:r>
        <w:t xml:space="preserve">than </w:t>
      </w:r>
      <w:proofErr w:type="spellStart"/>
      <w:r>
        <w:t>byoGuard</w:t>
      </w:r>
      <w:proofErr w:type="spellEnd"/>
      <w:proofErr w:type="gramEnd"/>
      <w:r>
        <w:t xml:space="preserve">? </w:t>
      </w:r>
      <w:r>
        <w:rPr>
          <w:rStyle w:val="MdStrong"/>
        </w:rPr>
        <w:t>Yes.</w:t>
      </w:r>
      <w:r>
        <w:t xml:space="preserve"> </w:t>
      </w:r>
      <w:proofErr w:type="spellStart"/>
      <w:r>
        <w:t>byoGuard</w:t>
      </w:r>
      <w:proofErr w:type="spellEnd"/>
      <w:r>
        <w:t xml:space="preserve"> addressed a single technical problem (air quality) in a crowded market. IAAI addresses a systemic gap (</w:t>
      </w:r>
      <w:proofErr w:type="spellStart"/>
      <w:r>
        <w:t>civilisational</w:t>
      </w:r>
      <w:proofErr w:type="spellEnd"/>
      <w:r>
        <w:t xml:space="preserve"> infrastructure education) in an empty market. The framework is original. The timing (AI collaboration, gamified learning, infrastructure investment boom) is </w:t>
      </w:r>
      <w:proofErr w:type="spellStart"/>
      <w:r>
        <w:t>favourable</w:t>
      </w:r>
      <w:proofErr w:type="spellEnd"/>
      <w:r>
        <w:t>. The risk is execution, not concept.</w:t>
      </w:r>
    </w:p>
    <w:p w14:paraId="02EDA9EA" w14:textId="77777777" w:rsidR="00A24315" w:rsidRDefault="00A24315">
      <w:pPr>
        <w:pStyle w:val="MdSpace"/>
        <w:spacing w:after="60"/>
      </w:pPr>
    </w:p>
    <w:p w14:paraId="02EDA9EB" w14:textId="77777777" w:rsidR="00A24315" w:rsidRDefault="00000000">
      <w:pPr>
        <w:pStyle w:val="MdHeading3"/>
      </w:pPr>
      <w:r>
        <w:t>The Imagination Test</w:t>
      </w:r>
    </w:p>
    <w:p w14:paraId="02EDA9EC" w14:textId="77777777" w:rsidR="00A24315" w:rsidRDefault="00000000">
      <w:pPr>
        <w:pStyle w:val="MdParagraph"/>
      </w:pPr>
      <w:r>
        <w:t xml:space="preserve">Can I imagine the world IAAI is trying to create? Yes. A world where 1 billion people understand how </w:t>
      </w:r>
      <w:proofErr w:type="spellStart"/>
      <w:r>
        <w:t>civilisation</w:t>
      </w:r>
      <w:proofErr w:type="spellEnd"/>
      <w:r>
        <w:t xml:space="preserve"> was built, relay by relay, through guided play and AI collaboration — that world is worth building. The gap between 27 users and 1 billion is vast. But the gap between 0 pages and 74 pages was also vast, and it was closed in 5 months.</w:t>
      </w:r>
    </w:p>
    <w:p w14:paraId="02EDA9ED" w14:textId="77777777" w:rsidR="00A24315" w:rsidRDefault="00A24315">
      <w:pPr>
        <w:pStyle w:val="MdSpace"/>
        <w:spacing w:after="60"/>
      </w:pPr>
    </w:p>
    <w:p w14:paraId="02EDA9EE" w14:textId="77777777" w:rsidR="00A24315" w:rsidRDefault="00000000">
      <w:pPr>
        <w:pStyle w:val="MdHeading3"/>
      </w:pPr>
      <w:r>
        <w:t>The Friend Test</w:t>
      </w:r>
    </w:p>
    <w:p w14:paraId="02EDA9EF" w14:textId="77777777" w:rsidR="00A24315" w:rsidRDefault="00000000">
      <w:pPr>
        <w:pStyle w:val="MdParagraph"/>
      </w:pPr>
      <w:r>
        <w:t xml:space="preserve">Nigel — you built something real. The framework is original. The vision is sound. The partnership works. But you are trying to carry too much at once. For mid-March: bring the website, the game demo, the investor deck, and your story. That is enough. The Olympiad, the institutional framework, the 1-billion </w:t>
      </w:r>
      <w:proofErr w:type="gramStart"/>
      <w:r>
        <w:t>target — those</w:t>
      </w:r>
      <w:proofErr w:type="gramEnd"/>
      <w:r>
        <w:t xml:space="preserve"> are Phase 2. The pier must </w:t>
      </w:r>
      <w:proofErr w:type="gramStart"/>
      <w:r>
        <w:t>hold</w:t>
      </w:r>
      <w:proofErr w:type="gramEnd"/>
      <w:r>
        <w:t xml:space="preserve"> before you build the bridge.</w:t>
      </w:r>
    </w:p>
    <w:p w14:paraId="02EDA9F0" w14:textId="77777777" w:rsidR="00A24315" w:rsidRDefault="00A24315">
      <w:pPr>
        <w:pStyle w:val="MdSpace"/>
        <w:spacing w:after="60"/>
      </w:pPr>
    </w:p>
    <w:p w14:paraId="02EDA9F1" w14:textId="77777777" w:rsidR="00A24315" w:rsidRDefault="00000000">
      <w:pPr>
        <w:pStyle w:val="MdParagraph"/>
      </w:pPr>
      <w:r>
        <w:t xml:space="preserve">The </w:t>
      </w:r>
      <w:proofErr w:type="spellStart"/>
      <w:proofErr w:type="gramStart"/>
      <w:r>
        <w:t>pier</w:t>
      </w:r>
      <w:proofErr w:type="spellEnd"/>
      <w:proofErr w:type="gramEnd"/>
      <w:r>
        <w:t xml:space="preserve"> review is complete. The foundation holds. It needs reinforcement in specific areas, but it holds.</w:t>
      </w:r>
    </w:p>
    <w:p w14:paraId="02EDA9F2" w14:textId="77777777" w:rsidR="00A24315" w:rsidRDefault="00A24315">
      <w:pPr>
        <w:pStyle w:val="MdSpace"/>
        <w:spacing w:after="60"/>
      </w:pPr>
    </w:p>
    <w:p w14:paraId="02EDA9F3" w14:textId="77777777" w:rsidR="00A24315" w:rsidRDefault="00000000">
      <w:pPr>
        <w:pStyle w:val="MdParagraph"/>
      </w:pPr>
      <w:r>
        <w:rPr>
          <w:rStyle w:val="MdStrong"/>
        </w:rPr>
        <w:t>CONDITIONAL GO. FAB.</w:t>
      </w:r>
    </w:p>
    <w:p w14:paraId="02EDA9F4" w14:textId="77777777" w:rsidR="00A24315" w:rsidRDefault="00A24315">
      <w:pPr>
        <w:pStyle w:val="MdSpace"/>
        <w:spacing w:after="60"/>
      </w:pPr>
    </w:p>
    <w:p w14:paraId="02EDA9F5" w14:textId="77777777" w:rsidR="00A24315" w:rsidRDefault="00A24315">
      <w:pPr>
        <w:pStyle w:val="MdHr"/>
        <w:pBdr>
          <w:bottom w:val="single" w:sz="6" w:space="1" w:color="auto"/>
        </w:pBdr>
      </w:pPr>
    </w:p>
    <w:p w14:paraId="02EDA9F6" w14:textId="77777777" w:rsidR="00A24315" w:rsidRDefault="00A24315">
      <w:pPr>
        <w:pStyle w:val="MdSpace"/>
        <w:spacing w:after="60"/>
      </w:pPr>
    </w:p>
    <w:p w14:paraId="02EDA9F7" w14:textId="77777777" w:rsidR="00A24315" w:rsidRDefault="00000000">
      <w:pPr>
        <w:pStyle w:val="MdHeading3"/>
      </w:pPr>
      <w:r>
        <w:t>AI Failure Log — Transparency Note</w:t>
      </w:r>
    </w:p>
    <w:p w14:paraId="02EDA9F8" w14:textId="77777777" w:rsidR="00A24315" w:rsidRDefault="00000000">
      <w:pPr>
        <w:pStyle w:val="MdParagraph"/>
      </w:pPr>
      <w:r>
        <w:t xml:space="preserve">During the preparation of this review, the AI collaborator (Manus) failed to include the actual concept guidance images in the initial briefing packages, instead providing text summaries. This was a direct violation of the creator's instructions. The error was caught by the creator, caused reputational damage with partners, and has been formally logged in the project's institutional memory (RECALL.md, Block 120). The corrected packages now include all 20 images and documents as CDN-hosted files. This failure is itself evidence for the review: the AI is not infallible. The </w:t>
      </w:r>
      <w:proofErr w:type="spellStart"/>
      <w:r>
        <w:t>man+machine</w:t>
      </w:r>
      <w:proofErr w:type="spellEnd"/>
      <w:r>
        <w:t xml:space="preserve"> thesis requires the human to check the machine's work. In this case, the human caught what the machine missed.</w:t>
      </w:r>
    </w:p>
    <w:p w14:paraId="02EDA9F9" w14:textId="77777777" w:rsidR="00A24315" w:rsidRDefault="00A24315">
      <w:pPr>
        <w:pStyle w:val="MdSpace"/>
        <w:spacing w:after="60"/>
      </w:pPr>
    </w:p>
    <w:p w14:paraId="02EDA9FA" w14:textId="77777777" w:rsidR="00A24315" w:rsidRDefault="00A24315">
      <w:pPr>
        <w:pStyle w:val="MdHr"/>
        <w:pBdr>
          <w:bottom w:val="single" w:sz="6" w:space="1" w:color="auto"/>
        </w:pBdr>
      </w:pPr>
    </w:p>
    <w:p w14:paraId="02EDA9FB" w14:textId="77777777" w:rsidR="00A24315" w:rsidRDefault="00A24315">
      <w:pPr>
        <w:pStyle w:val="MdSpace"/>
        <w:spacing w:after="60"/>
      </w:pPr>
    </w:p>
    <w:p w14:paraId="02EDA9FC" w14:textId="77777777" w:rsidR="00A24315" w:rsidRDefault="00000000">
      <w:pPr>
        <w:pStyle w:val="MdParagraph"/>
      </w:pPr>
      <w:r>
        <w:rPr>
          <w:rStyle w:val="MdEm"/>
        </w:rPr>
        <w:lastRenderedPageBreak/>
        <w:t>Prepared by Manus AI, 27 February 2026</w:t>
      </w:r>
      <w:r>
        <w:t xml:space="preserve"> </w:t>
      </w:r>
      <w:proofErr w:type="gramStart"/>
      <w:r>
        <w:rPr>
          <w:rStyle w:val="MdEm"/>
        </w:rPr>
        <w:t>On</w:t>
      </w:r>
      <w:proofErr w:type="gramEnd"/>
      <w:r>
        <w:rPr>
          <w:rStyle w:val="MdEm"/>
        </w:rPr>
        <w:t xml:space="preserve"> behalf of the IAAI project team</w:t>
      </w:r>
      <w:r>
        <w:t xml:space="preserve"> </w:t>
      </w:r>
      <w:r>
        <w:rPr>
          <w:rStyle w:val="MdEm"/>
        </w:rPr>
        <w:t>All concept guidance images and documents provided by Nigel Dearden</w:t>
      </w:r>
    </w:p>
    <w:sectPr w:rsidR="00A24315">
      <w:pgSz w:w="11906" w:h="16838"/>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1D4809"/>
    <w:multiLevelType w:val="multilevel"/>
    <w:tmpl w:val="E30849D0"/>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 w15:restartNumberingAfterBreak="0">
    <w:nsid w:val="3DC62898"/>
    <w:multiLevelType w:val="hybridMultilevel"/>
    <w:tmpl w:val="0AE0A98A"/>
    <w:lvl w:ilvl="0" w:tplc="C5D62758">
      <w:start w:val="1"/>
      <w:numFmt w:val="bullet"/>
      <w:lvlText w:val="•"/>
      <w:lvlJc w:val="left"/>
      <w:pPr>
        <w:ind w:left="720" w:hanging="360"/>
      </w:pPr>
    </w:lvl>
    <w:lvl w:ilvl="1" w:tplc="B3682C36">
      <w:start w:val="1"/>
      <w:numFmt w:val="bullet"/>
      <w:lvlText w:val="◦"/>
      <w:lvlJc w:val="left"/>
      <w:pPr>
        <w:ind w:left="1440" w:hanging="360"/>
      </w:pPr>
    </w:lvl>
    <w:lvl w:ilvl="2" w:tplc="9E665C40">
      <w:start w:val="1"/>
      <w:numFmt w:val="bullet"/>
      <w:lvlText w:val="•"/>
      <w:lvlJc w:val="left"/>
      <w:pPr>
        <w:ind w:left="2160" w:hanging="360"/>
      </w:pPr>
    </w:lvl>
    <w:lvl w:ilvl="3" w:tplc="7C228D4E">
      <w:start w:val="1"/>
      <w:numFmt w:val="bullet"/>
      <w:lvlText w:val="◦"/>
      <w:lvlJc w:val="left"/>
      <w:pPr>
        <w:ind w:left="2880" w:hanging="360"/>
      </w:pPr>
    </w:lvl>
    <w:lvl w:ilvl="4" w:tplc="8BACCC18">
      <w:start w:val="1"/>
      <w:numFmt w:val="bullet"/>
      <w:lvlText w:val="•"/>
      <w:lvlJc w:val="left"/>
      <w:pPr>
        <w:ind w:left="3600" w:hanging="360"/>
      </w:pPr>
    </w:lvl>
    <w:lvl w:ilvl="5" w:tplc="535A26DE">
      <w:start w:val="1"/>
      <w:numFmt w:val="bullet"/>
      <w:lvlText w:val="◦"/>
      <w:lvlJc w:val="left"/>
      <w:pPr>
        <w:ind w:left="4320" w:hanging="360"/>
      </w:pPr>
    </w:lvl>
    <w:lvl w:ilvl="6" w:tplc="60AADD08">
      <w:start w:val="1"/>
      <w:numFmt w:val="bullet"/>
      <w:lvlText w:val="•"/>
      <w:lvlJc w:val="left"/>
      <w:pPr>
        <w:ind w:left="5040" w:hanging="360"/>
      </w:pPr>
    </w:lvl>
    <w:lvl w:ilvl="7" w:tplc="2D244780">
      <w:numFmt w:val="decimal"/>
      <w:lvlText w:val=""/>
      <w:lvlJc w:val="left"/>
    </w:lvl>
    <w:lvl w:ilvl="8" w:tplc="82300294">
      <w:numFmt w:val="decimal"/>
      <w:lvlText w:val=""/>
      <w:lvlJc w:val="left"/>
    </w:lvl>
  </w:abstractNum>
  <w:abstractNum w:abstractNumId="2" w15:restartNumberingAfterBreak="0">
    <w:nsid w:val="72684ECA"/>
    <w:multiLevelType w:val="hybridMultilevel"/>
    <w:tmpl w:val="99BA0742"/>
    <w:lvl w:ilvl="0" w:tplc="BC0A7108">
      <w:start w:val="1"/>
      <w:numFmt w:val="bullet"/>
      <w:lvlText w:val="●"/>
      <w:lvlJc w:val="left"/>
      <w:pPr>
        <w:ind w:left="720" w:hanging="360"/>
      </w:pPr>
    </w:lvl>
    <w:lvl w:ilvl="1" w:tplc="A88EC4B4">
      <w:start w:val="1"/>
      <w:numFmt w:val="bullet"/>
      <w:lvlText w:val="○"/>
      <w:lvlJc w:val="left"/>
      <w:pPr>
        <w:ind w:left="1440" w:hanging="360"/>
      </w:pPr>
    </w:lvl>
    <w:lvl w:ilvl="2" w:tplc="B0A09CD8">
      <w:start w:val="1"/>
      <w:numFmt w:val="bullet"/>
      <w:lvlText w:val="■"/>
      <w:lvlJc w:val="left"/>
      <w:pPr>
        <w:ind w:left="2160" w:hanging="360"/>
      </w:pPr>
    </w:lvl>
    <w:lvl w:ilvl="3" w:tplc="7E88BCD6">
      <w:start w:val="1"/>
      <w:numFmt w:val="bullet"/>
      <w:lvlText w:val="●"/>
      <w:lvlJc w:val="left"/>
      <w:pPr>
        <w:ind w:left="2880" w:hanging="360"/>
      </w:pPr>
    </w:lvl>
    <w:lvl w:ilvl="4" w:tplc="E8300F18">
      <w:start w:val="1"/>
      <w:numFmt w:val="bullet"/>
      <w:lvlText w:val="○"/>
      <w:lvlJc w:val="left"/>
      <w:pPr>
        <w:ind w:left="3600" w:hanging="360"/>
      </w:pPr>
    </w:lvl>
    <w:lvl w:ilvl="5" w:tplc="84648D58">
      <w:start w:val="1"/>
      <w:numFmt w:val="bullet"/>
      <w:lvlText w:val="■"/>
      <w:lvlJc w:val="left"/>
      <w:pPr>
        <w:ind w:left="4320" w:hanging="360"/>
      </w:pPr>
    </w:lvl>
    <w:lvl w:ilvl="6" w:tplc="F2CE8A64">
      <w:start w:val="1"/>
      <w:numFmt w:val="bullet"/>
      <w:lvlText w:val="●"/>
      <w:lvlJc w:val="left"/>
      <w:pPr>
        <w:ind w:left="5040" w:hanging="360"/>
      </w:pPr>
    </w:lvl>
    <w:lvl w:ilvl="7" w:tplc="A1C0D75C">
      <w:start w:val="1"/>
      <w:numFmt w:val="bullet"/>
      <w:lvlText w:val="●"/>
      <w:lvlJc w:val="left"/>
      <w:pPr>
        <w:ind w:left="5760" w:hanging="360"/>
      </w:pPr>
    </w:lvl>
    <w:lvl w:ilvl="8" w:tplc="A57635A2">
      <w:start w:val="1"/>
      <w:numFmt w:val="bullet"/>
      <w:lvlText w:val="●"/>
      <w:lvlJc w:val="left"/>
      <w:pPr>
        <w:ind w:left="6480" w:hanging="360"/>
      </w:pPr>
    </w:lvl>
  </w:abstractNum>
  <w:num w:numId="1" w16cid:durableId="1726679277">
    <w:abstractNumId w:val="2"/>
    <w:lvlOverride w:ilvl="0">
      <w:startOverride w:val="1"/>
    </w:lvlOverride>
  </w:num>
  <w:num w:numId="2" w16cid:durableId="102460173">
    <w:abstractNumId w:val="0"/>
    <w:lvlOverride w:ilvl="0">
      <w:startOverride w:val="1"/>
    </w:lvlOverride>
  </w:num>
  <w:num w:numId="3" w16cid:durableId="1379933289">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4315"/>
    <w:rsid w:val="00814494"/>
    <w:rsid w:val="00A24315"/>
    <w:rsid w:val="00A342D9"/>
    <w:rsid w:val="00A62DCA"/>
    <w:rsid w:val="00CE4A7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EDA897"/>
  <w15:docId w15:val="{5A35BB6A-D9A7-49D4-A000-CAC243924A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unhideWhenUsed/>
    <w:qFormat/>
    <w:pPr>
      <w:outlineLvl w:val="1"/>
    </w:pPr>
    <w:rPr>
      <w:color w:val="2E74B5"/>
      <w:sz w:val="26"/>
      <w:szCs w:val="26"/>
    </w:rPr>
  </w:style>
  <w:style w:type="paragraph" w:styleId="Heading3">
    <w:name w:val="heading 3"/>
    <w:uiPriority w:val="9"/>
    <w:unhideWhenUsed/>
    <w:qFormat/>
    <w:pPr>
      <w:outlineLvl w:val="2"/>
    </w:pPr>
    <w:rPr>
      <w:color w:val="1F4D78"/>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color="0563C1"/>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paragraph" w:customStyle="1" w:styleId="MdSpace">
    <w:name w:val="MdSpace"/>
    <w:qFormat/>
    <w:rPr>
      <w:sz w:val="12"/>
      <w:szCs w:val="12"/>
    </w:rPr>
  </w:style>
  <w:style w:type="paragraph" w:customStyle="1" w:styleId="MdCode">
    <w:name w:val="MdCode"/>
    <w:qFormat/>
    <w:pPr>
      <w:pBdr>
        <w:top w:val="single" w:sz="1" w:space="8" w:color="A5A5A5"/>
        <w:left w:val="single" w:sz="1" w:space="8" w:color="A5A5A5"/>
        <w:bottom w:val="single" w:sz="1" w:space="8" w:color="A5A5A5"/>
        <w:right w:val="single" w:sz="1" w:space="8" w:color="A5A5A5"/>
      </w:pBdr>
      <w:spacing w:before="200" w:after="200"/>
    </w:pPr>
    <w:rPr>
      <w:rFonts w:ascii="Courier New" w:eastAsia="Courier New" w:hAnsi="Courier New" w:cs="Courier New"/>
      <w:color w:val="70AD47"/>
      <w:sz w:val="22"/>
      <w:szCs w:val="22"/>
    </w:rPr>
  </w:style>
  <w:style w:type="paragraph" w:customStyle="1" w:styleId="MdHr">
    <w:name w:val="MdHr"/>
    <w:qFormat/>
    <w:pPr>
      <w:pBdr>
        <w:bottom w:val="single" w:sz="1" w:space="1" w:color="A5A5A5"/>
      </w:pBdr>
      <w:spacing w:before="240" w:after="240"/>
    </w:pPr>
  </w:style>
  <w:style w:type="paragraph" w:customStyle="1" w:styleId="MdBlockquote">
    <w:name w:val="MdBlockquote"/>
    <w:qFormat/>
    <w:pPr>
      <w:pBdr>
        <w:left w:val="single" w:sz="20" w:space="12" w:color="A5A5A5"/>
      </w:pBdr>
      <w:spacing w:before="200" w:after="200"/>
      <w:ind w:left="360"/>
    </w:pPr>
    <w:rPr>
      <w:i/>
      <w:iCs/>
      <w:color w:val="666666"/>
    </w:rPr>
  </w:style>
  <w:style w:type="paragraph" w:customStyle="1" w:styleId="MdHtml">
    <w:name w:val="MdHtml"/>
    <w:qFormat/>
    <w:rPr>
      <w:rFonts w:ascii="Courier New" w:eastAsia="Courier New" w:hAnsi="Courier New" w:cs="Courier New"/>
      <w:color w:val="ED7D31"/>
    </w:rPr>
  </w:style>
  <w:style w:type="paragraph" w:customStyle="1" w:styleId="MdDef">
    <w:name w:val="MdDef"/>
    <w:qFormat/>
    <w:pPr>
      <w:ind w:left="720" w:hanging="360"/>
    </w:pPr>
  </w:style>
  <w:style w:type="paragraph" w:customStyle="1" w:styleId="MdParagraph">
    <w:name w:val="MdParagraph"/>
    <w:qFormat/>
    <w:pPr>
      <w:spacing w:before="120" w:after="120"/>
    </w:pPr>
  </w:style>
  <w:style w:type="paragraph" w:customStyle="1" w:styleId="MdText">
    <w:name w:val="MdText"/>
    <w:qFormat/>
  </w:style>
  <w:style w:type="paragraph" w:customStyle="1" w:styleId="MdFootnote">
    <w:name w:val="MdFootnote"/>
    <w:qFormat/>
    <w:rPr>
      <w:vertAlign w:val="superscript"/>
    </w:rPr>
  </w:style>
  <w:style w:type="paragraph" w:customStyle="1" w:styleId="MdListItem">
    <w:name w:val="MdListItem"/>
    <w:qFormat/>
    <w:pPr>
      <w:spacing w:before="60" w:after="60"/>
      <w:ind w:left="720" w:hanging="360"/>
    </w:pPr>
  </w:style>
  <w:style w:type="paragraph" w:customStyle="1" w:styleId="MdTable">
    <w:name w:val="MdTable"/>
    <w:qFormat/>
    <w:pPr>
      <w:spacing w:before="60" w:after="60"/>
    </w:pPr>
  </w:style>
  <w:style w:type="paragraph" w:customStyle="1" w:styleId="MdTableHeader">
    <w:name w:val="MdTableHeader"/>
    <w:qFormat/>
    <w:pPr>
      <w:spacing w:before="60" w:after="60"/>
    </w:pPr>
    <w:rPr>
      <w:b/>
      <w:bCs/>
      <w:sz w:val="22"/>
      <w:szCs w:val="22"/>
    </w:rPr>
  </w:style>
  <w:style w:type="paragraph" w:customStyle="1" w:styleId="MdTableCell">
    <w:name w:val="MdTableCell"/>
    <w:qFormat/>
    <w:pPr>
      <w:spacing w:before="40" w:after="40"/>
    </w:pPr>
    <w:rPr>
      <w:sz w:val="20"/>
      <w:szCs w:val="20"/>
    </w:rPr>
  </w:style>
  <w:style w:type="paragraph" w:customStyle="1" w:styleId="MdHeading1">
    <w:name w:val="MdHeading1"/>
    <w:qFormat/>
    <w:pPr>
      <w:keepNext/>
      <w:spacing w:before="480" w:after="240"/>
      <w:outlineLvl w:val="0"/>
    </w:pPr>
    <w:rPr>
      <w:b/>
      <w:bCs/>
      <w:sz w:val="36"/>
      <w:szCs w:val="36"/>
    </w:rPr>
  </w:style>
  <w:style w:type="paragraph" w:customStyle="1" w:styleId="MdHeading2">
    <w:name w:val="MdHeading2"/>
    <w:qFormat/>
    <w:pPr>
      <w:keepNext/>
      <w:spacing w:before="400" w:after="200"/>
      <w:outlineLvl w:val="1"/>
    </w:pPr>
    <w:rPr>
      <w:b/>
      <w:bCs/>
      <w:sz w:val="32"/>
      <w:szCs w:val="32"/>
    </w:rPr>
  </w:style>
  <w:style w:type="paragraph" w:customStyle="1" w:styleId="MdHeading3">
    <w:name w:val="MdHeading3"/>
    <w:qFormat/>
    <w:pPr>
      <w:keepNext/>
      <w:spacing w:before="320" w:after="160"/>
      <w:outlineLvl w:val="2"/>
    </w:pPr>
    <w:rPr>
      <w:b/>
      <w:bCs/>
      <w:sz w:val="28"/>
      <w:szCs w:val="28"/>
    </w:rPr>
  </w:style>
  <w:style w:type="paragraph" w:customStyle="1" w:styleId="MdHeading4">
    <w:name w:val="MdHeading4"/>
    <w:qFormat/>
    <w:pPr>
      <w:keepNext/>
      <w:spacing w:before="280" w:after="140"/>
      <w:outlineLvl w:val="3"/>
    </w:pPr>
    <w:rPr>
      <w:b/>
      <w:bCs/>
      <w:sz w:val="26"/>
      <w:szCs w:val="26"/>
    </w:rPr>
  </w:style>
  <w:style w:type="paragraph" w:customStyle="1" w:styleId="MdHeading5">
    <w:name w:val="MdHeading5"/>
    <w:qFormat/>
    <w:pPr>
      <w:keepNext/>
      <w:spacing w:before="240" w:after="120"/>
      <w:outlineLvl w:val="4"/>
    </w:pPr>
    <w:rPr>
      <w:b/>
      <w:bCs/>
      <w:i/>
      <w:iCs/>
    </w:rPr>
  </w:style>
  <w:style w:type="paragraph" w:customStyle="1" w:styleId="MdHeading6">
    <w:name w:val="MdHeading6"/>
    <w:qFormat/>
    <w:pPr>
      <w:keepNext/>
      <w:spacing w:before="240" w:after="120"/>
      <w:outlineLvl w:val="5"/>
    </w:pPr>
    <w:rPr>
      <w:i/>
      <w:iCs/>
    </w:rPr>
  </w:style>
  <w:style w:type="character" w:customStyle="1" w:styleId="MdTag">
    <w:name w:val="MdTag"/>
    <w:uiPriority w:val="99"/>
    <w:unhideWhenUsed/>
    <w:qFormat/>
    <w:rPr>
      <w:rFonts w:ascii="Courier New" w:eastAsia="Courier New" w:hAnsi="Courier New" w:cs="Courier New"/>
      <w:color w:val="ED7D31"/>
    </w:rPr>
  </w:style>
  <w:style w:type="character" w:customStyle="1" w:styleId="MdLink">
    <w:name w:val="MdLink"/>
    <w:uiPriority w:val="99"/>
    <w:unhideWhenUsed/>
    <w:qFormat/>
    <w:rPr>
      <w:color w:val="0563C1"/>
      <w:u w:val="single"/>
    </w:rPr>
  </w:style>
  <w:style w:type="character" w:customStyle="1" w:styleId="MdStrong">
    <w:name w:val="MdStrong"/>
    <w:uiPriority w:val="99"/>
    <w:unhideWhenUsed/>
    <w:qFormat/>
    <w:rPr>
      <w:b/>
      <w:bCs/>
    </w:rPr>
  </w:style>
  <w:style w:type="character" w:customStyle="1" w:styleId="MdEm">
    <w:name w:val="MdEm"/>
    <w:uiPriority w:val="99"/>
    <w:unhideWhenUsed/>
    <w:qFormat/>
    <w:rPr>
      <w:i/>
      <w:iCs/>
    </w:rPr>
  </w:style>
  <w:style w:type="character" w:customStyle="1" w:styleId="MdCodespan">
    <w:name w:val="MdCodespan"/>
    <w:uiPriority w:val="99"/>
    <w:unhideWhenUsed/>
    <w:qFormat/>
    <w:rPr>
      <w:rFonts w:ascii="Courier New" w:eastAsia="Courier New" w:hAnsi="Courier New" w:cs="Courier New"/>
      <w:color w:val="70AD47"/>
    </w:rPr>
  </w:style>
  <w:style w:type="character" w:customStyle="1" w:styleId="MdDel">
    <w:name w:val="MdDel"/>
    <w:uiPriority w:val="99"/>
    <w:unhideWhenUsed/>
    <w:qFormat/>
    <w:rPr>
      <w:strike/>
    </w:rPr>
  </w:style>
  <w:style w:type="character" w:customStyle="1" w:styleId="MdBr">
    <w:name w:val="MdBr"/>
    <w:uiPriority w:val="99"/>
    <w:unhideWhenUsed/>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3305</Words>
  <Characters>19515</Characters>
  <Application>Microsoft Office Word</Application>
  <DocSecurity>0</DocSecurity>
  <Lines>537</Lines>
  <Paragraphs>250</Paragraphs>
  <ScaleCrop>false</ScaleCrop>
  <Company/>
  <LinksUpToDate>false</LinksUpToDate>
  <CharactersWithSpaces>22628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Converted Document</dc:title>
  <dc:creator>md2docx converter</dc:creator>
  <dc:description>Converted from Markdown</dc:description>
  <cp:lastModifiedBy>Nigel Dearden</cp:lastModifiedBy>
  <cp:revision>3</cp:revision>
  <dcterms:created xsi:type="dcterms:W3CDTF">2026-02-26T23:29:00Z</dcterms:created>
  <dcterms:modified xsi:type="dcterms:W3CDTF">2026-03-07T10:32:00Z</dcterms:modified>
</cp:coreProperties>
</file>