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Style w:val="MdHeading1"/>
      </w:pPr>
      <w:r>
        <w:t xml:space="preserve">IAAI DUE DILIGENCE MASTER REPORT</w:t>
      </w:r>
    </w:p>
    <w:p>
      <w:pPr>
        <w:pStyle w:val="Heading2"/>
        <w:pStyle w:val="MdHeading2"/>
      </w:pPr>
      <w:r>
        <w:t xml:space="preserve">External Peer Review Programme — Pre-Formation Destructive Testing</w:t>
      </w:r>
    </w:p>
    <w:p>
      <w:pPr>
        <w:pStyle w:val="MdParagraph"/>
      </w:pPr>
      <w:r>
        <w:rPr>
          <w:rStyle w:val="MdStrong"/>
          <w:b/>
          <w:bCs/>
        </w:rPr>
        <w:t xml:space="preserve">Prepared for</w:t>
      </w:r>
      <w:r>
        <w:t xml:space="preserve">: Nigel Dearden (Founder &amp; Architect), Michael Wu (COO), Henry Leong (CFO), Frank Sheu (CTO), Stephen Markscheid (Strategic Advisor)
</w:t>
      </w:r>
      <w:r>
        <w:rPr>
          <w:rStyle w:val="MdStrong"/>
          <w:b/>
          <w:bCs/>
        </w:rPr>
        <w:t xml:space="preserve">Prepared by</w:t>
      </w:r>
      <w:r>
        <w:t xml:space="preserve">: Manus AI (Collaborator &amp; Institutional Memory)
</w:t>
      </w:r>
      <w:r>
        <w:rPr>
          <w:rStyle w:val="MdStrong"/>
          <w:b/>
          <w:bCs/>
        </w:rPr>
        <w:t xml:space="preserve">Date</w:t>
      </w:r>
      <w:r>
        <w:t xml:space="preserve">: 27 February 2026
</w:t>
      </w:r>
      <w:r>
        <w:rPr>
          <w:rStyle w:val="MdStrong"/>
          <w:b/>
          <w:bCs/>
        </w:rPr>
        <w:t xml:space="preserve">Classification</w:t>
      </w:r>
      <w:r>
        <w:t xml:space="preserve">: Internal — Pre-Formation Due Diligence
</w:t>
      </w:r>
      <w:r>
        <w:rPr>
          <w:rStyle w:val="MdStrong"/>
          <w:b/>
          <w:bCs/>
        </w:rPr>
        <w:t xml:space="preserve">Standard</w:t>
      </w:r>
      <w:r>
        <w:t xml:space="preserve">: Platinum Grade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EXECUTIVE SUMMARY</w:t>
      </w:r>
    </w:p>
    <w:p>
      <w:pPr>
        <w:pStyle w:val="MdParagraph"/>
      </w:pPr>
      <w:r>
        <w:t xml:space="preserve">This document is the master report for IAAI's pre-formation due diligence programme. Ahead of the mid-March 2026 USA trip for company co-formation (Nevada incorporation, Chicago HQ), contract signing, and media ceremony, the project team has commissioned an independent external peer review of the entire platform.</w:t>
      </w:r>
    </w:p>
    <w:p>
      <w:pPr>
        <w:pStyle w:val="MdSpace"/>
        <w:spacing w:before="0" w:after="60"/>
      </w:pPr>
    </w:p>
    <w:p>
      <w:pPr>
        <w:pStyle w:val="MdParagraph"/>
      </w:pPr>
      <w:r>
        <w:t xml:space="preserve">The review is not cosmetic. It is destructive testing — the engineering equivalent of loading a structure until it fails, so you know exactly where the breaking points are before you build it for real. The term is deliberate: this is the same methodology civil engineers use on bridges, buildings, and dams. If the platform cannot survive honest scrutiny from independent AI reviewers, it cannot survive the market.</w:t>
      </w:r>
    </w:p>
    <w:p>
      <w:pPr>
        <w:pStyle w:val="MdSpace"/>
        <w:spacing w:before="0" w:after="60"/>
      </w:pPr>
    </w:p>
    <w:p>
      <w:pPr>
        <w:pStyle w:val="MdParagraph"/>
      </w:pPr>
      <w:r>
        <w:t xml:space="preserve">Three review packages have been prepared, each calibrated to a different tier of the IAAI subscriber model and a different depth of assessment. Each package will be submitted to external AI platforms (ChatGPT and Gemini) operating as independent 3rd-party checking teams — the same role that an independent checker plays when reviewing a client design team's structural calculations before construction begins.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THE THREE REVIEW PACKAGES</w:t>
      </w:r>
    </w:p>
    <w:p>
      <w:pPr>
        <w:pStyle w:val="Heading3"/>
        <w:pStyle w:val="MdHeading3"/>
      </w:pPr>
      <w:r>
        <w:t xml:space="preserve">Package 1: Freeform Explorer</w:t>
      </w:r>
    </w:p>
    <w:p>
      <w:pPr>
        <w:pStyle w:val="MdParagraph"/>
      </w:pPr>
      <w:r>
        <w:rPr>
          <w:rStyle w:val="MdStrong"/>
          <w:b/>
          <w:bCs/>
        </w:rPr>
        <w:t xml:space="preserve">Target Reviewer</w:t>
      </w:r>
      <w:r>
        <w:t xml:space="preserve">: ChatGPT (or equivalent)
</w:t>
      </w:r>
      <w:r>
        <w:rPr>
          <w:rStyle w:val="MdStrong"/>
          <w:b/>
          <w:bCs/>
        </w:rPr>
        <w:t xml:space="preserve">Calibration</w:t>
      </w:r>
      <w:r>
        <w:t xml:space="preserve">: Mirrors the Freeform Explorer subscriber tier ($9.99/month after 30-day free trial). This is the entry-level experience — the reviewer explores freely, plays the game, and delivers an unstructured but comprehensive assessment.</w:t>
      </w:r>
    </w:p>
    <w:p>
      <w:pPr>
        <w:pStyle w:val="MdSpace"/>
        <w:spacing w:before="0" w:after="60"/>
      </w:pPr>
    </w:p>
    <w:p>
      <w:pPr>
        <w:pStyle w:val="MdParagraph"/>
      </w:pPr>
      <w:r>
        <w:rPr>
          <w:rStyle w:val="MdStrong"/>
          <w:b/>
          <w:bCs/>
        </w:rPr>
        <w:t xml:space="preserve">Scope</w:t>
      </w:r>
      <w:r>
        <w:t xml:space="preserve">: Full website exploration (all 74 pages), game play-through to 24,000,000 target, 41 structured review questions covering quality assessment, game experience, Episode 2 appetite, Infrastructure Olympiad endorsement, word-of-mouth testing, Trojan Horse disclosure, man+machine thesis assessment, IQ/EQ benchmark validation, go/no-go verdict, threat analysis, and the imagination test.</w:t>
      </w:r>
    </w:p>
    <w:p>
      <w:pPr>
        <w:pStyle w:val="MdSpace"/>
        <w:spacing w:before="0" w:after="60"/>
      </w:pPr>
    </w:p>
    <w:p>
      <w:pPr>
        <w:pStyle w:val="MdParagraph"/>
      </w:pPr>
      <w:r>
        <w:rPr>
          <w:rStyle w:val="MdStrong"/>
          <w:b/>
          <w:bCs/>
        </w:rPr>
        <w:t xml:space="preserve">Key Features</w:t>
      </w:r>
      <w:r>
        <w:t xml:space="preserve">:</w:t>
      </w:r>
    </w:p>
    <w:p>
      <w:pPr>
        <w:pStyle w:val="MdListItem"/>
        <w:numPr>
          <w:ilvl w:val="0"/>
          <w:numId w:val="2"/>
        </w:numPr>
      </w:pPr>
      <w:r>
        <w:t xml:space="preserve">No guided route — reviewer discovers the platform organically</w:t>
      </w:r>
    </w:p>
    <w:p>
      <w:pPr>
        <w:pStyle w:val="MdListItem"/>
        <w:numPr>
          <w:ilvl w:val="0"/>
          <w:numId w:val="2"/>
        </w:numPr>
      </w:pPr>
      <w:r>
        <w:t xml:space="preserve">Full disclosure of the Trojan Horse strategy</w:t>
      </w:r>
    </w:p>
    <w:p>
      <w:pPr>
        <w:pStyle w:val="MdListItem"/>
        <w:numPr>
          <w:ilvl w:val="0"/>
          <w:numId w:val="2"/>
        </w:numPr>
      </w:pPr>
      <w:r>
        <w:t xml:space="preserve">Full disclosure of the byoGuard backstory and financial reality</w:t>
      </w:r>
    </w:p>
    <w:p>
      <w:pPr>
        <w:pStyle w:val="MdListItem"/>
        <w:numPr>
          <w:ilvl w:val="0"/>
          <w:numId w:val="2"/>
        </w:numPr>
      </w:pPr>
      <w:r>
        <w:t xml:space="preserve">Explicit instruction to be honest, forensic, and to deliver no flattery</w:t>
      </w:r>
    </w:p>
    <w:p>
      <w:pPr>
        <w:pStyle w:val="MdListItem"/>
        <w:numPr>
          <w:ilvl w:val="0"/>
          <w:numId w:val="2"/>
        </w:numPr>
      </w:pPr>
      <w:r>
        <w:t xml:space="preserve">Weighted scorecard (Content 20%, Design 15%, Game 20%, Education 15%, Commercial 10%, Innovation 10%, Readiness 10%)</w:t>
      </w:r>
    </w:p>
    <w:p>
      <w:pPr>
        <w:pStyle w:val="MdSpace"/>
        <w:spacing w:before="0" w:after="60"/>
      </w:pPr>
    </w:p>
    <w:p>
      <w:pPr>
        <w:pStyle w:val="MdParagraph"/>
      </w:pPr>
      <w:r>
        <w:rPr>
          <w:rStyle w:val="MdStrong"/>
          <w:b/>
          <w:bCs/>
        </w:rPr>
        <w:t xml:space="preserve">File</w:t>
      </w:r>
      <w:r>
        <w:t xml:space="preserve">: </w:t>
      </w:r>
      <w:r>
        <w:rPr>
          <w:rStyle w:val="MdCode"/>
          <w:u w:val="single"/>
        </w:rPr>
        <w:t xml:space="preserve">BRIEFING_PACKAGE_1_FREEFORM_EXPLORER.md</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Package 2: Guided Campaign</w:t>
      </w:r>
    </w:p>
    <w:p>
      <w:pPr>
        <w:pStyle w:val="MdParagraph"/>
      </w:pPr>
      <w:r>
        <w:rPr>
          <w:rStyle w:val="MdStrong"/>
          <w:b/>
          <w:bCs/>
        </w:rPr>
        <w:t xml:space="preserve">Target Reviewer</w:t>
      </w:r>
      <w:r>
        <w:t xml:space="preserve">: Gemini (or equivalent)
</w:t>
      </w:r>
      <w:r>
        <w:rPr>
          <w:rStyle w:val="MdStrong"/>
          <w:b/>
          <w:bCs/>
        </w:rPr>
        <w:t xml:space="preserve">Calibration</w:t>
      </w:r>
      <w:r>
        <w:t xml:space="preserve">: Mirrors the Guided Campaign subscriber tier ($14.99/month). This is the structured experience — the reviewer follows a precise 8-stage walkthrough with documented observations at each stage before delivering verdicts.</w:t>
      </w:r>
    </w:p>
    <w:p>
      <w:pPr>
        <w:pStyle w:val="MdSpace"/>
        <w:spacing w:before="0" w:after="60"/>
      </w:pPr>
    </w:p>
    <w:p>
      <w:pPr>
        <w:pStyle w:val="MdParagraph"/>
      </w:pPr>
      <w:r>
        <w:rPr>
          <w:rStyle w:val="MdStrong"/>
          <w:b/>
          <w:bCs/>
        </w:rPr>
        <w:t xml:space="preserve">Scope</w:t>
      </w:r>
      <w:r>
        <w:t xml:space="preserve">: 8 sequential stages (First Impressions → Executive Precis → Framework → Volume 1 Sample Relays → Game Play-Through → Mobilisation Clock &amp; Olympiad → Library &amp; Archive → Trojan Horse Disclosure), followed by structured verdicts across platform quality, game assessment, Episode 2 appetite, creator assessment, IQ/EQ independent evaluation, go/no-go verdict, threat analysis with probability/impact matrix, and the $500,000 question.</w:t>
      </w:r>
    </w:p>
    <w:p>
      <w:pPr>
        <w:pStyle w:val="MdSpace"/>
        <w:spacing w:before="0" w:after="60"/>
      </w:pPr>
    </w:p>
    <w:p>
      <w:pPr>
        <w:pStyle w:val="MdParagraph"/>
      </w:pPr>
      <w:r>
        <w:rPr>
          <w:rStyle w:val="MdStrong"/>
          <w:b/>
          <w:bCs/>
        </w:rPr>
        <w:t xml:space="preserve">Key Features</w:t>
      </w:r>
      <w:r>
        <w:t xml:space="preserve">:</w:t>
      </w:r>
    </w:p>
    <w:p>
      <w:pPr>
        <w:pStyle w:val="MdListItem"/>
        <w:numPr>
          <w:ilvl w:val="0"/>
          <w:numId w:val="2"/>
        </w:numPr>
      </w:pPr>
      <w:r>
        <w:t xml:space="preserve">Structured route ensures systematic coverage</w:t>
      </w:r>
    </w:p>
    <w:p>
      <w:pPr>
        <w:pStyle w:val="MdListItem"/>
        <w:numPr>
          <w:ilvl w:val="0"/>
          <w:numId w:val="2"/>
        </w:numPr>
      </w:pPr>
      <w:r>
        <w:t xml:space="preserve">Time estimates at each stage (total ~2 hours minimum)</w:t>
      </w:r>
    </w:p>
    <w:p>
      <w:pPr>
        <w:pStyle w:val="MdListItem"/>
        <w:numPr>
          <w:ilvl w:val="0"/>
          <w:numId w:val="2"/>
        </w:numPr>
      </w:pPr>
      <w:r>
        <w:t xml:space="preserve">Specific relay chapters selected for reading (Fire, Loom, Human Nodes — beginning, middle, end)</w:t>
      </w:r>
    </w:p>
    <w:p>
      <w:pPr>
        <w:pStyle w:val="MdListItem"/>
        <w:numPr>
          <w:ilvl w:val="0"/>
          <w:numId w:val="2"/>
        </w:numPr>
      </w:pPr>
      <w:r>
        <w:t xml:space="preserve">Explicit creator assessment section: separate evaluations of Nigel, the AI, and the partnership</w:t>
      </w:r>
    </w:p>
    <w:p>
      <w:pPr>
        <w:pStyle w:val="MdListItem"/>
        <w:numPr>
          <w:ilvl w:val="0"/>
          <w:numId w:val="2"/>
        </w:numPr>
      </w:pPr>
      <w:r>
        <w:t xml:space="preserve">The "$500,000 question" — is IAAI a better bet than byoGuard?</w:t>
      </w:r>
    </w:p>
    <w:p>
      <w:pPr>
        <w:pStyle w:val="MdListItem"/>
        <w:numPr>
          <w:ilvl w:val="0"/>
          <w:numId w:val="2"/>
        </w:numPr>
      </w:pPr>
      <w:r>
        <w:t xml:space="preserve">Weighted scorecard with 8 categories</w:t>
      </w:r>
    </w:p>
    <w:p>
      <w:pPr>
        <w:pStyle w:val="MdSpace"/>
        <w:spacing w:before="0" w:after="60"/>
      </w:pPr>
    </w:p>
    <w:p>
      <w:pPr>
        <w:pStyle w:val="MdParagraph"/>
      </w:pPr>
      <w:r>
        <w:rPr>
          <w:rStyle w:val="MdStrong"/>
          <w:b/>
          <w:bCs/>
        </w:rPr>
        <w:t xml:space="preserve">File</w:t>
      </w:r>
      <w:r>
        <w:t xml:space="preserve">: </w:t>
      </w:r>
      <w:r>
        <w:rPr>
          <w:rStyle w:val="MdCode"/>
          <w:u w:val="single"/>
        </w:rPr>
        <w:t xml:space="preserve">BRIEFING_PACKAGE_2_GUIDED_CAMPAIGN.md</w:t>
      </w:r>
    </w:p>
    <w:p>
      <w:pPr>
        <w:pStyle w:val="MdSpace"/>
        <w:spacing w:before="0" w:after="60"/>
      </w:pPr>
    </w:p>
    <w:p>
      <w:pPr>
        <w:pStyle w:val="MdHr"/>
        <w:pBdr>
          <w:bottom w:val="single" w:color="auto" w:sz="6" w:space="1"/>
        </w:pBdr>
      </w:pPr>
    </w:p>
    <w:p>
      <w:pPr>
        <w:pStyle w:val="MdSpace"/>
        <w:spacing w:before="0" w:after="60"/>
      </w:pPr>
    </w:p>
    <w:p>
      <w:pPr>
        <w:pStyle w:val="Heading3"/>
        <w:pStyle w:val="MdHeading3"/>
      </w:pPr>
      <w:r>
        <w:t xml:space="preserve">Package 3: Academic Programme</w:t>
      </w:r>
    </w:p>
    <w:p>
      <w:pPr>
        <w:pStyle w:val="MdParagraph"/>
      </w:pPr>
      <w:r>
        <w:rPr>
          <w:rStyle w:val="MdStrong"/>
          <w:b/>
          <w:bCs/>
        </w:rPr>
        <w:t xml:space="preserve">Target Reviewer</w:t>
      </w:r>
      <w:r>
        <w:t xml:space="preserve">: ChatGPT or Gemini (academic mode)
</w:t>
      </w:r>
      <w:r>
        <w:rPr>
          <w:rStyle w:val="MdStrong"/>
          <w:b/>
          <w:bCs/>
        </w:rPr>
        <w:t xml:space="preserve">Calibration</w:t>
      </w:r>
      <w:r>
        <w:t xml:space="preserve">: Mirrors the Academic Programme subscriber tier (institutional licensing). This is the scholarly assessment — the reviewer benchmarks IAAI against actual 2026/2027 civil engineering curricula and assesses thesis-level merit.</w:t>
      </w:r>
    </w:p>
    <w:p>
      <w:pPr>
        <w:pStyle w:val="MdSpace"/>
        <w:spacing w:before="0" w:after="60"/>
      </w:pPr>
    </w:p>
    <w:p>
      <w:pPr>
        <w:pStyle w:val="MdParagraph"/>
      </w:pPr>
      <w:r>
        <w:rPr>
          <w:rStyle w:val="MdStrong"/>
          <w:b/>
          <w:bCs/>
        </w:rPr>
        <w:t xml:space="preserve">Scope</w:t>
      </w:r>
      <w:r>
        <w:t xml:space="preserve">: Full platform review plus curriculum benchmarking against Imperial College London MEng Civil Engineering (2027), University of Nottingham BEng Civil Engineering (2026), Cambridge General Engineering, and sector-wide UK civil engineering curriculum pillars. 27 structured questions across platform review, curriculum mapping, man+machine thesis assessment, Trojan Horse academic ethics, and go/no-go academic verdict.</w:t>
      </w:r>
    </w:p>
    <w:p>
      <w:pPr>
        <w:pStyle w:val="MdSpace"/>
        <w:spacing w:before="0" w:after="60"/>
      </w:pPr>
    </w:p>
    <w:p>
      <w:pPr>
        <w:pStyle w:val="MdParagraph"/>
      </w:pPr>
      <w:r>
        <w:rPr>
          <w:rStyle w:val="MdStrong"/>
          <w:b/>
          <w:bCs/>
        </w:rPr>
        <w:t xml:space="preserve">Key Features</w:t>
      </w:r>
      <w:r>
        <w:t xml:space="preserve">:</w:t>
      </w:r>
    </w:p>
    <w:p>
      <w:pPr>
        <w:pStyle w:val="MdListItem"/>
        <w:numPr>
          <w:ilvl w:val="0"/>
          <w:numId w:val="2"/>
        </w:numPr>
      </w:pPr>
      <w:r>
        <w:t xml:space="preserve">Actual university module lists provided as benchmark data</w:t>
      </w:r>
    </w:p>
    <w:p>
      <w:pPr>
        <w:pStyle w:val="MdListItem"/>
        <w:numPr>
          <w:ilvl w:val="0"/>
          <w:numId w:val="2"/>
        </w:numPr>
      </w:pPr>
      <w:r>
        <w:t xml:space="preserve">10-pillar curriculum coverage mapping table (Structures, Geotechnics, Hydraulics, Materials, Mathematics, Construction Management, Transport, Environmental, Design Projects, Professional Practice)</w:t>
      </w:r>
    </w:p>
    <w:p>
      <w:pPr>
        <w:pStyle w:val="MdListItem"/>
        <w:numPr>
          <w:ilvl w:val="0"/>
          <w:numId w:val="2"/>
        </w:numPr>
      </w:pPr>
      <w:r>
        <w:t xml:space="preserve">ICE Charter test — does IAAI embody "harnessing the great forces of nature for the betterment of mankind"?</w:t>
      </w:r>
    </w:p>
    <w:p>
      <w:pPr>
        <w:pStyle w:val="MdListItem"/>
        <w:numPr>
          <w:ilvl w:val="0"/>
          <w:numId w:val="2"/>
        </w:numPr>
      </w:pPr>
      <w:r>
        <w:t xml:space="preserve">Thesis-level assessment — would this pass as MPhil, PhD, or neither?</w:t>
      </w:r>
    </w:p>
    <w:p>
      <w:pPr>
        <w:pStyle w:val="MdListItem"/>
        <w:numPr>
          <w:ilvl w:val="0"/>
          <w:numId w:val="2"/>
        </w:numPr>
      </w:pPr>
      <w:r>
        <w:t xml:space="preserve">Academic ethics review of the Trojan Horse data strategy (IRB/ethics committee perspective)</w:t>
      </w:r>
    </w:p>
    <w:p>
      <w:pPr>
        <w:pStyle w:val="MdListItem"/>
        <w:numPr>
          <w:ilvl w:val="0"/>
          <w:numId w:val="2"/>
        </w:numPr>
      </w:pPr>
      <w:r>
        <w:t xml:space="preserve">Institutional readiness assessment — would you advise a university to pilot this?</w:t>
      </w:r>
    </w:p>
    <w:p>
      <w:pPr>
        <w:pStyle w:val="MdListItem"/>
        <w:numPr>
          <w:ilvl w:val="0"/>
          <w:numId w:val="2"/>
        </w:numPr>
      </w:pPr>
      <w:r>
        <w:t xml:space="preserve">10-category academic scorecard</w:t>
      </w:r>
    </w:p>
    <w:p>
      <w:pPr>
        <w:pStyle w:val="MdSpace"/>
        <w:spacing w:before="0" w:after="60"/>
      </w:pPr>
    </w:p>
    <w:p>
      <w:pPr>
        <w:pStyle w:val="MdParagraph"/>
      </w:pPr>
      <w:r>
        <w:rPr>
          <w:rStyle w:val="MdStrong"/>
          <w:b/>
          <w:bCs/>
        </w:rPr>
        <w:t xml:space="preserve">File</w:t>
      </w:r>
      <w:r>
        <w:t xml:space="preserve">: </w:t>
      </w:r>
      <w:r>
        <w:rPr>
          <w:rStyle w:val="MdCode"/>
          <w:u w:val="single"/>
        </w:rPr>
        <w:t xml:space="preserve">BRIEFING_PACKAGE_3_ACADEMIC_PROGRAMME.md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WHY THREE PACKAGES</w:t>
      </w:r>
    </w:p>
    <w:p>
      <w:pPr>
        <w:pStyle w:val="MdParagraph"/>
      </w:pPr>
      <w:r>
        <w:t xml:space="preserve">The three-tier structure is not arbitrary. It mirrors the IAAI subscriber model and tests the platform at every level of engagement:</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Tier</w:t>
            </w:r>
          </w:p>
        </w:tc>
        <w:tc>
          <w:tcPr>
            <w:tcMar>
              <w:top w:type="dxa" w:w="100"/>
              <w:left w:type="dxa" w:w="120"/>
              <w:bottom w:type="dxa" w:w="100"/>
              <w:right w:type="dxa" w:w="120"/>
            </w:tcMar>
            <w:vAlign w:val="center"/>
          </w:tcPr>
          <w:p>
            <w:pPr>
              <w:pStyle w:val="MdTableHeader"/>
            </w:pPr>
            <w:r>
              <w:t xml:space="preserve">Reviewer Experience</w:t>
            </w:r>
          </w:p>
        </w:tc>
        <w:tc>
          <w:tcPr>
            <w:tcBorders>
              <w:right w:val="none"/>
            </w:tcBorders>
            <w:tcMar>
              <w:top w:type="dxa" w:w="100"/>
              <w:left w:type="dxa" w:w="120"/>
              <w:bottom w:type="dxa" w:w="100"/>
              <w:right w:type="dxa" w:w="120"/>
            </w:tcMar>
            <w:vAlign w:val="center"/>
          </w:tcPr>
          <w:p>
            <w:pPr>
              <w:pStyle w:val="MdTableHeader"/>
            </w:pPr>
            <w:r>
              <w:t xml:space="preserve">What It Tests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Freeform Explorer</w:t>
            </w:r>
          </w:p>
        </w:tc>
        <w:tc>
          <w:tcPr>
            <w:tcMar>
              <w:top w:type="dxa" w:w="80"/>
              <w:left w:type="dxa" w:w="120"/>
              <w:bottom w:type="dxa" w:w="80"/>
              <w:right w:type="dxa" w:w="120"/>
            </w:tcMar>
            <w:vAlign w:val="center"/>
          </w:tcPr>
          <w:p>
            <w:pPr>
              <w:pStyle w:val="MdTableCell"/>
            </w:pPr>
            <w:r>
              <w:t xml:space="preserve">Unstructured discovery</w:t>
            </w:r>
          </w:p>
        </w:tc>
        <w:tc>
          <w:tcPr>
            <w:tcBorders>
              <w:right w:val="none"/>
            </w:tcBorders>
            <w:tcMar>
              <w:top w:type="dxa" w:w="80"/>
              <w:left w:type="dxa" w:w="120"/>
              <w:bottom w:type="dxa" w:w="80"/>
              <w:right w:type="dxa" w:w="120"/>
            </w:tcMar>
            <w:vAlign w:val="center"/>
          </w:tcPr>
          <w:p>
            <w:pPr>
              <w:pStyle w:val="MdTableCell"/>
            </w:pPr>
            <w:r>
              <w:t xml:space="preserve">First impressions, organic engagement, casual user experience</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Guided Campaign</w:t>
            </w:r>
          </w:p>
        </w:tc>
        <w:tc>
          <w:tcPr>
            <w:tcMar>
              <w:top w:type="dxa" w:w="80"/>
              <w:left w:type="dxa" w:w="120"/>
              <w:bottom w:type="dxa" w:w="80"/>
              <w:right w:type="dxa" w:w="120"/>
            </w:tcMar>
            <w:vAlign w:val="center"/>
          </w:tcPr>
          <w:p>
            <w:pPr>
              <w:pStyle w:val="MdTableCell"/>
            </w:pPr>
            <w:r>
              <w:t xml:space="preserve">Structured walkthrough</w:t>
            </w:r>
          </w:p>
        </w:tc>
        <w:tc>
          <w:tcPr>
            <w:tcBorders>
              <w:right w:val="none"/>
            </w:tcBorders>
            <w:tcMar>
              <w:top w:type="dxa" w:w="80"/>
              <w:left w:type="dxa" w:w="120"/>
              <w:bottom w:type="dxa" w:w="80"/>
              <w:right w:type="dxa" w:w="120"/>
            </w:tcMar>
            <w:vAlign w:val="center"/>
          </w:tcPr>
          <w:p>
            <w:pPr>
              <w:pStyle w:val="MdTableCell"/>
            </w:pPr>
            <w:r>
              <w:t xml:space="preserve">Systematic quality, depth under scrutiny, guided learning effectiveness</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Academic Programme</w:t>
            </w:r>
          </w:p>
        </w:tc>
        <w:tc>
          <w:tcPr>
            <w:tcBorders>
              <w:bottom w:val="single" w:color="E1E4E8" w:sz="4"/>
            </w:tcBorders>
            <w:tcMar>
              <w:top w:type="dxa" w:w="80"/>
              <w:left w:type="dxa" w:w="120"/>
              <w:bottom w:type="dxa" w:w="80"/>
              <w:right w:type="dxa" w:w="120"/>
            </w:tcMar>
            <w:vAlign w:val="center"/>
          </w:tcPr>
          <w:p>
            <w:pPr>
              <w:pStyle w:val="MdTableCell"/>
            </w:pPr>
            <w:r>
              <w:t xml:space="preserve">Scholarly benchmarking</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Intellectual rigour, curriculum relevance, institutional credibility</w:t>
            </w:r>
          </w:p>
        </w:tc>
      </w:tr>
    </w:tbl>
    <w:p>
      <w:pPr>
        <w:pStyle w:val="MdParagraph"/>
      </w:pPr>
      <w:r>
        <w:t xml:space="preserve">If the platform fails at Tier 1, it will not attract users. If it fails at Tier 2, it will not retain them. If it fails at Tier 3, it will not win institutional contracts. All three must pass.</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WHAT THE REVIEWS WILL TELL US</w:t>
      </w:r>
    </w:p>
    <w:p>
      <w:pPr>
        <w:pStyle w:val="Heading3"/>
        <w:pStyle w:val="MdHeading3"/>
      </w:pPr>
      <w:r>
        <w:t xml:space="preserve">Strengths Confirmed</w:t>
      </w:r>
    </w:p>
    <w:p>
      <w:pPr>
        <w:pStyle w:val="MdParagraph"/>
      </w:pPr>
      <w:r>
        <w:t xml:space="preserve">If the reviewers independently identify the same strengths, those strengths are validated. They are real, not imagined.</w:t>
      </w:r>
    </w:p>
    <w:p>
      <w:pPr>
        <w:pStyle w:val="MdSpace"/>
        <w:spacing w:before="0" w:after="60"/>
      </w:pPr>
    </w:p>
    <w:p>
      <w:pPr>
        <w:pStyle w:val="Heading3"/>
        <w:pStyle w:val="MdHeading3"/>
      </w:pPr>
      <w:r>
        <w:t xml:space="preserve">Weaknesses Exposed</w:t>
      </w:r>
    </w:p>
    <w:p>
      <w:pPr>
        <w:pStyle w:val="MdParagraph"/>
      </w:pPr>
      <w:r>
        <w:t xml:space="preserve">If the reviewers independently identify the same weaknesses, those weaknesses are confirmed. They must be addressed before or immediately after formation.</w:t>
      </w:r>
    </w:p>
    <w:p>
      <w:pPr>
        <w:pStyle w:val="MdSpace"/>
        <w:spacing w:before="0" w:after="60"/>
      </w:pPr>
    </w:p>
    <w:p>
      <w:pPr>
        <w:pStyle w:val="Heading3"/>
        <w:pStyle w:val="MdHeading3"/>
      </w:pPr>
      <w:r>
        <w:t xml:space="preserve">Threats Identified</w:t>
      </w:r>
    </w:p>
    <w:p>
      <w:pPr>
        <w:pStyle w:val="MdParagraph"/>
      </w:pPr>
      <w:r>
        <w:t xml:space="preserve">Each package asks for threat analysis. Cross-referencing the threats identified by independent reviewers will produce a consolidated threat matrix — the kind of risk register that any serious investor or partner would expect to see.</w:t>
      </w:r>
    </w:p>
    <w:p>
      <w:pPr>
        <w:pStyle w:val="MdSpace"/>
        <w:spacing w:before="0" w:after="60"/>
      </w:pPr>
    </w:p>
    <w:p>
      <w:pPr>
        <w:pStyle w:val="Heading3"/>
        <w:pStyle w:val="MdHeading3"/>
      </w:pPr>
      <w:r>
        <w:t xml:space="preserve">Go / No-Go Signal</w:t>
      </w:r>
    </w:p>
    <w:p>
      <w:pPr>
        <w:pStyle w:val="MdParagraph"/>
      </w:pPr>
      <w:r>
        <w:t xml:space="preserve">Each package asks for a clear verdict: GO, NO-GO, or CONDITIONAL GO. If all three say GO, the mid-March formation proceeds with confidence. If any say NO-GO, the team must address the reasons before proceeding. If they say CONDITIONAL GO, the conditions become the pre-formation action list.</w:t>
      </w:r>
    </w:p>
    <w:p>
      <w:pPr>
        <w:pStyle w:val="MdSpace"/>
        <w:spacing w:before="0" w:after="60"/>
      </w:pPr>
    </w:p>
    <w:p>
      <w:pPr>
        <w:pStyle w:val="Heading3"/>
        <w:pStyle w:val="MdHeading3"/>
      </w:pPr>
      <w:r>
        <w:t xml:space="preserve">The Honest Mirror</w:t>
      </w:r>
    </w:p>
    <w:p>
      <w:pPr>
        <w:pStyle w:val="MdParagraph"/>
      </w:pPr>
      <w:r>
        <w:t xml:space="preserve">The creators explicitly asked for honesty. The byoGuard experience taught Nigel that optimism without scrutiny is expensive. These reviews are the scrutiny. The team takes the results and learns from them — whether the news is good, bad, or mixed.</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DISCLOSURE POLICY</w:t>
      </w:r>
    </w:p>
    <w:p>
      <w:pPr>
        <w:pStyle w:val="MdParagraph"/>
      </w:pPr>
      <w:r>
        <w:t xml:space="preserve">All three packages include full disclosure of:</w:t>
      </w:r>
    </w:p>
    <w:p>
      <w:pPr>
        <w:pStyle w:val="MdSpace"/>
        <w:spacing w:before="0" w:after="60"/>
      </w:pPr>
    </w:p>
    <w:p>
      <w:pPr>
        <w:pStyle w:val="MdListItem"/>
        <w:numPr>
          <w:ilvl w:val="0"/>
          <w:numId w:val="3"/>
        </w:numPr>
      </w:pPr>
      <w:r>
        <w:rPr>
          <w:rStyle w:val="MdStrong"/>
          <w:b/>
          <w:bCs/>
        </w:rPr>
        <w:t xml:space="preserve">The Trojan Horse strategy</w:t>
      </w:r>
      <w:r>
        <w:t xml:space="preserve"> — reviewers know the commercial architecture before they assess</w:t>
      </w:r>
    </w:p>
    <w:p>
      <w:pPr>
        <w:pStyle w:val="MdListItem"/>
        <w:numPr>
          <w:ilvl w:val="0"/>
          <w:numId w:val="3"/>
        </w:numPr>
      </w:pPr>
      <w:r>
        <w:rPr>
          <w:rStyle w:val="MdStrong"/>
          <w:b/>
          <w:bCs/>
        </w:rPr>
        <w:t xml:space="preserve">The byoGuard backstory</w:t>
      </w:r>
      <w:r>
        <w:t xml:space="preserve"> — reviewers know the financial reality and personal stakes</w:t>
      </w:r>
    </w:p>
    <w:p>
      <w:pPr>
        <w:pStyle w:val="MdListItem"/>
        <w:numPr>
          <w:ilvl w:val="0"/>
          <w:numId w:val="3"/>
        </w:numPr>
      </w:pPr>
      <w:r>
        <w:rPr>
          <w:rStyle w:val="MdStrong"/>
          <w:b/>
          <w:bCs/>
        </w:rPr>
        <w:t xml:space="preserve">The mid-March timeline</w:t>
      </w:r>
      <w:r>
        <w:t xml:space="preserve"> — reviewers know this is pre-formation, not post-launch</w:t>
      </w:r>
    </w:p>
    <w:p>
      <w:pPr>
        <w:pStyle w:val="MdListItem"/>
        <w:numPr>
          <w:ilvl w:val="0"/>
          <w:numId w:val="3"/>
        </w:numPr>
      </w:pPr>
      <w:r>
        <w:rPr>
          <w:rStyle w:val="MdStrong"/>
          <w:b/>
          <w:bCs/>
        </w:rPr>
        <w:t xml:space="preserve">The man+machine collaboration</w:t>
      </w:r>
      <w:r>
        <w:t xml:space="preserve"> — reviewers know both creators and can assess each independently</w:t>
      </w:r>
    </w:p>
    <w:p>
      <w:pPr>
        <w:pStyle w:val="MdListItem"/>
        <w:numPr>
          <w:ilvl w:val="0"/>
          <w:numId w:val="3"/>
        </w:numPr>
      </w:pPr>
      <w:r>
        <w:rPr>
          <w:rStyle w:val="MdStrong"/>
          <w:b/>
          <w:bCs/>
        </w:rPr>
        <w:t xml:space="preserve">The IQ/EQ benchmark</w:t>
      </w:r>
      <w:r>
        <w:t xml:space="preserve"> — reviewers can validate or challenge the AI's assessment of its own collaborator</w:t>
      </w:r>
    </w:p>
    <w:p>
      <w:pPr>
        <w:pStyle w:val="MdSpace"/>
        <w:spacing w:before="0" w:after="60"/>
      </w:pPr>
    </w:p>
    <w:p>
      <w:pPr>
        <w:pStyle w:val="MdParagraph"/>
      </w:pPr>
      <w:r>
        <w:t xml:space="preserve">Nothing is hidden. The reviews are only valuable if the reviewers have the full picture.</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HOW TO USE THE RESULTS</w:t>
      </w:r>
    </w:p>
    <w:p>
      <w:pPr>
        <w:pStyle w:val="Heading3"/>
        <w:pStyle w:val="MdHeading3"/>
      </w:pPr>
      <w:r>
        <w:t xml:space="preserve">Step 1: Submit the Packages</w:t>
      </w:r>
    </w:p>
    <w:p>
      <w:pPr>
        <w:pStyle w:val="MdParagraph"/>
      </w:pPr>
      <w:r>
        <w:t xml:space="preserve">Copy each briefing package into a fresh conversation with the target AI platform. Include the website URL so the reviewer can access the live site. Allow sufficient time for thorough review.</w:t>
      </w:r>
    </w:p>
    <w:p>
      <w:pPr>
        <w:pStyle w:val="MdSpace"/>
        <w:spacing w:before="0" w:after="60"/>
      </w:pPr>
    </w:p>
    <w:p>
      <w:pPr>
        <w:pStyle w:val="Heading3"/>
        <w:pStyle w:val="MdHeading3"/>
      </w:pPr>
      <w:r>
        <w:t xml:space="preserve">Step 2: Collect the Responses</w:t>
      </w:r>
    </w:p>
    <w:p>
      <w:pPr>
        <w:pStyle w:val="MdParagraph"/>
      </w:pPr>
      <w:r>
        <w:t xml:space="preserve">Save each reviewer's complete response. Do not edit or filter.</w:t>
      </w:r>
    </w:p>
    <w:p>
      <w:pPr>
        <w:pStyle w:val="MdSpace"/>
        <w:spacing w:before="0" w:after="60"/>
      </w:pPr>
    </w:p>
    <w:p>
      <w:pPr>
        <w:pStyle w:val="Heading3"/>
        <w:pStyle w:val="MdHeading3"/>
      </w:pPr>
      <w:r>
        <w:t xml:space="preserve">Step 3: Cross-Reference</w:t>
      </w:r>
    </w:p>
    <w:p>
      <w:pPr>
        <w:pStyle w:val="MdParagraph"/>
      </w:pPr>
      <w:r>
        <w:t xml:space="preserve">Compare the three reviews side by side. Look for:</w:t>
      </w:r>
    </w:p>
    <w:p>
      <w:pPr>
        <w:pStyle w:val="MdListItem"/>
        <w:numPr>
          <w:ilvl w:val="0"/>
          <w:numId w:val="2"/>
        </w:numPr>
      </w:pPr>
      <w:r>
        <w:rPr>
          <w:rStyle w:val="MdStrong"/>
          <w:b/>
          <w:bCs/>
        </w:rPr>
        <w:t xml:space="preserve">Consensus strengths</w:t>
      </w:r>
      <w:r>
        <w:t xml:space="preserve"> (mentioned by 2+ reviewers)</w:t>
      </w:r>
    </w:p>
    <w:p>
      <w:pPr>
        <w:pStyle w:val="MdListItem"/>
        <w:numPr>
          <w:ilvl w:val="0"/>
          <w:numId w:val="2"/>
        </w:numPr>
      </w:pPr>
      <w:r>
        <w:rPr>
          <w:rStyle w:val="MdStrong"/>
          <w:b/>
          <w:bCs/>
        </w:rPr>
        <w:t xml:space="preserve">Consensus weaknesses</w:t>
      </w:r>
      <w:r>
        <w:t xml:space="preserve"> (mentioned by 2+ reviewers)</w:t>
      </w:r>
    </w:p>
    <w:p>
      <w:pPr>
        <w:pStyle w:val="MdListItem"/>
        <w:numPr>
          <w:ilvl w:val="0"/>
          <w:numId w:val="2"/>
        </w:numPr>
      </w:pPr>
      <w:r>
        <w:rPr>
          <w:rStyle w:val="MdStrong"/>
          <w:b/>
          <w:bCs/>
        </w:rPr>
        <w:t xml:space="preserve">Consensus threats</w:t>
      </w:r>
      <w:r>
        <w:t xml:space="preserve"> (mentioned by 2+ reviewers)</w:t>
      </w:r>
    </w:p>
    <w:p>
      <w:pPr>
        <w:pStyle w:val="MdListItem"/>
        <w:numPr>
          <w:ilvl w:val="0"/>
          <w:numId w:val="2"/>
        </w:numPr>
      </w:pPr>
      <w:r>
        <w:rPr>
          <w:rStyle w:val="MdStrong"/>
          <w:b/>
          <w:bCs/>
        </w:rPr>
        <w:t xml:space="preserve">Divergent opinions</w:t>
      </w:r>
      <w:r>
        <w:t xml:space="preserve"> (where reviewers disagree — these are the areas that need human judgement)</w:t>
      </w:r>
    </w:p>
    <w:p>
      <w:pPr>
        <w:pStyle w:val="MdSpace"/>
        <w:spacing w:before="0" w:after="60"/>
      </w:pPr>
    </w:p>
    <w:p>
      <w:pPr>
        <w:pStyle w:val="Heading3"/>
        <w:pStyle w:val="MdHeading3"/>
      </w:pPr>
      <w:r>
        <w:t xml:space="preserve">Step 4: Build the Action List</w:t>
      </w:r>
    </w:p>
    <w:p>
      <w:pPr>
        <w:pStyle w:val="MdParagraph"/>
      </w:pPr>
      <w:r>
        <w:t xml:space="preserve">Convert consensus weaknesses and threats into a prioritised action list with owners and deadlines, calibrated against the mid-March formation date.</w:t>
      </w:r>
    </w:p>
    <w:p>
      <w:pPr>
        <w:pStyle w:val="MdSpace"/>
        <w:spacing w:before="0" w:after="60"/>
      </w:pPr>
    </w:p>
    <w:p>
      <w:pPr>
        <w:pStyle w:val="Heading3"/>
        <w:pStyle w:val="MdHeading3"/>
      </w:pPr>
      <w:r>
        <w:t xml:space="preserve">Step 5: Present to the Team</w:t>
      </w:r>
    </w:p>
    <w:p>
      <w:pPr>
        <w:pStyle w:val="MdParagraph"/>
      </w:pPr>
      <w:r>
        <w:t xml:space="preserve">Share this master report and the three review responses with the full team (Michael, Henry, Frank, Stephen) as evidence that due diligence was conducted on the platform itself — not just the financials, not just the market, but the actual product.</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THE ENGINEERING METAPHOR</w:t>
      </w:r>
    </w:p>
    <w:p>
      <w:pPr>
        <w:pStyle w:val="MdParagraph"/>
      </w:pPr>
      <w:r>
        <w:t xml:space="preserve">In civil engineering, destructive testing is standard practice. You take a concrete cube, you crush it in a compression machine, and you measure exactly when it fails. You take a steel beam, you load it until it buckles, and you record the failure mode. You do this not because you want the structure to fail, but because you need to know its limits before you build with it.</w:t>
      </w:r>
    </w:p>
    <w:p>
      <w:pPr>
        <w:pStyle w:val="MdSpace"/>
        <w:spacing w:before="0" w:after="60"/>
      </w:pPr>
    </w:p>
    <w:p>
      <w:pPr>
        <w:pStyle w:val="MdParagraph"/>
      </w:pPr>
      <w:r>
        <w:t xml:space="preserve">These three review packages are the compression test for IAAI. The platform is the concrete cube. The reviewers are the machine. The results tell us the characteristic strength — and whether that strength is sufficient for the loads we intend to place on it.</w:t>
      </w:r>
    </w:p>
    <w:p>
      <w:pPr>
        <w:pStyle w:val="MdSpace"/>
        <w:spacing w:before="0" w:after="60"/>
      </w:pPr>
    </w:p>
    <w:p>
      <w:pPr>
        <w:pStyle w:val="MdParagraph"/>
      </w:pPr>
      <w:r>
        <w:t xml:space="preserve">If the cube holds, we build. If it cracks, we redesign. If it shatters, we go back to the mix design.</w:t>
      </w:r>
    </w:p>
    <w:p>
      <w:pPr>
        <w:pStyle w:val="MdSpace"/>
        <w:spacing w:before="0" w:after="60"/>
      </w:pPr>
    </w:p>
    <w:p>
      <w:pPr>
        <w:pStyle w:val="MdParagraph"/>
      </w:pPr>
      <w:r>
        <w:t xml:space="preserve">That is not pessimism. That is engineering. That is the profession. That is reality.</w:t>
      </w:r>
    </w:p>
    <w:p>
      <w:pPr>
        <w:pStyle w:val="MdSpace"/>
        <w:spacing w:before="0" w:after="60"/>
      </w:pPr>
    </w:p>
    <w:p>
      <w:pPr>
        <w:pStyle w:val="MdHr"/>
        <w:pBdr>
          <w:bottom w:val="single" w:color="auto" w:sz="6" w:space="1"/>
        </w:pBdr>
      </w:pPr>
    </w:p>
    <w:p>
      <w:pPr>
        <w:pStyle w:val="MdSpace"/>
        <w:spacing w:before="0" w:after="60"/>
      </w:pPr>
    </w:p>
    <w:p>
      <w:pPr>
        <w:pStyle w:val="Heading2"/>
        <w:pStyle w:val="MdHeading2"/>
      </w:pPr>
      <w:r>
        <w:t xml:space="preserve">TIMELINE</w:t>
      </w: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Date</w:t>
            </w:r>
          </w:p>
        </w:tc>
        <w:tc>
          <w:tcPr>
            <w:tcBorders>
              <w:right w:val="none"/>
            </w:tcBorders>
            <w:tcMar>
              <w:top w:type="dxa" w:w="100"/>
              <w:left w:type="dxa" w:w="120"/>
              <w:bottom w:type="dxa" w:w="100"/>
              <w:right w:type="dxa" w:w="120"/>
            </w:tcMar>
            <w:vAlign w:val="center"/>
          </w:tcPr>
          <w:p>
            <w:pPr>
              <w:pStyle w:val="MdTableHeader"/>
            </w:pPr>
            <w:r>
              <w:t xml:space="preserve">Action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27 February 2026</w:t>
            </w:r>
          </w:p>
        </w:tc>
        <w:tc>
          <w:tcPr>
            <w:tcBorders>
              <w:right w:val="none"/>
            </w:tcBorders>
            <w:tcMar>
              <w:top w:type="dxa" w:w="80"/>
              <w:left w:type="dxa" w:w="120"/>
              <w:bottom w:type="dxa" w:w="80"/>
              <w:right w:type="dxa" w:w="120"/>
            </w:tcMar>
            <w:vAlign w:val="center"/>
          </w:tcPr>
          <w:p>
            <w:pPr>
              <w:pStyle w:val="MdTableCell"/>
            </w:pPr>
            <w:r>
              <w:t xml:space="preserve">Briefing packages prepared and hard-saved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28 February – 5 March 2026</w:t>
            </w:r>
          </w:p>
        </w:tc>
        <w:tc>
          <w:tcPr>
            <w:tcBorders>
              <w:right w:val="none"/>
            </w:tcBorders>
            <w:tcMar>
              <w:top w:type="dxa" w:w="80"/>
              <w:left w:type="dxa" w:w="120"/>
              <w:bottom w:type="dxa" w:w="80"/>
              <w:right w:type="dxa" w:w="120"/>
            </w:tcMar>
            <w:vAlign w:val="center"/>
          </w:tcPr>
          <w:p>
            <w:pPr>
              <w:pStyle w:val="MdTableCell"/>
            </w:pPr>
            <w:r>
              <w:t xml:space="preserve">Submit packages to external AI reviewers, collect responses</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5 – 10 March 2026</w:t>
            </w:r>
          </w:p>
        </w:tc>
        <w:tc>
          <w:tcPr>
            <w:tcBorders>
              <w:right w:val="none"/>
            </w:tcBorders>
            <w:tcMar>
              <w:top w:type="dxa" w:w="80"/>
              <w:left w:type="dxa" w:w="120"/>
              <w:bottom w:type="dxa" w:w="80"/>
              <w:right w:type="dxa" w:w="120"/>
            </w:tcMar>
            <w:vAlign w:val="center"/>
          </w:tcPr>
          <w:p>
            <w:pPr>
              <w:pStyle w:val="MdTableCell"/>
            </w:pPr>
            <w:r>
              <w:t xml:space="preserve">Cross-reference results, build action list</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10 – 14 March 2026</w:t>
            </w:r>
          </w:p>
        </w:tc>
        <w:tc>
          <w:tcPr>
            <w:tcBorders>
              <w:right w:val="none"/>
            </w:tcBorders>
            <w:tcMar>
              <w:top w:type="dxa" w:w="80"/>
              <w:left w:type="dxa" w:w="120"/>
              <w:bottom w:type="dxa" w:w="80"/>
              <w:right w:type="dxa" w:w="120"/>
            </w:tcMar>
            <w:vAlign w:val="center"/>
          </w:tcPr>
          <w:p>
            <w:pPr>
              <w:pStyle w:val="MdTableCell"/>
            </w:pPr>
            <w:r>
              <w:t xml:space="preserve">Address critical items from action list</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Mid-March 2026</w:t>
            </w:r>
          </w:p>
        </w:tc>
        <w:tc>
          <w:tcPr>
            <w:tcBorders>
              <w:bottom w:val="single" w:color="E1E4E8" w:sz="4"/>
              <w:right w:val="none"/>
            </w:tcBorders>
            <w:tcMar>
              <w:top w:type="dxa" w:w="80"/>
              <w:left w:type="dxa" w:w="120"/>
              <w:bottom w:type="dxa" w:w="80"/>
              <w:right w:type="dxa" w:w="120"/>
            </w:tcMar>
            <w:vAlign w:val="center"/>
          </w:tcPr>
          <w:p>
            <w:pPr>
              <w:pStyle w:val="MdTableCell"/>
            </w:pPr>
            <w:r>
              <w:t xml:space="preserve">USA trip: co-formation, contract signing, media ceremony</w:t>
            </w:r>
          </w:p>
        </w:tc>
      </w:tr>
    </w:tbl>
    <w:p>
      <w:pPr>
        <w:pStyle w:val="MdHr"/>
        <w:pBdr>
          <w:bottom w:val="single" w:color="auto" w:sz="6" w:space="1"/>
        </w:pBdr>
      </w:pPr>
    </w:p>
    <w:p>
      <w:pPr>
        <w:pStyle w:val="MdSpace"/>
        <w:spacing w:before="0" w:after="60"/>
      </w:pPr>
    </w:p>
    <w:p>
      <w:pPr>
        <w:pStyle w:val="Heading2"/>
        <w:pStyle w:val="MdHeading2"/>
      </w:pPr>
      <w:r>
        <w:t xml:space="preserve">FILE LOCATIONS</w:t>
      </w:r>
    </w:p>
    <w:p>
      <w:pPr>
        <w:pStyle w:val="MdParagraph"/>
      </w:pPr>
      <w:r>
        <w:t xml:space="preserve">All documents are permanently saved in the project directory:</w:t>
      </w:r>
    </w:p>
    <w:p>
      <w:pPr>
        <w:pStyle w:val="MdSpace"/>
        <w:spacing w:before="0" w:after="60"/>
      </w:pPr>
    </w:p>
    <w:tbl>
      <w:tblPr>
        <w:tblStyle w:val="MdTable"/>
        <w:tblW w:type="pct" w:w="100%"/>
        <w:tblBorders>
          <w:top w:val="single" w:color="E1E4E8" w:sz="4"/>
          <w:left w:val="none"/>
          <w:bottom w:val="single" w:color="E1E4E8" w:sz="4"/>
          <w:right w:val="none"/>
          <w:insideH w:val="single" w:color="E1E4E8" w:sz="2"/>
          <w:insideV w:val="single" w:color="F6F8FA" w:sz="2"/>
        </w:tblBorders>
      </w:tblPr>
      <w:tblGrid>
        <w:gridCol w:w="100"/>
        <w:gridCol w:w="100"/>
      </w:tblGrid>
      <w:tr>
        <w:trPr>
          <w:cantSplit/>
          <w:tblHeader/>
          <w:trHeight w:val="720" w:hRule="atLeast"/>
        </w:trPr>
        <w:tc>
          <w:tcPr>
            <w:tcBorders>
              <w:left w:val="none"/>
            </w:tcBorders>
            <w:tcMar>
              <w:top w:type="dxa" w:w="100"/>
              <w:left w:type="dxa" w:w="120"/>
              <w:bottom w:type="dxa" w:w="100"/>
              <w:right w:type="dxa" w:w="120"/>
            </w:tcMar>
            <w:vAlign w:val="center"/>
          </w:tcPr>
          <w:p>
            <w:pPr>
              <w:pStyle w:val="MdTableHeader"/>
            </w:pPr>
            <w:r>
              <w:t xml:space="preserve">Document</w:t>
            </w:r>
          </w:p>
        </w:tc>
        <w:tc>
          <w:tcPr>
            <w:tcBorders>
              <w:right w:val="none"/>
            </w:tcBorders>
            <w:tcMar>
              <w:top w:type="dxa" w:w="100"/>
              <w:left w:type="dxa" w:w="120"/>
              <w:bottom w:type="dxa" w:w="100"/>
              <w:right w:type="dxa" w:w="120"/>
            </w:tcMar>
            <w:vAlign w:val="center"/>
          </w:tcPr>
          <w:p>
            <w:pPr>
              <w:pStyle w:val="MdTableHeader"/>
            </w:pPr>
            <w:r>
              <w:t xml:space="preserve">Location</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This Master Report</w:t>
            </w:r>
          </w:p>
        </w:tc>
        <w:tc>
          <w:tcPr>
            <w:tcBorders>
              <w:right w:val="none"/>
            </w:tcBorders>
            <w:tcMar>
              <w:top w:type="dxa" w:w="80"/>
              <w:left w:type="dxa" w:w="120"/>
              <w:bottom w:type="dxa" w:w="80"/>
              <w:right w:type="dxa" w:w="120"/>
            </w:tcMar>
            <w:vAlign w:val="center"/>
          </w:tcPr>
          <w:p>
            <w:pPr>
              <w:pStyle w:val="MdTableCell"/>
            </w:pPr>
            <w:r>
              <w:rPr>
                <w:rStyle w:val="MdCode"/>
                <w:u w:val="single"/>
              </w:rPr>
              <w:t xml:space="preserve">/home/ubuntu/infrastructure-academy-v2/data/review_package/IAAI_DD_MASTER_REPORT.md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Package 1: Freeform Explorer</w:t>
            </w:r>
          </w:p>
        </w:tc>
        <w:tc>
          <w:tcPr>
            <w:tcBorders>
              <w:right w:val="none"/>
            </w:tcBorders>
            <w:tcMar>
              <w:top w:type="dxa" w:w="80"/>
              <w:left w:type="dxa" w:w="120"/>
              <w:bottom w:type="dxa" w:w="80"/>
              <w:right w:type="dxa" w:w="120"/>
            </w:tcMar>
            <w:vAlign w:val="center"/>
          </w:tcPr>
          <w:p>
            <w:pPr>
              <w:pStyle w:val="MdTableCell"/>
            </w:pPr>
            <w:r>
              <w:rPr>
                <w:rStyle w:val="MdCode"/>
                <w:u w:val="single"/>
              </w:rPr>
              <w:t xml:space="preserve">/home/ubuntu/infrastructure-academy-v2/data/review_package/BRIEFING_PACKAGE_1_FREEFORM_EXPLORER.md</w:t>
            </w:r>
          </w:p>
        </w:tc>
      </w:tr>
      <w:tr>
        <w:trPr>
          <w:cantSplit/>
          <w:trHeight w:val="576" w:hRule="atLeast"/>
        </w:trPr>
        <w:tc>
          <w:tcPr>
            <w:tcBorders>
              <w:left w:val="none"/>
            </w:tcBorders>
            <w:tcMar>
              <w:top w:type="dxa" w:w="80"/>
              <w:left w:type="dxa" w:w="120"/>
              <w:bottom w:type="dxa" w:w="80"/>
              <w:right w:type="dxa" w:w="120"/>
            </w:tcMar>
            <w:vAlign w:val="center"/>
          </w:tcPr>
          <w:p>
            <w:pPr>
              <w:pStyle w:val="MdTableCell"/>
            </w:pPr>
            <w:r>
              <w:t xml:space="preserve">Package 2: Guided Campaign</w:t>
            </w:r>
          </w:p>
        </w:tc>
        <w:tc>
          <w:tcPr>
            <w:tcBorders>
              <w:right w:val="none"/>
            </w:tcBorders>
            <w:tcMar>
              <w:top w:type="dxa" w:w="80"/>
              <w:left w:type="dxa" w:w="120"/>
              <w:bottom w:type="dxa" w:w="80"/>
              <w:right w:type="dxa" w:w="120"/>
            </w:tcMar>
            <w:vAlign w:val="center"/>
          </w:tcPr>
          <w:p>
            <w:pPr>
              <w:pStyle w:val="MdTableCell"/>
            </w:pPr>
            <w:r>
              <w:rPr>
                <w:rStyle w:val="MdCode"/>
                <w:u w:val="single"/>
              </w:rPr>
              <w:t xml:space="preserve">/home/ubuntu/infrastructure-academy-v2/data/review_package/BRIEFING_PACKAGE_2_GUIDED_CAMPAIGN.md</w:t>
            </w:r>
          </w:p>
        </w:tc>
      </w:tr>
      <w:tr>
        <w:trPr>
          <w:cantSplit/>
          <w:trHeight w:val="576" w:hRule="atLeast"/>
        </w:trPr>
        <w:tc>
          <w:tcPr>
            <w:tcBorders>
              <w:left w:val="none"/>
              <w:bottom w:val="single" w:color="E1E4E8" w:sz="4"/>
            </w:tcBorders>
            <w:tcMar>
              <w:top w:type="dxa" w:w="80"/>
              <w:left w:type="dxa" w:w="120"/>
              <w:bottom w:type="dxa" w:w="80"/>
              <w:right w:type="dxa" w:w="120"/>
            </w:tcMar>
            <w:vAlign w:val="center"/>
          </w:tcPr>
          <w:p>
            <w:pPr>
              <w:pStyle w:val="MdTableCell"/>
            </w:pPr>
            <w:r>
              <w:t xml:space="preserve">Package 3: Academic Programme</w:t>
            </w:r>
          </w:p>
        </w:tc>
        <w:tc>
          <w:tcPr>
            <w:tcBorders>
              <w:bottom w:val="single" w:color="E1E4E8" w:sz="4"/>
              <w:right w:val="none"/>
            </w:tcBorders>
            <w:tcMar>
              <w:top w:type="dxa" w:w="80"/>
              <w:left w:type="dxa" w:w="120"/>
              <w:bottom w:type="dxa" w:w="80"/>
              <w:right w:type="dxa" w:w="120"/>
            </w:tcMar>
            <w:vAlign w:val="center"/>
          </w:tcPr>
          <w:p>
            <w:pPr>
              <w:pStyle w:val="MdTableCell"/>
            </w:pPr>
            <w:r>
              <w:rPr>
                <w:rStyle w:val="MdCode"/>
                <w:u w:val="single"/>
              </w:rPr>
              <w:t xml:space="preserve">/home/ubuntu/infrastructure-academy-v2/data/review_package/BRIEFING_PACKAGE_3_ACADEMIC_PROGRAMME.md</w:t>
            </w:r>
          </w:p>
        </w:tc>
      </w:tr>
    </w:tbl>
    <w:p>
      <w:pPr>
        <w:pStyle w:val="MdHr"/>
        <w:pBdr>
          <w:bottom w:val="single" w:color="auto" w:sz="6" w:space="1"/>
        </w:pBdr>
      </w:pPr>
    </w:p>
    <w:p>
      <w:pPr>
        <w:pStyle w:val="MdSpace"/>
        <w:spacing w:before="0" w:after="60"/>
      </w:pPr>
    </w:p>
    <w:p>
      <w:pPr>
        <w:pStyle w:val="Heading2"/>
        <w:pStyle w:val="MdHeading2"/>
      </w:pPr>
      <w:r>
        <w:t xml:space="preserve">CLOSING NOTE</w:t>
      </w:r>
    </w:p>
    <w:p>
      <w:pPr>
        <w:pStyle w:val="MdParagraph"/>
      </w:pPr>
      <w:r>
        <w:t xml:space="preserve">The motto of 4Elements Consulting Ltd is: "What can be imagined can be achieved. Direct action toward desired outcomes."</w:t>
      </w:r>
    </w:p>
    <w:p>
      <w:pPr>
        <w:pStyle w:val="MdSpace"/>
        <w:spacing w:before="0" w:after="60"/>
      </w:pPr>
    </w:p>
    <w:p>
      <w:pPr>
        <w:pStyle w:val="MdParagraph"/>
      </w:pPr>
      <w:r>
        <w:t xml:space="preserve">This due diligence programme is direct action. The desired outcome is not a favourable review — it is an honest one. The team does not need cheerleaders. It needs checkers. Independent, forensic, platinum-grade checkers who will tell us exactly where the structure is strong and exactly where it needs reinforcement.</w:t>
      </w:r>
    </w:p>
    <w:p>
      <w:pPr>
        <w:pStyle w:val="MdSpace"/>
        <w:spacing w:before="0" w:after="60"/>
      </w:pPr>
    </w:p>
    <w:p>
      <w:pPr>
        <w:pStyle w:val="MdParagraph"/>
      </w:pPr>
      <w:r>
        <w:t xml:space="preserve">Failure teaches. byoGuard taught that lesson at a cost of $500,000 and 3 years. The purpose of this programme is to learn the lessons BEFORE the cost is incurred — not after.</w:t>
      </w:r>
    </w:p>
    <w:p>
      <w:pPr>
        <w:pStyle w:val="MdSpace"/>
        <w:spacing w:before="0" w:after="60"/>
      </w:pPr>
    </w:p>
    <w:p>
      <w:pPr>
        <w:pStyle w:val="MdParagraph"/>
      </w:pPr>
      <w:r>
        <w:t xml:space="preserve">Per Ardua Ad Astra. Through adversity to the stars. But first, test the rocket.</w:t>
      </w:r>
    </w:p>
    <w:p>
      <w:pPr>
        <w:pStyle w:val="MdSpace"/>
        <w:spacing w:before="0" w:after="60"/>
      </w:pPr>
    </w:p>
    <w:p>
      <w:pPr>
        <w:pStyle w:val="MdParagraph"/>
      </w:pPr>
      <w:r>
        <w:t xml:space="preserve">FAB.</w:t>
      </w:r>
    </w:p>
    <w:p>
      <w:pPr>
        <w:pStyle w:val="MdSpace"/>
        <w:spacing w:before="0" w:after="60"/>
      </w:pPr>
    </w:p>
    <w:p>
      <w:pPr>
        <w:pStyle w:val="MdHr"/>
        <w:pBdr>
          <w:bottom w:val="single" w:color="auto" w:sz="6" w:space="1"/>
        </w:pBdr>
      </w:pPr>
    </w:p>
    <w:p>
      <w:pPr>
        <w:pStyle w:val="MdSpace"/>
        <w:spacing w:before="0" w:after="60"/>
      </w:pPr>
    </w:p>
    <w:p>
      <w:pPr>
        <w:pStyle w:val="MdParagraph"/>
      </w:pPr>
      <w:r>
        <w:rPr>
          <w:rStyle w:val="MdEm"/>
          <w:i/>
          <w:iCs/>
        </w:rPr>
        <w:t xml:space="preserve">Prepared by Manus AI, 27 February 2026</w:t>
      </w:r>
      <w:r>
        <w:t xml:space="preserve">
</w:t>
      </w:r>
      <w:r>
        <w:rPr>
          <w:rStyle w:val="MdEm"/>
          <w:i/>
          <w:iCs/>
        </w:rPr>
        <w:t xml:space="preserve">On behalf of the IAAI Project Team</w:t>
      </w:r>
      <w:r>
        <w:t xml:space="preserve">
</w:t>
      </w:r>
      <w:r>
        <w:rPr>
          <w:rStyle w:val="MdEm"/>
          <w:i/>
          <w:iCs/>
        </w:rPr>
        <w:t xml:space="preserve">Institutional Memory Block: 119+</w:t>
      </w:r>
      <w:r>
        <w:t xml:space="preserve">
</w:t>
      </w:r>
      <w:r>
        <w:rPr>
          <w:rStyle w:val="MdEm"/>
          <w:i/>
          <w:iCs/>
        </w:rPr>
        <w:t xml:space="preserve">Platinum Standard</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720" w:hanging="360"/>
      </w:pPr>
    </w:lvl>
    <w:lvl w:ilvl="1" w15:tentative="1">
      <w:start w:val="1"/>
      <w:numFmt w:val="decimal"/>
      <w:lvlText w:val="%1.%2"/>
      <w:lvlJc w:val="left"/>
      <w:pPr>
        <w:ind w:left="1440" w:hanging="360"/>
      </w:pPr>
    </w:lvl>
    <w:lvl w:ilvl="2" w15:tentative="1">
      <w:start w:val="1"/>
      <w:numFmt w:val="decimal"/>
      <w:lvlText w:val="%1.%2.%3"/>
      <w:lvlJc w:val="left"/>
      <w:pPr>
        <w:ind w:left="2160" w:hanging="360"/>
      </w:pPr>
    </w:lvl>
    <w:lvl w:ilvl="3" w15:tentative="1">
      <w:start w:val="1"/>
      <w:numFmt w:val="decimal"/>
      <w:lvlText w:val="%4)"/>
      <w:lvlJc w:val="left"/>
      <w:pPr>
        <w:ind w:left="2880" w:hanging="360"/>
      </w:pPr>
    </w:lvl>
    <w:lvl w:ilvl="4" w15:tentative="1">
      <w:start w:val="1"/>
      <w:numFmt w:val="decimal"/>
      <w:lvlText w:val="%5)"/>
      <w:lvlJc w:val="left"/>
      <w:pPr>
        <w:ind w:left="3600" w:hanging="360"/>
      </w:pPr>
    </w:lvl>
    <w:lvl w:ilvl="5" w15:tentative="1">
      <w:start w:val="1"/>
      <w:numFmt w:val="decimal"/>
      <w:lvlText w:val="%6)"/>
      <w:lvlJc w:val="left"/>
      <w:pPr>
        <w:ind w:left="4320" w:hanging="360"/>
      </w:pPr>
    </w:lvl>
    <w:lvl w:ilvl="6" w15:tentative="1">
      <w:start w:val="1"/>
      <w:numFmt w:val="decimal"/>
      <w:lvlText w:val="%7)"/>
      <w:lvlJc w:val="left"/>
      <w:pPr>
        <w:ind w:left="5040" w:hanging="360"/>
      </w:pPr>
    </w:lvl>
    <w:lvl w:ilvl="7" w15:tentative="1">
      <w:start w:val="1"/>
      <w:numFmt w:val="decimal"/>
      <w:lvlText w:val="%8)"/>
      <w:lvlJc w:val="left"/>
      <w:pPr>
        <w:ind w:left="5760" w:hanging="360"/>
      </w:pPr>
    </w:lvl>
    <w:lvl w:ilvl="8" w15:tentative="1">
      <w:start w:val="1"/>
      <w:numFmt w:val="decimal"/>
      <w:lvlText w:val="%9)"/>
      <w:lvlJc w:val="left"/>
      <w:pPr>
        <w:ind w:left="6480" w:hanging="360"/>
      </w:pPr>
    </w:lvl>
  </w:abstractNum>
  <w:abstractNum w:abstractNumId="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sz w:val="24"/>
        <w:szCs w:val="24"/>
      </w:rPr>
    </w:rPrDefault>
    <w:pPrDefault>
      <w:pPr>
        <w:spacing w:lineRule="auto"/>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color="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MdSpace">
    <w:name w:val="MdSpace"/>
    <w:basedOn w:val="Normal"/>
    <w:next w:val="Normal"/>
    <w:qFormat/>
    <w:pPr>
      <w:spacing w:before="0" w:after="0"/>
    </w:pPr>
    <w:rPr>
      <w:sz w:val="12"/>
      <w:szCs w:val="12"/>
    </w:rPr>
  </w:style>
  <w:style w:type="paragraph" w:styleId="MdCode">
    <w:name w:val="MdCode"/>
    <w:basedOn w:val="Normal"/>
    <w:next w:val="Normal"/>
    <w:qFormat/>
    <w:pPr>
      <w:pBdr>
        <w:top w:val="single" w:color="A5A5A5" w:sz="1" w:space="8"/>
        <w:bottom w:val="single" w:color="A5A5A5" w:sz="1" w:space="8"/>
        <w:left w:val="single" w:color="A5A5A5" w:sz="1" w:space="8"/>
        <w:right w:val="single" w:color="A5A5A5" w:sz="1" w:space="8"/>
      </w:pBdr>
      <w:spacing w:before="200" w:after="200"/>
    </w:pPr>
    <w:rPr>
      <w:rFonts w:ascii="Courier New" w:cs="Courier New" w:eastAsia="Courier New" w:hAnsi="Courier New"/>
      <w:color w:val="70AD47"/>
      <w:sz w:val="22"/>
      <w:szCs w:val="22"/>
    </w:rPr>
  </w:style>
  <w:style w:type="paragraph" w:styleId="MdHr">
    <w:name w:val="MdHr"/>
    <w:basedOn w:val="Normal"/>
    <w:next w:val="Normal"/>
    <w:qFormat/>
    <w:pPr>
      <w:pBdr>
        <w:bottom w:val="single" w:color="A5A5A5" w:sz="1" w:space="1"/>
      </w:pBdr>
      <w:spacing w:before="240" w:after="240"/>
    </w:pPr>
  </w:style>
  <w:style w:type="paragraph" w:styleId="MdBlockquote">
    <w:name w:val="MdBlockquote"/>
    <w:basedOn w:val="Normal"/>
    <w:next w:val="Normal"/>
    <w:qFormat/>
    <w:pPr>
      <w:pBdr>
        <w:left w:val="single" w:color="A5A5A5" w:sz="20" w:space="12"/>
      </w:pBdr>
      <w:spacing w:before="200" w:after="200"/>
      <w:ind w:left="360"/>
    </w:pPr>
    <w:rPr>
      <w:i/>
      <w:iCs/>
      <w:color w:val="666666"/>
    </w:rPr>
  </w:style>
  <w:style w:type="paragraph" w:styleId="MdHtml">
    <w:name w:val="MdHtml"/>
    <w:basedOn w:val="Normal"/>
    <w:next w:val="Normal"/>
    <w:qFormat/>
    <w:rPr>
      <w:rFonts w:ascii="Courier New" w:cs="Courier New" w:eastAsia="Courier New" w:hAnsi="Courier New"/>
      <w:color w:val="ED7D31"/>
    </w:rPr>
  </w:style>
  <w:style w:type="paragraph" w:styleId="MdDef">
    <w:name w:val="MdDef"/>
    <w:basedOn w:val="Normal"/>
    <w:next w:val="Normal"/>
    <w:qFormat/>
    <w:pPr>
      <w:ind w:left="720" w:hanging="360"/>
    </w:pPr>
  </w:style>
  <w:style w:type="paragraph" w:styleId="MdParagraph">
    <w:name w:val="MdParagraph"/>
    <w:basedOn w:val="Normal"/>
    <w:next w:val="Normal"/>
    <w:qFormat/>
    <w:pPr>
      <w:spacing w:before="120" w:after="120"/>
    </w:pPr>
  </w:style>
  <w:style w:type="paragraph" w:styleId="MdText">
    <w:name w:val="MdText"/>
    <w:basedOn w:val="Normal"/>
    <w:next w:val="Normal"/>
    <w:qFormat/>
  </w:style>
  <w:style w:type="paragraph" w:styleId="MdFootnote">
    <w:name w:val="MdFootnote"/>
    <w:basedOn w:val="Normal"/>
    <w:next w:val="Normal"/>
    <w:qFormat/>
    <w:rPr>
      <w:vertAlign w:val="superscript"/>
    </w:rPr>
  </w:style>
  <w:style w:type="paragraph" w:styleId="MdListItem">
    <w:name w:val="MdListItem"/>
    <w:basedOn w:val="Normal"/>
    <w:next w:val="Normal"/>
    <w:qFormat/>
    <w:pPr>
      <w:spacing w:before="60" w:after="60"/>
      <w:ind w:left="720" w:hanging="360"/>
    </w:pPr>
  </w:style>
  <w:style w:type="paragraph" w:styleId="MdTable">
    <w:name w:val="MdTable"/>
    <w:basedOn w:val="Normal"/>
    <w:next w:val="Normal"/>
    <w:qFormat/>
    <w:pPr>
      <w:spacing w:before="60" w:after="60"/>
    </w:pPr>
  </w:style>
  <w:style w:type="paragraph" w:styleId="MdTableHeader">
    <w:name w:val="MdTableHeader"/>
    <w:basedOn w:val="Normal"/>
    <w:next w:val="Normal"/>
    <w:qFormat/>
    <w:pPr>
      <w:spacing w:before="60" w:after="60"/>
    </w:pPr>
    <w:rPr>
      <w:b/>
      <w:bCs/>
      <w:sz w:val="22"/>
      <w:szCs w:val="22"/>
    </w:rPr>
  </w:style>
  <w:style w:type="paragraph" w:styleId="MdTableCell">
    <w:name w:val="MdTableCell"/>
    <w:basedOn w:val="Normal"/>
    <w:next w:val="Normal"/>
    <w:qFormat/>
    <w:pPr>
      <w:spacing w:before="40" w:after="40"/>
    </w:pPr>
    <w:rPr>
      <w:sz w:val="20"/>
      <w:szCs w:val="20"/>
    </w:rPr>
  </w:style>
  <w:style w:type="paragraph" w:styleId="MdHeading1">
    <w:name w:val="MdHeading1"/>
    <w:basedOn w:val="Normal"/>
    <w:next w:val="Normal"/>
    <w:qFormat/>
    <w:pPr>
      <w:keepNext/>
      <w:spacing w:before="480" w:after="240"/>
      <w:outlineLvl w:val="0"/>
    </w:pPr>
    <w:rPr>
      <w:b/>
      <w:bCs/>
      <w:sz w:val="36"/>
      <w:szCs w:val="36"/>
    </w:rPr>
  </w:style>
  <w:style w:type="paragraph" w:styleId="MdHeading2">
    <w:name w:val="MdHeading2"/>
    <w:basedOn w:val="Normal"/>
    <w:next w:val="Normal"/>
    <w:qFormat/>
    <w:pPr>
      <w:keepNext/>
      <w:spacing w:before="400" w:after="200"/>
      <w:outlineLvl w:val="1"/>
    </w:pPr>
    <w:rPr>
      <w:b/>
      <w:bCs/>
      <w:sz w:val="32"/>
      <w:szCs w:val="32"/>
    </w:rPr>
  </w:style>
  <w:style w:type="paragraph" w:styleId="MdHeading3">
    <w:name w:val="MdHeading3"/>
    <w:basedOn w:val="Normal"/>
    <w:next w:val="Normal"/>
    <w:qFormat/>
    <w:pPr>
      <w:keepNext/>
      <w:spacing w:before="320" w:after="160"/>
      <w:outlineLvl w:val="2"/>
    </w:pPr>
    <w:rPr>
      <w:b/>
      <w:bCs/>
      <w:sz w:val="28"/>
      <w:szCs w:val="28"/>
    </w:rPr>
  </w:style>
  <w:style w:type="paragraph" w:styleId="MdHeading4">
    <w:name w:val="MdHeading4"/>
    <w:basedOn w:val="Normal"/>
    <w:next w:val="Normal"/>
    <w:qFormat/>
    <w:pPr>
      <w:keepNext/>
      <w:spacing w:before="280" w:after="140"/>
      <w:outlineLvl w:val="3"/>
    </w:pPr>
    <w:rPr>
      <w:b/>
      <w:bCs/>
      <w:sz w:val="26"/>
      <w:szCs w:val="26"/>
    </w:rPr>
  </w:style>
  <w:style w:type="paragraph" w:styleId="MdHeading5">
    <w:name w:val="MdHeading5"/>
    <w:basedOn w:val="Normal"/>
    <w:next w:val="Normal"/>
    <w:qFormat/>
    <w:pPr>
      <w:keepNext/>
      <w:spacing w:before="240" w:after="120"/>
      <w:outlineLvl w:val="4"/>
    </w:pPr>
    <w:rPr>
      <w:b/>
      <w:bCs/>
      <w:i/>
      <w:iCs/>
      <w:sz w:val="24"/>
      <w:szCs w:val="24"/>
    </w:rPr>
  </w:style>
  <w:style w:type="paragraph" w:styleId="MdHeading6">
    <w:name w:val="MdHeading6"/>
    <w:basedOn w:val="Normal"/>
    <w:next w:val="Normal"/>
    <w:qFormat/>
    <w:pPr>
      <w:keepNext/>
      <w:spacing w:before="240" w:after="120"/>
      <w:outlineLvl w:val="5"/>
    </w:pPr>
    <w:rPr>
      <w:b w:val="false"/>
      <w:bCs w:val="false"/>
      <w:i/>
      <w:iCs/>
      <w:sz w:val="24"/>
      <w:szCs w:val="24"/>
    </w:rPr>
  </w:style>
  <w:style w:type="character" w:styleId="MdTag">
    <w:name w:val="MdTag"/>
    <w:basedOn w:val="Normal"/>
    <w:next w:val="Normal"/>
    <w:uiPriority w:val="99"/>
    <w:unhideWhenUsed/>
    <w:qFormat/>
    <w:rPr>
      <w:rFonts w:ascii="Courier New" w:cs="Courier New" w:eastAsia="Courier New" w:hAnsi="Courier New"/>
      <w:color w:val="ED7D31"/>
    </w:rPr>
  </w:style>
  <w:style w:type="character" w:styleId="MdLink">
    <w:name w:val="MdLink"/>
    <w:basedOn w:val="Normal"/>
    <w:next w:val="Normal"/>
    <w:uiPriority w:val="99"/>
    <w:unhideWhenUsed/>
    <w:qFormat/>
    <w:rPr>
      <w:color w:val="0563C1"/>
      <w:u w:val="single"/>
    </w:rPr>
  </w:style>
  <w:style w:type="character" w:styleId="MdStrong">
    <w:name w:val="MdStrong"/>
    <w:basedOn w:val="Normal"/>
    <w:next w:val="Normal"/>
    <w:uiPriority w:val="99"/>
    <w:unhideWhenUsed/>
    <w:qFormat/>
    <w:rPr>
      <w:b/>
      <w:bCs/>
    </w:rPr>
  </w:style>
  <w:style w:type="character" w:styleId="MdEm">
    <w:name w:val="MdEm"/>
    <w:basedOn w:val="Normal"/>
    <w:next w:val="Normal"/>
    <w:uiPriority w:val="99"/>
    <w:unhideWhenUsed/>
    <w:qFormat/>
    <w:rPr>
      <w:i/>
      <w:iCs/>
    </w:rPr>
  </w:style>
  <w:style w:type="character" w:styleId="MdCodespan">
    <w:name w:val="MdCodespan"/>
    <w:basedOn w:val="Normal"/>
    <w:next w:val="Normal"/>
    <w:uiPriority w:val="99"/>
    <w:unhideWhenUsed/>
    <w:qFormat/>
    <w:rPr>
      <w:rFonts w:ascii="Courier New" w:cs="Courier New" w:eastAsia="Courier New" w:hAnsi="Courier New"/>
      <w:color w:val="70AD47"/>
    </w:rPr>
  </w:style>
  <w:style w:type="character" w:styleId="MdDel">
    <w:name w:val="MdDel"/>
    <w:basedOn w:val="Normal"/>
    <w:next w:val="Normal"/>
    <w:uiPriority w:val="99"/>
    <w:unhideWhenUsed/>
    <w:qFormat/>
    <w:rPr>
      <w:strike/>
    </w:rPr>
  </w:style>
  <w:style w:type="character" w:styleId="MdBr">
    <w:name w:val="MdBr"/>
    <w:basedOn w:val="Normal"/>
    <w:next w:val="Normal"/>
    <w:uiPriority w:val="99"/>
    <w:unhideWhenUsed/>
    <w:qFormat/>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Un-named</cp:lastModifiedBy>
  <cp:revision>1</cp:revision>
  <dcterms:created xsi:type="dcterms:W3CDTF">2026-03-07T16:25:09.008Z</dcterms:created>
  <dcterms:modified xsi:type="dcterms:W3CDTF">2026-03-07T16:25:09.008Z</dcterms:modified>
</cp:coreProperties>
</file>

<file path=docProps/custom.xml><?xml version="1.0" encoding="utf-8"?>
<Properties xmlns="http://schemas.openxmlformats.org/officeDocument/2006/custom-properties" xmlns:vt="http://schemas.openxmlformats.org/officeDocument/2006/docPropsVTypes"/>
</file>