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pStyle w:val="MdHeading1"/>
      </w:pPr>
      <w:r>
        <w:t xml:space="preserve">iAAi ROUND 2 — FOCUSED CATEGORY AUDIT</w:t>
      </w:r>
    </w:p>
    <w:p>
      <w:pPr>
        <w:pStyle w:val="Heading2"/>
        <w:pStyle w:val="MdHeading2"/>
      </w:pPr>
      <w:r>
        <w:t xml:space="preserve">Briefing Package for 15 Reviewers</w:t>
      </w:r>
    </w:p>
    <w:p>
      <w:pPr>
        <w:pStyle w:val="MdParagraph"/>
      </w:pPr>
      <w:r>
        <w:rPr>
          <w:rStyle w:val="MdStrong"/>
          <w:b/>
          <w:bCs/>
        </w:rPr>
        <w:t xml:space="preserve">Context:</w:t>
      </w:r>
      <w:r>
        <w:t xml:space="preserve"> In Round 1, 12 universities and 3 ICE package reviewers assessed the Infrastructure Academy platform across all categories. The global average was </w:t>
      </w:r>
      <w:r>
        <w:rPr>
          <w:rStyle w:val="MdStrong"/>
          <w:b/>
          <w:bCs/>
        </w:rPr>
        <w:t xml:space="preserve">84.6% — Solid First Class Honours (UK) / GPA 4.0 (US)</w:t>
      </w:r>
      <w:r>
        <w:t xml:space="preserve">. All 12 universities scored within First Class range (79-91%).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Round 2 Objective:</w:t>
      </w:r>
      <w:r>
        <w:t xml:space="preserve"> Rather than repeating the full review, this focused audit targets the </w:t>
      </w:r>
      <w:r>
        <w:rPr>
          <w:rStyle w:val="MdStrong"/>
          <w:b/>
          <w:bCs/>
        </w:rPr>
        <w:t xml:space="preserve">3 lowest-scoring categories</w:t>
      </w:r>
      <w:r>
        <w:t xml:space="preserve"> to identify specific, actionable improvements that could raise the platform from "Solid First" to "High First / Distinction" territory (90%+).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THE 3 TARGET CATEGORIES</w:t>
      </w:r>
    </w:p>
    <w:p>
      <w:pPr>
        <w:pStyle w:val="Heading3"/>
        <w:pStyle w:val="MdHeading3"/>
      </w:pPr>
      <w:r>
        <w:t xml:space="preserve">Category 1: Technical Infrastructure (Round 1 Average: 82%)</w:t>
      </w:r>
    </w:p>
    <w:p>
      <w:pPr>
        <w:pStyle w:val="MdParagraph"/>
      </w:pPr>
      <w:r>
        <w:rPr>
          <w:rStyle w:val="MdStrong"/>
          <w:b/>
          <w:bCs/>
        </w:rPr>
        <w:t xml:space="preserve">What we're asking:</w:t>
      </w:r>
      <w:r>
        <w:t xml:space="preserve"> Assess the platform's technical robustness, performance, accessibility, and code quality.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Specific audit questions:</w:t>
      </w:r>
    </w:p>
    <w:p>
      <w:pPr>
        <w:pStyle w:val="MdListItem"/>
        <w:numPr>
          <w:ilvl w:val="0"/>
          <w:numId w:val="2"/>
        </w:numPr>
      </w:pPr>
      <w:r>
        <w:t xml:space="preserve">Does the platform load reliably across devices (mobile, tablet, desktop)?</w:t>
      </w:r>
    </w:p>
    <w:p>
      <w:pPr>
        <w:pStyle w:val="MdListItem"/>
        <w:numPr>
          <w:ilvl w:val="0"/>
          <w:numId w:val="2"/>
        </w:numPr>
      </w:pPr>
      <w:r>
        <w:t xml:space="preserve">Is the navigation intuitive and consistent across all 30+ pages?</w:t>
      </w:r>
    </w:p>
    <w:p>
      <w:pPr>
        <w:pStyle w:val="MdListItem"/>
        <w:numPr>
          <w:ilvl w:val="0"/>
          <w:numId w:val="2"/>
        </w:numPr>
      </w:pPr>
      <w:r>
        <w:t xml:space="preserve">Are there broken links, missing assets, or rendering issues?</w:t>
      </w:r>
    </w:p>
    <w:p>
      <w:pPr>
        <w:pStyle w:val="MdListItem"/>
        <w:numPr>
          <w:ilvl w:val="0"/>
          <w:numId w:val="2"/>
        </w:numPr>
      </w:pPr>
      <w:r>
        <w:t xml:space="preserve">How does the bilingual (EN/ZH) switching perform technically?</w:t>
      </w:r>
    </w:p>
    <w:p>
      <w:pPr>
        <w:pStyle w:val="MdListItem"/>
        <w:numPr>
          <w:ilvl w:val="0"/>
          <w:numId w:val="2"/>
        </w:numPr>
      </w:pPr>
      <w:r>
        <w:t xml:space="preserve">Is the gamification engine (XP, leaderboards, character creation) technically sound?</w:t>
      </w:r>
    </w:p>
    <w:p>
      <w:pPr>
        <w:pStyle w:val="MdListItem"/>
        <w:numPr>
          <w:ilvl w:val="0"/>
          <w:numId w:val="2"/>
        </w:numPr>
      </w:pPr>
      <w:r>
        <w:t xml:space="preserve">What specific technical improvements would raise this score to 90%+?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Category 2: Assessment Framework (Round 1 Average: 83%)</w:t>
      </w:r>
    </w:p>
    <w:p>
      <w:pPr>
        <w:pStyle w:val="MdParagraph"/>
      </w:pPr>
      <w:r>
        <w:rPr>
          <w:rStyle w:val="MdStrong"/>
          <w:b/>
          <w:bCs/>
        </w:rPr>
        <w:t xml:space="preserve">What we're asking:</w:t>
      </w:r>
      <w:r>
        <w:t xml:space="preserve"> Evaluate how the platform measures, tracks, and validates learner progress and achievement.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Specific audit questions:</w:t>
      </w:r>
    </w:p>
    <w:p>
      <w:pPr>
        <w:pStyle w:val="MdListItem"/>
        <w:numPr>
          <w:ilvl w:val="0"/>
          <w:numId w:val="2"/>
        </w:numPr>
      </w:pPr>
      <w:r>
        <w:t xml:space="preserve">Is the XP/points system transparent and fair in how it rewards learning?</w:t>
      </w:r>
    </w:p>
    <w:p>
      <w:pPr>
        <w:pStyle w:val="MdListItem"/>
        <w:numPr>
          <w:ilvl w:val="0"/>
          <w:numId w:val="2"/>
        </w:numPr>
      </w:pPr>
      <w:r>
        <w:t xml:space="preserve">Does the 4-mode structure (Western, Eastern, Outrider, Unified) provide meaningful differentiation in assessment?</w:t>
      </w:r>
    </w:p>
    <w:p>
      <w:pPr>
        <w:pStyle w:val="MdListItem"/>
        <w:numPr>
          <w:ilvl w:val="0"/>
          <w:numId w:val="2"/>
        </w:numPr>
      </w:pPr>
      <w:r>
        <w:t xml:space="preserve">Are the compliance gates (Freeform → Guided → Academic) appropriately calibrated?</w:t>
      </w:r>
    </w:p>
    <w:p>
      <w:pPr>
        <w:pStyle w:val="MdListItem"/>
        <w:numPr>
          <w:ilvl w:val="0"/>
          <w:numId w:val="2"/>
        </w:numPr>
      </w:pPr>
      <w:r>
        <w:t xml:space="preserve">How well does the platform support formal academic recognition (CPD, ICE attributes)?</w:t>
      </w:r>
    </w:p>
    <w:p>
      <w:pPr>
        <w:pStyle w:val="MdListItem"/>
        <w:numPr>
          <w:ilvl w:val="0"/>
          <w:numId w:val="2"/>
        </w:numPr>
      </w:pPr>
      <w:r>
        <w:t xml:space="preserve">Is there sufficient evidence-gathering for a professor/DM to adjudicate scores?</w:t>
      </w:r>
    </w:p>
    <w:p>
      <w:pPr>
        <w:pStyle w:val="MdListItem"/>
        <w:numPr>
          <w:ilvl w:val="0"/>
          <w:numId w:val="2"/>
        </w:numPr>
      </w:pPr>
      <w:r>
        <w:t xml:space="preserve">What specific assessment improvements would raise this score to 90%+?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Category 3: Global Scalability (Round 1 Average: 85%)</w:t>
      </w:r>
    </w:p>
    <w:p>
      <w:pPr>
        <w:pStyle w:val="MdParagraph"/>
      </w:pPr>
      <w:r>
        <w:rPr>
          <w:rStyle w:val="MdStrong"/>
          <w:b/>
          <w:bCs/>
        </w:rPr>
        <w:t xml:space="preserve">What we're asking:</w:t>
      </w:r>
      <w:r>
        <w:t xml:space="preserve"> Evaluate the platform's readiness to scale from 180 users to 1 billion across 8 language blocks.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Specific audit questions:</w:t>
      </w:r>
    </w:p>
    <w:p>
      <w:pPr>
        <w:pStyle w:val="MdListItem"/>
        <w:numPr>
          <w:ilvl w:val="0"/>
          <w:numId w:val="2"/>
        </w:numPr>
      </w:pPr>
      <w:r>
        <w:t xml:space="preserve">How well does the 8-language-block strategy (EN, ZH, KR, JP, HI, AR, ES, VI) position for global reach?</w:t>
      </w:r>
    </w:p>
    <w:p>
      <w:pPr>
        <w:pStyle w:val="MdListItem"/>
        <w:numPr>
          <w:ilvl w:val="0"/>
          <w:numId w:val="2"/>
        </w:numPr>
      </w:pPr>
      <w:r>
        <w:t xml:space="preserve">Is the content culturally adaptable beyond Western/Eastern framing?</w:t>
      </w:r>
    </w:p>
    <w:p>
      <w:pPr>
        <w:pStyle w:val="MdListItem"/>
        <w:numPr>
          <w:ilvl w:val="0"/>
          <w:numId w:val="2"/>
        </w:numPr>
      </w:pPr>
      <w:r>
        <w:t xml:space="preserve">Does the Infrastructure Olympiad structure support competitive scaling across nations?</w:t>
      </w:r>
    </w:p>
    <w:p>
      <w:pPr>
        <w:pStyle w:val="MdListItem"/>
        <w:numPr>
          <w:ilvl w:val="0"/>
          <w:numId w:val="2"/>
        </w:numPr>
      </w:pPr>
      <w:r>
        <w:t xml:space="preserve">How realistic is the monetisation pathway (Rogue → Subscribe → Elite → Nation)?</w:t>
      </w:r>
    </w:p>
    <w:p>
      <w:pPr>
        <w:pStyle w:val="MdListItem"/>
        <w:numPr>
          <w:ilvl w:val="0"/>
          <w:numId w:val="2"/>
        </w:numPr>
      </w:pPr>
      <w:r>
        <w:t xml:space="preserve">What infrastructure bottlenecks would emerge at 10,000 / 100,000 / 1,000,000 users?</w:t>
      </w:r>
    </w:p>
    <w:p>
      <w:pPr>
        <w:pStyle w:val="MdListItem"/>
        <w:numPr>
          <w:ilvl w:val="0"/>
          <w:numId w:val="2"/>
        </w:numPr>
      </w:pPr>
      <w:r>
        <w:t xml:space="preserve">What specific scalability improvements would raise this score to 90%+?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SCORING INSTRUCTIONS</w:t>
      </w:r>
    </w:p>
    <w:p>
      <w:pPr>
        <w:pStyle w:val="MdParagraph"/>
      </w:pPr>
      <w:r>
        <w:rPr>
          <w:rStyle w:val="MdStrong"/>
          <w:b/>
          <w:bCs/>
        </w:rPr>
        <w:t xml:space="preserve">Score each category 0-100% using the iAAi Grading Rosetta Stone:</w:t>
      </w:r>
    </w:p>
    <w:p>
      <w:pPr>
        <w:pStyle w:val="MdSpace"/>
        <w:spacing w:before="0" w:after="60"/>
      </w:pP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Score Range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UK Classification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US GPA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Verdict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90-100%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First (Distinction)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4.0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Outstanding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80-89%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First (Solid)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4.0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Excellent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70-79%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First (Borderline)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3.7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Good First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60-69%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Upper Second (2:1)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3.3-3.7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Strong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50-59%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Lower Second (2:2)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2.7-3.3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Adequate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Below 50%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Third / Fail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Below 2.7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Below Standard</w:t>
            </w:r>
          </w:p>
        </w:tc>
      </w:tr>
    </w:tbl>
    <w:p>
      <w:pPr>
        <w:pStyle w:val="MdParagraph"/>
      </w:pPr>
      <w:r>
        <w:rPr>
          <w:rStyle w:val="MdStrong"/>
          <w:b/>
          <w:bCs/>
        </w:rPr>
        <w:t xml:space="preserve">For each category, provide:</w:t>
      </w:r>
    </w:p>
    <w:p>
      <w:pPr>
        <w:pStyle w:val="MdListItem"/>
        <w:numPr>
          <w:ilvl w:val="0"/>
          <w:numId w:val="2"/>
        </w:numPr>
      </w:pPr>
      <w:r>
        <w:t xml:space="preserve">A numerical score (0-100%)</w:t>
      </w:r>
    </w:p>
    <w:p>
      <w:pPr>
        <w:pStyle w:val="MdListItem"/>
        <w:numPr>
          <w:ilvl w:val="0"/>
          <w:numId w:val="2"/>
        </w:numPr>
      </w:pPr>
      <w:r>
        <w:t xml:space="preserve">Top 3 strengths observed</w:t>
      </w:r>
    </w:p>
    <w:p>
      <w:pPr>
        <w:pStyle w:val="MdListItem"/>
        <w:numPr>
          <w:ilvl w:val="0"/>
          <w:numId w:val="2"/>
        </w:numPr>
      </w:pPr>
      <w:r>
        <w:t xml:space="preserve">Top 3 weaknesses or gaps identified</w:t>
      </w:r>
    </w:p>
    <w:p>
      <w:pPr>
        <w:pStyle w:val="MdListItem"/>
        <w:numPr>
          <w:ilvl w:val="0"/>
          <w:numId w:val="2"/>
        </w:numPr>
      </w:pPr>
      <w:r>
        <w:t xml:space="preserve">3 specific, actionable recommendations to reach 90%+</w:t>
      </w:r>
    </w:p>
    <w:p>
      <w:pPr>
        <w:pStyle w:val="MdListItem"/>
        <w:numPr>
          <w:ilvl w:val="0"/>
          <w:numId w:val="2"/>
        </w:numPr>
      </w:pPr>
      <w:r>
        <w:t xml:space="preserve">Overall verdict: Improved / Unchanged / Declined (vs Round 1)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REVIEWER ROSTER (15 Reviewers)</w:t>
      </w:r>
    </w:p>
    <w:p>
      <w:pPr>
        <w:pStyle w:val="Heading3"/>
        <w:pStyle w:val="MdHeading3"/>
      </w:pPr>
      <w:r>
        <w:t xml:space="preserve">12 University Reviewers (same as Round 1)</w:t>
      </w:r>
    </w:p>
    <w:p>
      <w:pPr>
        <w:pStyle w:val="MdListItem"/>
        <w:numPr>
          <w:ilvl w:val="0"/>
          <w:numId w:val="2"/>
        </w:numPr>
      </w:pPr>
      <w:r>
        <w:t xml:space="preserve">Imperial College London — Prof. of Civil Engineering</w:t>
      </w:r>
    </w:p>
    <w:p>
      <w:pPr>
        <w:pStyle w:val="MdListItem"/>
        <w:numPr>
          <w:ilvl w:val="0"/>
          <w:numId w:val="2"/>
        </w:numPr>
      </w:pPr>
      <w:r>
        <w:t xml:space="preserve">MIT — Prof. of Civil &amp; Environmental Engineering</w:t>
      </w:r>
    </w:p>
    <w:p>
      <w:pPr>
        <w:pStyle w:val="MdListItem"/>
        <w:numPr>
          <w:ilvl w:val="0"/>
          <w:numId w:val="2"/>
        </w:numPr>
      </w:pPr>
      <w:r>
        <w:t xml:space="preserve">ETH Zurich — Prof. of Infrastructure Management</w:t>
      </w:r>
    </w:p>
    <w:p>
      <w:pPr>
        <w:pStyle w:val="MdListItem"/>
        <w:numPr>
          <w:ilvl w:val="0"/>
          <w:numId w:val="2"/>
        </w:numPr>
      </w:pPr>
      <w:r>
        <w:t xml:space="preserve">TU Delft — Prof. of Hydraulic Engineering</w:t>
      </w:r>
    </w:p>
    <w:p>
      <w:pPr>
        <w:pStyle w:val="MdListItem"/>
        <w:numPr>
          <w:ilvl w:val="0"/>
          <w:numId w:val="2"/>
        </w:numPr>
      </w:pPr>
      <w:r>
        <w:t xml:space="preserve">Tsinghua University — Prof. of Civil Engineering</w:t>
      </w:r>
    </w:p>
    <w:p>
      <w:pPr>
        <w:pStyle w:val="MdListItem"/>
        <w:numPr>
          <w:ilvl w:val="0"/>
          <w:numId w:val="2"/>
        </w:numPr>
      </w:pPr>
      <w:r>
        <w:t xml:space="preserve">National University of Singapore — Prof. of Infrastructure Systems</w:t>
      </w:r>
    </w:p>
    <w:p>
      <w:pPr>
        <w:pStyle w:val="MdListItem"/>
        <w:numPr>
          <w:ilvl w:val="0"/>
          <w:numId w:val="2"/>
        </w:numPr>
      </w:pPr>
      <w:r>
        <w:t xml:space="preserve">IIT Bombay — Prof. of Civil Engineering</w:t>
      </w:r>
    </w:p>
    <w:p>
      <w:pPr>
        <w:pStyle w:val="MdListItem"/>
        <w:numPr>
          <w:ilvl w:val="0"/>
          <w:numId w:val="2"/>
        </w:numPr>
      </w:pPr>
      <w:r>
        <w:t xml:space="preserve">University of Tokyo — Prof. of Urban Engineering</w:t>
      </w:r>
    </w:p>
    <w:p>
      <w:pPr>
        <w:pStyle w:val="MdListItem"/>
        <w:numPr>
          <w:ilvl w:val="0"/>
          <w:numId w:val="2"/>
        </w:numPr>
      </w:pPr>
      <w:r>
        <w:t xml:space="preserve">Khalifa University — Prof. of Civil Infrastructure</w:t>
      </w:r>
    </w:p>
    <w:p>
      <w:pPr>
        <w:pStyle w:val="MdListItem"/>
        <w:numPr>
          <w:ilvl w:val="0"/>
          <w:numId w:val="2"/>
        </w:numPr>
      </w:pPr>
      <w:r>
        <w:t xml:space="preserve">University of Queensland — Prof. of Engineering</w:t>
      </w:r>
    </w:p>
    <w:p>
      <w:pPr>
        <w:pStyle w:val="MdListItem"/>
        <w:numPr>
          <w:ilvl w:val="0"/>
          <w:numId w:val="2"/>
        </w:numPr>
      </w:pPr>
      <w:r>
        <w:t xml:space="preserve">KFUPM — Prof. of Civil &amp; Environmental Engineering</w:t>
      </w:r>
    </w:p>
    <w:p>
      <w:pPr>
        <w:pStyle w:val="MdListItem"/>
        <w:numPr>
          <w:ilvl w:val="0"/>
          <w:numId w:val="2"/>
        </w:numPr>
      </w:pPr>
      <w:r>
        <w:t xml:space="preserve">Qatar University — Prof. of Civil Engineering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 ICE Package Reviewers (same as Round 1)</w:t>
      </w:r>
    </w:p>
    <w:p>
      <w:pPr>
        <w:pStyle w:val="MdListItem"/>
        <w:numPr>
          <w:ilvl w:val="0"/>
          <w:numId w:val="2"/>
        </w:numPr>
      </w:pPr>
      <w:r>
        <w:t xml:space="preserve">ICE Freeform Explorer Reviewer</w:t>
      </w:r>
    </w:p>
    <w:p>
      <w:pPr>
        <w:pStyle w:val="MdListItem"/>
        <w:numPr>
          <w:ilvl w:val="0"/>
          <w:numId w:val="2"/>
        </w:numPr>
      </w:pPr>
      <w:r>
        <w:t xml:space="preserve">ICE Guided Campaign Reviewer</w:t>
      </w:r>
    </w:p>
    <w:p>
      <w:pPr>
        <w:pStyle w:val="MdListItem"/>
        <w:numPr>
          <w:ilvl w:val="0"/>
          <w:numId w:val="2"/>
        </w:numPr>
      </w:pPr>
      <w:r>
        <w:t xml:space="preserve">ICE Academic Programme Reviewer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SITE ACCESS</w:t>
      </w:r>
    </w:p>
    <w:p>
      <w:pPr>
        <w:pStyle w:val="MdParagraph"/>
      </w:pPr>
      <w:r>
        <w:rPr>
          <w:rStyle w:val="MdStrong"/>
          <w:b/>
          <w:bCs/>
        </w:rPr>
        <w:t xml:space="preserve">Live Platform:</w:t>
      </w:r>
      <w:r>
        <w:t xml:space="preserve"> </w:t>
      </w:r>
      <w:hyperlink w:history="1" r:id="rIdcfik2e2b0qzad8sfhlesz">
        <w:r>
          <w:rPr>
            <w:rStyle w:val="MdLink"/>
          </w:rPr>
          <w:t xml:space="preserve">https://infra-acad-kuqzaex2.manus.space</w:t>
        </w:r>
      </w:hyperlink>
      <w:r>
        <w:t xml:space="preserve">
</w:t>
      </w:r>
      <w:r>
        <w:rPr>
          <w:rStyle w:val="MdStrong"/>
          <w:b/>
          <w:bCs/>
        </w:rPr>
        <w:t xml:space="preserve">Key pages to audit:</w:t>
      </w:r>
    </w:p>
    <w:p>
      <w:pPr>
        <w:pStyle w:val="MdListItem"/>
        <w:numPr>
          <w:ilvl w:val="0"/>
          <w:numId w:val="3"/>
        </w:numPr>
      </w:pPr>
      <w:r>
        <w:t xml:space="preserve">Landing page (site.html)</w:t>
      </w:r>
    </w:p>
    <w:p>
      <w:pPr>
        <w:pStyle w:val="MdListItem"/>
        <w:numPr>
          <w:ilvl w:val="0"/>
          <w:numId w:val="3"/>
        </w:numPr>
      </w:pPr>
      <w:r>
        <w:t xml:space="preserve">Game entry (game.html)</w:t>
      </w:r>
    </w:p>
    <w:p>
      <w:pPr>
        <w:pStyle w:val="MdListItem"/>
        <w:numPr>
          <w:ilvl w:val="0"/>
          <w:numId w:val="3"/>
        </w:numPr>
      </w:pPr>
      <w:r>
        <w:t xml:space="preserve">12 Relay pages (relay-*.html)</w:t>
      </w:r>
    </w:p>
    <w:p>
      <w:pPr>
        <w:pStyle w:val="MdListItem"/>
        <w:numPr>
          <w:ilvl w:val="0"/>
          <w:numId w:val="3"/>
        </w:numPr>
      </w:pPr>
      <w:r>
        <w:t xml:space="preserve">Mobilisation Clock (mobilisation-clock.html)</w:t>
      </w:r>
    </w:p>
    <w:p>
      <w:pPr>
        <w:pStyle w:val="MdListItem"/>
        <w:numPr>
          <w:ilvl w:val="0"/>
          <w:numId w:val="3"/>
        </w:numPr>
      </w:pPr>
      <w:r>
        <w:t xml:space="preserve">Infrastructure Olympiad (infrastructure-olympiad.html)</w:t>
      </w:r>
    </w:p>
    <w:p>
      <w:pPr>
        <w:pStyle w:val="MdListItem"/>
        <w:numPr>
          <w:ilvl w:val="0"/>
          <w:numId w:val="3"/>
        </w:numPr>
      </w:pPr>
      <w:r>
        <w:t xml:space="preserve">Masters/Outriders (masters.html)</w:t>
      </w:r>
    </w:p>
    <w:p>
      <w:pPr>
        <w:pStyle w:val="MdListItem"/>
        <w:numPr>
          <w:ilvl w:val="0"/>
          <w:numId w:val="3"/>
        </w:numPr>
      </w:pPr>
      <w:r>
        <w:t xml:space="preserve">Resources section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HONESTY CLAUSE (Same as Round 1)</w:t>
      </w:r>
    </w:p>
    <w:p>
      <w:pPr>
        <w:pStyle w:val="MdBlockquote"/>
      </w:pPr>
      <w:r>
        <w:t xml:space="preserve">This is a forensic audit, not a courtesy review. We are asking for honest, critical, no-flattery assessment. If something is broken, say so. If something is missing, name it. If something is excellent, explain why. The goal is improvement, not validation.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Em"/>
          <w:i/>
          <w:iCs/>
        </w:rPr>
        <w:t xml:space="preserve">Infrastructure Academy — An Infrastructure Odyssey | Round 2 Focused Audit | March 2026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"/>
      <w:lvlJc w:val="left"/>
      <w:pPr>
        <w:ind w:left="720" w:hanging="360"/>
      </w:pPr>
    </w:lvl>
    <w:lvl w:ilvl="1" w15:tentative="1">
      <w:start w:val="1"/>
      <w:numFmt w:val="decimal"/>
      <w:lvlText w:val="%1.%2"/>
      <w:lvlJc w:val="left"/>
      <w:pPr>
        <w:ind w:left="1440" w:hanging="360"/>
      </w:pPr>
    </w:lvl>
    <w:lvl w:ilvl="2" w15:tentative="1">
      <w:start w:val="1"/>
      <w:numFmt w:val="decimal"/>
      <w:lvlText w:val="%1.%2.%3"/>
      <w:lvlJc w:val="left"/>
      <w:pPr>
        <w:ind w:left="2160" w:hanging="360"/>
      </w:pPr>
    </w:lvl>
    <w:lvl w:ilvl="3" w15:tentative="1">
      <w:start w:val="1"/>
      <w:numFmt w:val="decimal"/>
      <w:lvlText w:val="%4)"/>
      <w:lvlJc w:val="left"/>
      <w:pPr>
        <w:ind w:left="2880" w:hanging="360"/>
      </w:pPr>
    </w:lvl>
    <w:lvl w:ilvl="4" w15:tentative="1">
      <w:start w:val="1"/>
      <w:numFmt w:val="decimal"/>
      <w:lvlText w:val="%5)"/>
      <w:lvlJc w:val="left"/>
      <w:pPr>
        <w:ind w:left="3600" w:hanging="360"/>
      </w:pPr>
    </w:lvl>
    <w:lvl w:ilvl="5" w15:tentative="1">
      <w:start w:val="1"/>
      <w:numFmt w:val="decimal"/>
      <w:lvlText w:val="%6)"/>
      <w:lvlJc w:val="left"/>
      <w:pPr>
        <w:ind w:left="4320" w:hanging="360"/>
      </w:pPr>
    </w:lvl>
    <w:lvl w:ilvl="6" w15:tentative="1">
      <w:start w:val="1"/>
      <w:numFmt w:val="decimal"/>
      <w:lvlText w:val="%7)"/>
      <w:lvlJc w:val="left"/>
      <w:pPr>
        <w:ind w:left="5040" w:hanging="360"/>
      </w:pPr>
    </w:lvl>
    <w:lvl w:ilvl="7" w15:tentative="1">
      <w:start w:val="1"/>
      <w:numFmt w:val="decimal"/>
      <w:lvlText w:val="%8)"/>
      <w:lvlJc w:val="left"/>
      <w:pPr>
        <w:ind w:left="5760" w:hanging="360"/>
      </w:pPr>
    </w:lvl>
    <w:lvl w:ilvl="8" w15:tentative="1">
      <w:start w:val="1"/>
      <w:numFmt w:val="decimal"/>
      <w:lvlText w:val="%9)"/>
      <w:lvlJc w:val="left"/>
      <w:pPr>
        <w:ind w:left="64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•"/>
      <w:lvlJc w:val="left"/>
      <w:pPr>
        <w:ind w:left="2160" w:hanging="360"/>
      </w:pPr>
    </w:lvl>
    <w:lvl w:ilvl="3" w15:tentative="1">
      <w:start w:val="1"/>
      <w:numFmt w:val="bullet"/>
      <w:lvlText w:val="◦"/>
      <w:lvlJc w:val="left"/>
      <w:pPr>
        <w:ind w:left="2880" w:hanging="360"/>
      </w:pPr>
    </w:lvl>
    <w:lvl w:ilvl="4" w15:tentative="1">
      <w:start w:val="1"/>
      <w:numFmt w:val="bullet"/>
      <w:lvlText w:val="•"/>
      <w:lvlJc w:val="left"/>
      <w:pPr>
        <w:ind w:left="3600" w:hanging="360"/>
      </w:pPr>
    </w:lvl>
    <w:lvl w:ilvl="5" w15:tentative="1">
      <w:start w:val="1"/>
      <w:numFmt w:val="bullet"/>
      <w:lvlText w:val="◦"/>
      <w:lvlJc w:val="left"/>
      <w:pPr>
        <w:ind w:left="4320" w:hanging="360"/>
      </w:pPr>
    </w:lvl>
    <w:lvl w:ilvl="6" w15:tentative="1">
      <w:start w:val="1"/>
      <w:numFmt w:val="bullet"/>
      <w:lvlText w:val="•"/>
      <w:lvlJc w:val="left"/>
      <w:pPr>
        <w:ind w:left="50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</w:rPr>
    </w:rPrDefault>
    <w:pPrDefault>
      <w:pPr>
        <w:spacing w:lineRule="auto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MdSpace">
    <w:name w:val="MdSpace"/>
    <w:basedOn w:val="Normal"/>
    <w:next w:val="Normal"/>
    <w:qFormat/>
    <w:pPr>
      <w:spacing w:before="0" w:after="0"/>
    </w:pPr>
    <w:rPr>
      <w:sz w:val="12"/>
      <w:szCs w:val="12"/>
    </w:rPr>
  </w:style>
  <w:style w:type="paragraph" w:styleId="MdCode">
    <w:name w:val="MdCode"/>
    <w:basedOn w:val="Normal"/>
    <w:next w:val="Normal"/>
    <w:qFormat/>
    <w:pPr>
      <w:pBdr>
        <w:top w:val="single" w:color="A5A5A5" w:sz="1" w:space="8"/>
        <w:bottom w:val="single" w:color="A5A5A5" w:sz="1" w:space="8"/>
        <w:left w:val="single" w:color="A5A5A5" w:sz="1" w:space="8"/>
        <w:right w:val="single" w:color="A5A5A5" w:sz="1" w:space="8"/>
      </w:pBdr>
      <w:spacing w:before="200" w:after="200"/>
    </w:pPr>
    <w:rPr>
      <w:rFonts w:ascii="Courier New" w:cs="Courier New" w:eastAsia="Courier New" w:hAnsi="Courier New"/>
      <w:color w:val="70AD47"/>
      <w:sz w:val="22"/>
      <w:szCs w:val="22"/>
    </w:rPr>
  </w:style>
  <w:style w:type="paragraph" w:styleId="MdHr">
    <w:name w:val="MdHr"/>
    <w:basedOn w:val="Normal"/>
    <w:next w:val="Normal"/>
    <w:qFormat/>
    <w:pPr>
      <w:pBdr>
        <w:bottom w:val="single" w:color="A5A5A5" w:sz="1" w:space="1"/>
      </w:pBdr>
      <w:spacing w:before="240" w:after="240"/>
    </w:pPr>
  </w:style>
  <w:style w:type="paragraph" w:styleId="MdBlockquote">
    <w:name w:val="MdBlockquote"/>
    <w:basedOn w:val="Normal"/>
    <w:next w:val="Normal"/>
    <w:qFormat/>
    <w:pPr>
      <w:pBdr>
        <w:left w:val="single" w:color="A5A5A5" w:sz="20" w:space="12"/>
      </w:pBdr>
      <w:spacing w:before="200" w:after="200"/>
      <w:ind w:left="360"/>
    </w:pPr>
    <w:rPr>
      <w:i/>
      <w:iCs/>
      <w:color w:val="666666"/>
    </w:rPr>
  </w:style>
  <w:style w:type="paragraph" w:styleId="MdHtml">
    <w:name w:val="MdHtml"/>
    <w:basedOn w:val="Normal"/>
    <w:next w:val="Normal"/>
    <w:qFormat/>
    <w:rPr>
      <w:rFonts w:ascii="Courier New" w:cs="Courier New" w:eastAsia="Courier New" w:hAnsi="Courier New"/>
      <w:color w:val="ED7D31"/>
    </w:rPr>
  </w:style>
  <w:style w:type="paragraph" w:styleId="MdDef">
    <w:name w:val="MdDef"/>
    <w:basedOn w:val="Normal"/>
    <w:next w:val="Normal"/>
    <w:qFormat/>
    <w:pPr>
      <w:ind w:left="720" w:hanging="360"/>
    </w:pPr>
  </w:style>
  <w:style w:type="paragraph" w:styleId="MdParagraph">
    <w:name w:val="MdParagraph"/>
    <w:basedOn w:val="Normal"/>
    <w:next w:val="Normal"/>
    <w:qFormat/>
    <w:pPr>
      <w:spacing w:before="120" w:after="120"/>
    </w:pPr>
  </w:style>
  <w:style w:type="paragraph" w:styleId="MdText">
    <w:name w:val="MdText"/>
    <w:basedOn w:val="Normal"/>
    <w:next w:val="Normal"/>
    <w:qFormat/>
  </w:style>
  <w:style w:type="paragraph" w:styleId="MdFootnote">
    <w:name w:val="MdFootnote"/>
    <w:basedOn w:val="Normal"/>
    <w:next w:val="Normal"/>
    <w:qFormat/>
    <w:rPr>
      <w:vertAlign w:val="superscript"/>
    </w:rPr>
  </w:style>
  <w:style w:type="paragraph" w:styleId="MdListItem">
    <w:name w:val="MdListItem"/>
    <w:basedOn w:val="Normal"/>
    <w:next w:val="Normal"/>
    <w:qFormat/>
    <w:pPr>
      <w:spacing w:before="60" w:after="60"/>
      <w:ind w:left="720" w:hanging="360"/>
    </w:pPr>
  </w:style>
  <w:style w:type="paragraph" w:styleId="MdTable">
    <w:name w:val="MdTable"/>
    <w:basedOn w:val="Normal"/>
    <w:next w:val="Normal"/>
    <w:qFormat/>
    <w:pPr>
      <w:spacing w:before="60" w:after="60"/>
    </w:pPr>
  </w:style>
  <w:style w:type="paragraph" w:styleId="MdTableHeader">
    <w:name w:val="MdTableHeader"/>
    <w:basedOn w:val="Normal"/>
    <w:next w:val="Normal"/>
    <w:qFormat/>
    <w:pPr>
      <w:spacing w:before="60" w:after="60"/>
    </w:pPr>
    <w:rPr>
      <w:b/>
      <w:bCs/>
      <w:sz w:val="22"/>
      <w:szCs w:val="22"/>
    </w:rPr>
  </w:style>
  <w:style w:type="paragraph" w:styleId="MdTableCell">
    <w:name w:val="MdTableCell"/>
    <w:basedOn w:val="Normal"/>
    <w:next w:val="Normal"/>
    <w:qFormat/>
    <w:pPr>
      <w:spacing w:before="40" w:after="40"/>
    </w:pPr>
    <w:rPr>
      <w:sz w:val="20"/>
      <w:szCs w:val="20"/>
    </w:rPr>
  </w:style>
  <w:style w:type="paragraph" w:styleId="MdHeading1">
    <w:name w:val="MdHeading1"/>
    <w:basedOn w:val="Normal"/>
    <w:next w:val="Normal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styleId="MdHeading2">
    <w:name w:val="MdHeading2"/>
    <w:basedOn w:val="Normal"/>
    <w:next w:val="Normal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styleId="MdHeading3">
    <w:name w:val="MdHeading3"/>
    <w:basedOn w:val="Normal"/>
    <w:next w:val="Normal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styleId="MdHeading4">
    <w:name w:val="MdHeading4"/>
    <w:basedOn w:val="Normal"/>
    <w:next w:val="Normal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styleId="MdHeading5">
    <w:name w:val="MdHeading5"/>
    <w:basedOn w:val="Normal"/>
    <w:next w:val="Normal"/>
    <w:qFormat/>
    <w:pPr>
      <w:keepNext/>
      <w:spacing w:before="240" w:after="120"/>
      <w:outlineLvl w:val="4"/>
    </w:pPr>
    <w:rPr>
      <w:b/>
      <w:bCs/>
      <w:i/>
      <w:iCs/>
      <w:sz w:val="24"/>
      <w:szCs w:val="24"/>
    </w:rPr>
  </w:style>
  <w:style w:type="paragraph" w:styleId="MdHeading6">
    <w:name w:val="MdHeading6"/>
    <w:basedOn w:val="Normal"/>
    <w:next w:val="Normal"/>
    <w:qFormat/>
    <w:pPr>
      <w:keepNext/>
      <w:spacing w:before="240" w:after="120"/>
      <w:outlineLvl w:val="5"/>
    </w:pPr>
    <w:rPr>
      <w:b w:val="false"/>
      <w:bCs w:val="false"/>
      <w:i/>
      <w:iCs/>
      <w:sz w:val="24"/>
      <w:szCs w:val="24"/>
    </w:rPr>
  </w:style>
  <w:style w:type="character" w:styleId="MdTag">
    <w:name w:val="MdTag"/>
    <w:basedOn w:val="Normal"/>
    <w:next w:val="Normal"/>
    <w:uiPriority w:val="99"/>
    <w:unhideWhenUsed/>
    <w:qFormat/>
    <w:rPr>
      <w:rFonts w:ascii="Courier New" w:cs="Courier New" w:eastAsia="Courier New" w:hAnsi="Courier New"/>
      <w:color w:val="ED7D31"/>
    </w:rPr>
  </w:style>
  <w:style w:type="character" w:styleId="MdLink">
    <w:name w:val="MdLink"/>
    <w:basedOn w:val="Normal"/>
    <w:next w:val="Normal"/>
    <w:uiPriority w:val="99"/>
    <w:unhideWhenUsed/>
    <w:qFormat/>
    <w:rPr>
      <w:color w:val="0563C1"/>
      <w:u w:val="single"/>
    </w:rPr>
  </w:style>
  <w:style w:type="character" w:styleId="MdStrong">
    <w:name w:val="MdStrong"/>
    <w:basedOn w:val="Normal"/>
    <w:next w:val="Normal"/>
    <w:uiPriority w:val="99"/>
    <w:unhideWhenUsed/>
    <w:qFormat/>
    <w:rPr>
      <w:b/>
      <w:bCs/>
    </w:rPr>
  </w:style>
  <w:style w:type="character" w:styleId="MdEm">
    <w:name w:val="MdEm"/>
    <w:basedOn w:val="Normal"/>
    <w:next w:val="Normal"/>
    <w:uiPriority w:val="99"/>
    <w:unhideWhenUsed/>
    <w:qFormat/>
    <w:rPr>
      <w:i/>
      <w:iCs/>
    </w:rPr>
  </w:style>
  <w:style w:type="character" w:styleId="MdCodespan">
    <w:name w:val="MdCodespan"/>
    <w:basedOn w:val="Normal"/>
    <w:next w:val="Normal"/>
    <w:uiPriority w:val="99"/>
    <w:unhideWhenUsed/>
    <w:qFormat/>
    <w:rPr>
      <w:rFonts w:ascii="Courier New" w:cs="Courier New" w:eastAsia="Courier New" w:hAnsi="Courier New"/>
      <w:color w:val="70AD47"/>
    </w:rPr>
  </w:style>
  <w:style w:type="character" w:styleId="MdDel">
    <w:name w:val="MdDel"/>
    <w:basedOn w:val="Normal"/>
    <w:next w:val="Normal"/>
    <w:uiPriority w:val="99"/>
    <w:unhideWhenUsed/>
    <w:qFormat/>
    <w:rPr>
      <w:strike/>
    </w:rPr>
  </w:style>
  <w:style w:type="character" w:styleId="MdBr">
    <w:name w:val="MdBr"/>
    <w:basedOn w:val="Normal"/>
    <w:next w:val="Normal"/>
    <w:uiPriority w:val="99"/>
    <w:unhideWhenUsed/>
    <w:qFormat/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cfik2e2b0qzad8sfhlesz" Type="http://schemas.openxmlformats.org/officeDocument/2006/relationships/hyperlink" Target="https://infra-acad-kuqzaex2.manus.space" TargetMode="Externa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Un-named</cp:lastModifiedBy>
  <cp:revision>1</cp:revision>
  <dcterms:created xsi:type="dcterms:W3CDTF">2026-03-07T17:44:45.141Z</dcterms:created>
  <dcterms:modified xsi:type="dcterms:W3CDTF">2026-03-07T17:44:45.141Z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