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pStyle w:val="MdHeading1"/>
      </w:pPr>
      <w:r>
        <w:t xml:space="preserve">Consolidated Fix List from 10-Bot Review</w:t>
      </w:r>
    </w:p>
    <w:p>
      <w:pPr>
        <w:pStyle w:val="Heading2"/>
        <w:pStyle w:val="MdHeading2"/>
      </w:pPr>
      <w:r>
        <w:t xml:space="preserve">VOL.1 FIXES</w:t>
      </w:r>
    </w:p>
    <w:p>
      <w:pPr>
        <w:pStyle w:val="Heading3"/>
        <w:pStyle w:val="MdHeading3"/>
      </w:pPr>
      <w:r>
        <w:t xml:space="preserve">HIGH PRIORITY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"Human Nodes: The Programmable Human" → "Human Nodes"</w:t>
      </w:r>
      <w:r>
        <w:t xml:space="preserve"> — Chapter 12 title in TOC and chapter heading (Vol.1)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"Nomads" → "Outriders"</w:t>
      </w:r>
      <w:r>
        <w:t xml:space="preserve"> — Introduction line ~113 "mobile empires of the Nomads" → "mobile empires of the Outriders"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Author credentials format</w:t>
      </w:r>
      <w:r>
        <w:t xml:space="preserve"> — "Ir. Nigel T Dearden / BEng (Hons), CEng, C.WEM, RPE / MICE, MHKIE, MCIWEM" → "Ir. Nigel T. Dearden / BEng Hons, CEng, C.WEM, RPE, MICE, MHKIE, MCIWEM"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MEDIUM PRIORITY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Chapter subtitles in TOC</w:t>
      </w:r>
      <w:r>
        <w:t xml:space="preserve"> — Some bots flagged that chapter subtitles (e.g. "Fire: Eternal Constant") don't match website which just says "Fire". DECISION: Keep subtitles in the book — they add literary value. The website uses short forms. This is OK — not an error.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Subsection numbering</w:t>
      </w:r>
      <w:r>
        <w:t xml:space="preserve"> — Some chapters have subsection numbers that don't match their chapter number (e.g. Chapter 9 has 8.x numbering, Chapter 10 has 9.x). Fix numbering.</w:t>
      </w: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VOL.2 FIXES</w:t>
      </w:r>
    </w:p>
    <w:p>
      <w:pPr>
        <w:pStyle w:val="Heading3"/>
        <w:pStyle w:val="MdHeading3"/>
      </w:pPr>
      <w:r>
        <w:t xml:space="preserve">HIGH PRIORITY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"Human Nodes: The Great Filter" → "Human Nodes"</w:t>
      </w:r>
      <w:r>
        <w:t xml:space="preserve"> — Chapter 12 title in TOC and heading (Vol.2)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Chapter 9 (Engine) missing from TOC</w:t>
      </w:r>
      <w:r>
        <w:t xml:space="preserve"> — Add to table of contents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Chapter 9 missing China Mirror section</w:t>
      </w:r>
      <w:r>
        <w:t xml:space="preserve"> — Add Pillar 4 Thesis section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4Cs naming standardisation</w:t>
      </w:r>
      <w:r>
        <w:t xml:space="preserve"> — Each chapter uses different threat names. Standardise to dual-layer: War/Conflagration, Disease/Consumption, Famine/Conflict, Existential/Climate. Keep the relay-specific threat descriptions but always reference the canonical 4Cs names.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Subsection numbering off by one</w:t>
      </w:r>
      <w:r>
        <w:t xml:space="preserve"> — Chapter 10 content numbered as 9.x, etc. Fix.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Author credentials format</w:t>
      </w:r>
      <w:r>
        <w:t xml:space="preserve"> — Same fix as Vol.1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MEDIUM PRIORITY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Chapter 10 title/content alignment</w:t>
      </w:r>
      <w:r>
        <w:t xml:space="preserve"> — Verify AAA Triad chapter content matches title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Table count</w:t>
      </w:r>
      <w:r>
        <w:t xml:space="preserve"> — Bots reported fewer than 81 tables in text extraction. Verify actual .docx has all 81.</w:t>
      </w: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WEBSITE FIXES (separate from docs)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Vol.2 page title tags wrong</w:t>
      </w:r>
      <w:r>
        <w:t xml:space="preserve"> — relay-07-loom.html title says "Rail", relay-08-rail.html title says "Loom", relay-11-orbit.html title says "Humans"</w:t>
      </w: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DECISIONS (NOT ERRORS)</w:t>
      </w:r>
    </w:p>
    <w:p>
      <w:pPr>
        <w:pStyle w:val="MdListItem"/>
        <w:numPr>
          <w:ilvl w:val="0"/>
          <w:numId w:val="3"/>
        </w:numPr>
      </w:pPr>
      <w:r>
        <w:t xml:space="preserve">Chapter subtitles in books are FINE — website uses short forms, books use literary titles</w:t>
      </w:r>
    </w:p>
    <w:p>
      <w:pPr>
        <w:pStyle w:val="MdListItem"/>
        <w:numPr>
          <w:ilvl w:val="0"/>
          <w:numId w:val="3"/>
        </w:numPr>
      </w:pPr>
      <w:r>
        <w:t xml:space="preserve">Vol.1 does NOT need a "Threats per relay" section — that's Vol.2's job (The Guide)</w:t>
      </w:r>
    </w:p>
    <w:p>
      <w:pPr>
        <w:pStyle w:val="MdListItem"/>
        <w:numPr>
          <w:ilvl w:val="0"/>
          <w:numId w:val="3"/>
        </w:numPr>
      </w:pPr>
      <w:r>
        <w:t xml:space="preserve">4Cs in Vol.2 can use relay-specific threat names BUT must always reference the canonical 4Cs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"/>
      <w:lvlJc w:val="left"/>
      <w:pPr>
        <w:ind w:left="720" w:hanging="360"/>
      </w:pPr>
    </w:lvl>
    <w:lvl w:ilvl="1" w15:tentative="1">
      <w:start w:val="1"/>
      <w:numFmt w:val="decimal"/>
      <w:lvlText w:val="%1.%2"/>
      <w:lvlJc w:val="left"/>
      <w:pPr>
        <w:ind w:left="1440" w:hanging="360"/>
      </w:pPr>
    </w:lvl>
    <w:lvl w:ilvl="2" w15:tentative="1">
      <w:start w:val="1"/>
      <w:numFmt w:val="decimal"/>
      <w:lvlText w:val="%1.%2.%3"/>
      <w:lvlJc w:val="left"/>
      <w:pPr>
        <w:ind w:left="2160" w:hanging="360"/>
      </w:pPr>
    </w:lvl>
    <w:lvl w:ilvl="3" w15:tentative="1">
      <w:start w:val="1"/>
      <w:numFmt w:val="decimal"/>
      <w:lvlText w:val="%4)"/>
      <w:lvlJc w:val="left"/>
      <w:pPr>
        <w:ind w:left="2880" w:hanging="360"/>
      </w:pPr>
    </w:lvl>
    <w:lvl w:ilvl="4" w15:tentative="1">
      <w:start w:val="1"/>
      <w:numFmt w:val="decimal"/>
      <w:lvlText w:val="%5)"/>
      <w:lvlJc w:val="left"/>
      <w:pPr>
        <w:ind w:left="3600" w:hanging="360"/>
      </w:pPr>
    </w:lvl>
    <w:lvl w:ilvl="5" w15:tentative="1">
      <w:start w:val="1"/>
      <w:numFmt w:val="decimal"/>
      <w:lvlText w:val="%6)"/>
      <w:lvlJc w:val="left"/>
      <w:pPr>
        <w:ind w:left="4320" w:hanging="360"/>
      </w:pPr>
    </w:lvl>
    <w:lvl w:ilvl="6" w15:tentative="1">
      <w:start w:val="1"/>
      <w:numFmt w:val="decimal"/>
      <w:lvlText w:val="%7)"/>
      <w:lvlJc w:val="left"/>
      <w:pPr>
        <w:ind w:left="5040" w:hanging="360"/>
      </w:pPr>
    </w:lvl>
    <w:lvl w:ilvl="7" w15:tentative="1">
      <w:start w:val="1"/>
      <w:numFmt w:val="decimal"/>
      <w:lvlText w:val="%8)"/>
      <w:lvlJc w:val="left"/>
      <w:pPr>
        <w:ind w:left="5760" w:hanging="360"/>
      </w:pPr>
    </w:lvl>
    <w:lvl w:ilvl="8" w15:tentative="1">
      <w:start w:val="1"/>
      <w:numFmt w:val="decimal"/>
      <w:lvlText w:val="%9)"/>
      <w:lvlJc w:val="left"/>
      <w:pPr>
        <w:ind w:left="64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•"/>
      <w:lvlJc w:val="left"/>
      <w:pPr>
        <w:ind w:left="2160" w:hanging="360"/>
      </w:pPr>
    </w:lvl>
    <w:lvl w:ilvl="3" w15:tentative="1">
      <w:start w:val="1"/>
      <w:numFmt w:val="bullet"/>
      <w:lvlText w:val="◦"/>
      <w:lvlJc w:val="left"/>
      <w:pPr>
        <w:ind w:left="2880" w:hanging="360"/>
      </w:pPr>
    </w:lvl>
    <w:lvl w:ilvl="4" w15:tentative="1">
      <w:start w:val="1"/>
      <w:numFmt w:val="bullet"/>
      <w:lvlText w:val="•"/>
      <w:lvlJc w:val="left"/>
      <w:pPr>
        <w:ind w:left="3600" w:hanging="360"/>
      </w:pPr>
    </w:lvl>
    <w:lvl w:ilvl="5" w15:tentative="1">
      <w:start w:val="1"/>
      <w:numFmt w:val="bullet"/>
      <w:lvlText w:val="◦"/>
      <w:lvlJc w:val="left"/>
      <w:pPr>
        <w:ind w:left="4320" w:hanging="360"/>
      </w:pPr>
    </w:lvl>
    <w:lvl w:ilvl="6" w15:tentative="1">
      <w:start w:val="1"/>
      <w:numFmt w:val="bullet"/>
      <w:lvlText w:val="•"/>
      <w:lvlJc w:val="left"/>
      <w:pPr>
        <w:ind w:left="50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</w:rPr>
    </w:rPrDefault>
    <w:pPrDefault>
      <w:pPr>
        <w:spacing w:lineRule="auto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MdSpace">
    <w:name w:val="MdSpace"/>
    <w:basedOn w:val="Normal"/>
    <w:next w:val="Normal"/>
    <w:qFormat/>
    <w:pPr>
      <w:spacing w:before="0" w:after="0"/>
    </w:pPr>
    <w:rPr>
      <w:sz w:val="12"/>
      <w:szCs w:val="12"/>
    </w:rPr>
  </w:style>
  <w:style w:type="paragraph" w:styleId="MdCode">
    <w:name w:val="MdCode"/>
    <w:basedOn w:val="Normal"/>
    <w:next w:val="Normal"/>
    <w:qFormat/>
    <w:pPr>
      <w:pBdr>
        <w:top w:val="single" w:color="A5A5A5" w:sz="1" w:space="8"/>
        <w:bottom w:val="single" w:color="A5A5A5" w:sz="1" w:space="8"/>
        <w:left w:val="single" w:color="A5A5A5" w:sz="1" w:space="8"/>
        <w:right w:val="single" w:color="A5A5A5" w:sz="1" w:space="8"/>
      </w:pBdr>
      <w:spacing w:before="200" w:after="200"/>
    </w:pPr>
    <w:rPr>
      <w:rFonts w:ascii="Courier New" w:cs="Courier New" w:eastAsia="Courier New" w:hAnsi="Courier New"/>
      <w:color w:val="70AD47"/>
      <w:sz w:val="22"/>
      <w:szCs w:val="22"/>
    </w:rPr>
  </w:style>
  <w:style w:type="paragraph" w:styleId="MdHr">
    <w:name w:val="MdHr"/>
    <w:basedOn w:val="Normal"/>
    <w:next w:val="Normal"/>
    <w:qFormat/>
    <w:pPr>
      <w:pBdr>
        <w:bottom w:val="single" w:color="A5A5A5" w:sz="1" w:space="1"/>
      </w:pBdr>
      <w:spacing w:before="240" w:after="240"/>
    </w:pPr>
  </w:style>
  <w:style w:type="paragraph" w:styleId="MdBlockquote">
    <w:name w:val="MdBlockquote"/>
    <w:basedOn w:val="Normal"/>
    <w:next w:val="Normal"/>
    <w:qFormat/>
    <w:pPr>
      <w:pBdr>
        <w:left w:val="single" w:color="A5A5A5" w:sz="20" w:space="12"/>
      </w:pBdr>
      <w:spacing w:before="200" w:after="200"/>
      <w:ind w:left="360"/>
    </w:pPr>
    <w:rPr>
      <w:i/>
      <w:iCs/>
      <w:color w:val="666666"/>
    </w:rPr>
  </w:style>
  <w:style w:type="paragraph" w:styleId="MdHtml">
    <w:name w:val="MdHtml"/>
    <w:basedOn w:val="Normal"/>
    <w:next w:val="Normal"/>
    <w:qFormat/>
    <w:rPr>
      <w:rFonts w:ascii="Courier New" w:cs="Courier New" w:eastAsia="Courier New" w:hAnsi="Courier New"/>
      <w:color w:val="ED7D31"/>
    </w:rPr>
  </w:style>
  <w:style w:type="paragraph" w:styleId="MdDef">
    <w:name w:val="MdDef"/>
    <w:basedOn w:val="Normal"/>
    <w:next w:val="Normal"/>
    <w:qFormat/>
    <w:pPr>
      <w:ind w:left="720" w:hanging="360"/>
    </w:pPr>
  </w:style>
  <w:style w:type="paragraph" w:styleId="MdParagraph">
    <w:name w:val="MdParagraph"/>
    <w:basedOn w:val="Normal"/>
    <w:next w:val="Normal"/>
    <w:qFormat/>
    <w:pPr>
      <w:spacing w:before="120" w:after="120"/>
    </w:pPr>
  </w:style>
  <w:style w:type="paragraph" w:styleId="MdText">
    <w:name w:val="MdText"/>
    <w:basedOn w:val="Normal"/>
    <w:next w:val="Normal"/>
    <w:qFormat/>
  </w:style>
  <w:style w:type="paragraph" w:styleId="MdFootnote">
    <w:name w:val="MdFootnote"/>
    <w:basedOn w:val="Normal"/>
    <w:next w:val="Normal"/>
    <w:qFormat/>
    <w:rPr>
      <w:vertAlign w:val="superscript"/>
    </w:rPr>
  </w:style>
  <w:style w:type="paragraph" w:styleId="MdListItem">
    <w:name w:val="MdListItem"/>
    <w:basedOn w:val="Normal"/>
    <w:next w:val="Normal"/>
    <w:qFormat/>
    <w:pPr>
      <w:spacing w:before="60" w:after="60"/>
      <w:ind w:left="720" w:hanging="360"/>
    </w:pPr>
  </w:style>
  <w:style w:type="paragraph" w:styleId="MdTable">
    <w:name w:val="MdTable"/>
    <w:basedOn w:val="Normal"/>
    <w:next w:val="Normal"/>
    <w:qFormat/>
    <w:pPr>
      <w:spacing w:before="60" w:after="60"/>
    </w:pPr>
  </w:style>
  <w:style w:type="paragraph" w:styleId="MdTableHeader">
    <w:name w:val="MdTableHeader"/>
    <w:basedOn w:val="Normal"/>
    <w:next w:val="Normal"/>
    <w:qFormat/>
    <w:pPr>
      <w:spacing w:before="60" w:after="60"/>
    </w:pPr>
    <w:rPr>
      <w:b/>
      <w:bCs/>
      <w:sz w:val="22"/>
      <w:szCs w:val="22"/>
    </w:rPr>
  </w:style>
  <w:style w:type="paragraph" w:styleId="MdTableCell">
    <w:name w:val="MdTableCell"/>
    <w:basedOn w:val="Normal"/>
    <w:next w:val="Normal"/>
    <w:qFormat/>
    <w:pPr>
      <w:spacing w:before="40" w:after="40"/>
    </w:pPr>
    <w:rPr>
      <w:sz w:val="20"/>
      <w:szCs w:val="20"/>
    </w:rPr>
  </w:style>
  <w:style w:type="paragraph" w:styleId="MdHeading1">
    <w:name w:val="MdHeading1"/>
    <w:basedOn w:val="Normal"/>
    <w:next w:val="Normal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styleId="MdHeading2">
    <w:name w:val="MdHeading2"/>
    <w:basedOn w:val="Normal"/>
    <w:next w:val="Normal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styleId="MdHeading3">
    <w:name w:val="MdHeading3"/>
    <w:basedOn w:val="Normal"/>
    <w:next w:val="Normal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styleId="MdHeading4">
    <w:name w:val="MdHeading4"/>
    <w:basedOn w:val="Normal"/>
    <w:next w:val="Normal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styleId="MdHeading5">
    <w:name w:val="MdHeading5"/>
    <w:basedOn w:val="Normal"/>
    <w:next w:val="Normal"/>
    <w:qFormat/>
    <w:pPr>
      <w:keepNext/>
      <w:spacing w:before="240" w:after="120"/>
      <w:outlineLvl w:val="4"/>
    </w:pPr>
    <w:rPr>
      <w:b/>
      <w:bCs/>
      <w:i/>
      <w:iCs/>
      <w:sz w:val="24"/>
      <w:szCs w:val="24"/>
    </w:rPr>
  </w:style>
  <w:style w:type="paragraph" w:styleId="MdHeading6">
    <w:name w:val="MdHeading6"/>
    <w:basedOn w:val="Normal"/>
    <w:next w:val="Normal"/>
    <w:qFormat/>
    <w:pPr>
      <w:keepNext/>
      <w:spacing w:before="240" w:after="120"/>
      <w:outlineLvl w:val="5"/>
    </w:pPr>
    <w:rPr>
      <w:b w:val="false"/>
      <w:bCs w:val="false"/>
      <w:i/>
      <w:iCs/>
      <w:sz w:val="24"/>
      <w:szCs w:val="24"/>
    </w:rPr>
  </w:style>
  <w:style w:type="character" w:styleId="MdTag">
    <w:name w:val="MdTag"/>
    <w:basedOn w:val="Normal"/>
    <w:next w:val="Normal"/>
    <w:uiPriority w:val="99"/>
    <w:unhideWhenUsed/>
    <w:qFormat/>
    <w:rPr>
      <w:rFonts w:ascii="Courier New" w:cs="Courier New" w:eastAsia="Courier New" w:hAnsi="Courier New"/>
      <w:color w:val="ED7D31"/>
    </w:rPr>
  </w:style>
  <w:style w:type="character" w:styleId="MdLink">
    <w:name w:val="MdLink"/>
    <w:basedOn w:val="Normal"/>
    <w:next w:val="Normal"/>
    <w:uiPriority w:val="99"/>
    <w:unhideWhenUsed/>
    <w:qFormat/>
    <w:rPr>
      <w:color w:val="0563C1"/>
      <w:u w:val="single"/>
    </w:rPr>
  </w:style>
  <w:style w:type="character" w:styleId="MdStrong">
    <w:name w:val="MdStrong"/>
    <w:basedOn w:val="Normal"/>
    <w:next w:val="Normal"/>
    <w:uiPriority w:val="99"/>
    <w:unhideWhenUsed/>
    <w:qFormat/>
    <w:rPr>
      <w:b/>
      <w:bCs/>
    </w:rPr>
  </w:style>
  <w:style w:type="character" w:styleId="MdEm">
    <w:name w:val="MdEm"/>
    <w:basedOn w:val="Normal"/>
    <w:next w:val="Normal"/>
    <w:uiPriority w:val="99"/>
    <w:unhideWhenUsed/>
    <w:qFormat/>
    <w:rPr>
      <w:i/>
      <w:iCs/>
    </w:rPr>
  </w:style>
  <w:style w:type="character" w:styleId="MdCodespan">
    <w:name w:val="MdCodespan"/>
    <w:basedOn w:val="Normal"/>
    <w:next w:val="Normal"/>
    <w:uiPriority w:val="99"/>
    <w:unhideWhenUsed/>
    <w:qFormat/>
    <w:rPr>
      <w:rFonts w:ascii="Courier New" w:cs="Courier New" w:eastAsia="Courier New" w:hAnsi="Courier New"/>
      <w:color w:val="70AD47"/>
    </w:rPr>
  </w:style>
  <w:style w:type="character" w:styleId="MdDel">
    <w:name w:val="MdDel"/>
    <w:basedOn w:val="Normal"/>
    <w:next w:val="Normal"/>
    <w:uiPriority w:val="99"/>
    <w:unhideWhenUsed/>
    <w:qFormat/>
    <w:rPr>
      <w:strike/>
    </w:rPr>
  </w:style>
  <w:style w:type="character" w:styleId="MdBr">
    <w:name w:val="MdBr"/>
    <w:basedOn w:val="Normal"/>
    <w:next w:val="Normal"/>
    <w:uiPriority w:val="99"/>
    <w:unhideWhenUsed/>
    <w:qFormat/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Un-named</cp:lastModifiedBy>
  <cp:revision>1</cp:revision>
  <dcterms:created xsi:type="dcterms:W3CDTF">2026-03-07T15:41:33.022Z</dcterms:created>
  <dcterms:modified xsi:type="dcterms:W3CDTF">2026-03-07T15:41:33.022Z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