
<file path=[Content_Types].xml><?xml version="1.0" encoding="utf-8"?>
<Types xmlns="http://schemas.openxmlformats.org/package/2006/content-types">
  <Default ContentType="image/png" Extension="png"/>
  <Default ContentType="image/jpeg" Extension="jpeg"/>
  <Default ContentType="image/jpeg" Extension="jpg"/>
  <Default ContentType="image/bmp" Extension="bmp"/>
  <Default ContentType="image/gif" Extension="gif"/>
  <Default ContentType="image/svg+xml" Extension="svg"/>
  <Default ContentType="application/vnd.openxmlformats-package.relationships+xml" Extension="rels"/>
  <Default ContentType="application/xml" Extension="xml"/>
  <Default ContentType="application/vnd.openxmlformats-officedocument.obfuscatedFont" Extension="odttf"/>
  <Override ContentType="application/vnd.openxmlformats-officedocument.wordprocessingml.document.main+xml" PartName="/word/document.xml"/>
  <Override ContentType="application/vnd.openxmlformats-officedocument.wordprocessingml.styles+xml" PartName="/word/styles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extended-properties+xml" PartName="/docProps/app.xml"/>
  <Override ContentType="application/vnd.openxmlformats-officedocument.wordprocessingml.numbering+xml" PartName="/word/numbering.xml"/>
  <Override ContentType="application/vnd.openxmlformats-officedocument.wordprocessingml.footnotes+xml" PartName="/word/footnotes.xml"/>
  <Override ContentType="application/vnd.openxmlformats-officedocument.wordprocessingml.settings+xml" PartName="/word/settings.xml"/>
  <Override ContentType="application/vnd.openxmlformats-officedocument.wordprocessingml.comments+xml" PartName="/word/comments.xml"/>
  <Override ContentType="application/vnd.openxmlformats-officedocument.wordprocessingml.fontTable+xml" PartName="/word/fontTable.xml"/>
</Types>
</file>

<file path=_rels/.rels><?xml version="1.0" encoding="UTF-8"?>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aink="http://schemas.microsoft.com/office/drawing/2016/ink" xmlns:am3d="http://schemas.microsoft.com/office/drawing/2017/model3d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p14">
  <w:body>
    <w:p>
      <w:pPr>
        <w:pStyle w:val="Heading1"/>
        <w:pStyle w:val="MdHeading1"/>
      </w:pPr>
      <w:r>
        <w:t xml:space="preserve">US &amp; Middle East University Research for 12-University Benchmark</w:t>
      </w:r>
    </w:p>
    <w:p>
      <w:pPr>
        <w:pStyle w:val="Heading2"/>
        <w:pStyle w:val="MdHeading2"/>
      </w:pPr>
      <w:r>
        <w:t xml:space="preserve">USA UNIVERSITIES</w:t>
      </w:r>
    </w:p>
    <w:p>
      <w:pPr>
        <w:pStyle w:val="Heading3"/>
        <w:pStyle w:val="MdHeading3"/>
      </w:pPr>
      <w:r>
        <w:t xml:space="preserve">1. MIT — Course 1-ENG (BS General Engineering, Civil &amp; Environmental)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Location:</w:t>
      </w:r>
      <w:r>
        <w:t xml:space="preserve"> Cambridge, MA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Programme:</w:t>
      </w:r>
      <w:r>
        <w:t xml:space="preserve"> BS in General Engineering (Course 1-ENG) — ABET accredited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Two centres of gravity:</w:t>
      </w:r>
      <w:r>
        <w:t xml:space="preserve"> Environment (natural systems) + Infrastructure (human-created)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Two labs:</w:t>
      </w:r>
      <w:r>
        <w:t xml:space="preserve"> Parsons Lab (Environmental Science &amp; Engineering) + Pierce Lab (Infrastructure Science &amp; Engineering)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Emphasis:</w:t>
      </w:r>
      <w:r>
        <w:t xml:space="preserve"> Quantitative approaches, data science, computation, probability, data analysis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Core subjects:</w:t>
      </w:r>
      <w:r>
        <w:t xml:space="preserve"> 1.013 (Senior Civil &amp; Env Eng Design), 1.101 (Introduction to CEE Design), 1.104 (Sensing, Computing &amp; Data Analysis for Eng), 1.106 (Data, Models &amp; Decisions), 1.107 (Systems Engineering)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Specialisation tracks:</w:t>
      </w:r>
      <w:r>
        <w:t xml:space="preserve"> Mechanics of Materials &amp; Structures, Transportation &amp; Systems, Environmental Science &amp; Engineering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Joint programme:</w:t>
      </w:r>
      <w:r>
        <w:t xml:space="preserve"> 1-12 Climate System Science &amp; Engineering (with Earth, Atmospheric &amp; Planetary Sciences)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Key distinction:</w:t>
      </w:r>
      <w:r>
        <w:t xml:space="preserve"> Flexible curriculum, multidisciplinary focus, "nano to global" scale approach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Min units:</w:t>
      </w:r>
      <w:r>
        <w:t xml:space="preserve"> Not specified for UG (varies by track)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2. Stanford — BS Civil Engineering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Location:</w:t>
      </w:r>
      <w:r>
        <w:t xml:space="preserve"> Stanford, CA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Programme:</w:t>
      </w:r>
      <w:r>
        <w:t xml:space="preserve"> BS in Civil Engineering — ABET accredited, 113 min units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7 Focus Areas:</w:t>
      </w:r>
      <w:r>
        <w:t xml:space="preserve"> Structural Engineering &amp; Mechanics, Environmental Fluid Mechanics &amp; Hydrology, Construction Engineering, Energy &amp; Climate, Environmental Quality Engineering, Sensing Analytics &amp; Control, Urban Systems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Structure:</w:t>
      </w:r>
      <w:r>
        <w:t xml:space="preserve"> Choose 1 primary focus + 3 breadth areas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Core courses include:</w:t>
      </w:r>
      <w:r>
        <w:t xml:space="preserve"> ENGR 14 (Solid Mechanics), ENGR 90/CEE 70 (Environmental Science &amp; Technology), CEE 100 (Managing Sustainable Building Projects)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Accessible early courses:</w:t>
      </w:r>
      <w:r>
        <w:t xml:space="preserve"> CEE 41Q (Clean Water Now), CEE 63 (Weather &amp; Storms), CEE 64 (Air Pollution &amp; Global Warming), CEE 80N (Intro to Structural Eng), CEE 83 (Seismic Design), CEE 107A (Understanding Energy), CEE 120A (Building Modeling for Design &amp; Construction), CEE 131C (How Buildings Are Made)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Key distinction:</w:t>
      </w:r>
      <w:r>
        <w:t xml:space="preserve"> People-oriented + technical, project management emphasis, sustainability focus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Min university units:</w:t>
      </w:r>
      <w:r>
        <w:t xml:space="preserve"> 180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3. UC Berkeley — BS Civil Engineering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Location:</w:t>
      </w:r>
      <w:r>
        <w:t xml:space="preserve"> Berkeley, CA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Programme:</w:t>
      </w:r>
      <w:r>
        <w:t xml:space="preserve"> BS in Civil Engineering — ABET accredited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4-year curriculum</w:t>
      </w:r>
      <w:r>
        <w:t xml:space="preserve"> leading to BS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Core areas:</w:t>
      </w:r>
      <w:r>
        <w:t xml:space="preserve"> Environmental Science &amp; Engineering, Civil Infrastructure, Economics &amp; Policy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Graduate tracks:</w:t>
      </w:r>
      <w:r>
        <w:t xml:space="preserve"> Transportation, Construction Systems, Energy, Civil Infrastructure &amp; Climate Engineering, Environmental Engineering, GeoSystems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Key distinction:</w:t>
      </w:r>
      <w:r>
        <w:t xml:space="preserve"> Strong research focus, proximity to Silicon Valley tech ecosystem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Min units:</w:t>
      </w:r>
      <w:r>
        <w:t xml:space="preserve"> 120 semester units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Min GPA:</w:t>
      </w:r>
      <w:r>
        <w:t xml:space="preserve"> 2.00 (C average), 3.0 for grad course access</w:t>
      </w: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MIDDLE EAST UNIVERSITIES</w:t>
      </w:r>
    </w:p>
    <w:p>
      <w:pPr>
        <w:pStyle w:val="Heading3"/>
        <w:pStyle w:val="MdHeading3"/>
      </w:pPr>
      <w:r>
        <w:t xml:space="preserve">1. Khalifa University — BSc Civil Engineering (Abu Dhabi, UAE)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Location:</w:t>
      </w:r>
      <w:r>
        <w:t xml:space="preserve"> Abu Dhabi, UAE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Programme:</w:t>
      </w:r>
      <w:r>
        <w:t xml:space="preserve"> BSc in Civil Engineering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Department:</w:t>
      </w:r>
      <w:r>
        <w:t xml:space="preserve"> Civil Infrastructure and Environmental Engineering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Focus:</w:t>
      </w:r>
      <w:r>
        <w:t xml:space="preserve"> Core civil engineering disciplines + understanding overall infrastructure systems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Graduate programme:</w:t>
      </w:r>
      <w:r>
        <w:t xml:space="preserve"> MSc in Civil &amp; Infrastructural Engineering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Context:</w:t>
      </w:r>
      <w:r>
        <w:t xml:space="preserve"> UAE's flagship STEM university, serving Abu Dhabi's massive infrastructure development (Masdar City, Saadiyat Island, etc.)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Key distinction:</w:t>
      </w:r>
      <w:r>
        <w:t xml:space="preserve"> Infrastructure-focused in a nation literally building itself from desert, practical application emphasis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2. Qatar University — BS Civil Engineering (Doha, Qatar)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Location:</w:t>
      </w:r>
      <w:r>
        <w:t xml:space="preserve"> Doha, Qatar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Programme:</w:t>
      </w:r>
      <w:r>
        <w:t xml:space="preserve"> BS in Civil Engineering — ABET accredited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Min credits:</w:t>
      </w:r>
      <w:r>
        <w:t xml:space="preserve"> 131 credit hours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Core curriculum:</w:t>
      </w:r>
      <w:r>
        <w:t xml:space="preserve"> 33 credit hours in core curriculum + major courses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Structure:</w:t>
      </w:r>
      <w:r>
        <w:t xml:space="preserve"> Core Curriculum Requirements + Major Electives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Key courses:</w:t>
      </w:r>
      <w:r>
        <w:t xml:space="preserve"> CVEN 401 (Civil Engineering Design Project I), Mathematics for Engineers, Arabic Language requirement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Context:</w:t>
      </w:r>
      <w:r>
        <w:t xml:space="preserve"> Qatar's 2022 World Cup drove massive infrastructure investment; university curriculum shaped by real megaproject experience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Key distinction:</w:t>
      </w:r>
      <w:r>
        <w:t xml:space="preserve"> Arabic language requirement alongside engineering, cultural integration, megaproject context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3. KFUPM — BS Civil Engineering (Dhahran, Saudi Arabia)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Location:</w:t>
      </w:r>
      <w:r>
        <w:t xml:space="preserve"> Dhahran, Eastern Province, Saudi Arabia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Programme:</w:t>
      </w:r>
      <w:r>
        <w:t xml:space="preserve"> BS in Civil Engineering — ABET accredited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Department:</w:t>
      </w:r>
      <w:r>
        <w:t xml:space="preserve"> Civil and Environmental Engineering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Context:</w:t>
      </w:r>
      <w:r>
        <w:t xml:space="preserve"> Saudi Arabia's leading technical university, directly serving Vision 2030 and NEOM megaproject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QS Rankings:</w:t>
      </w:r>
      <w:r>
        <w:t xml:space="preserve"> 58th in Petroleum Engineering, strong in Data Science &amp; AI</w:t>
      </w:r>
    </w:p>
    <w:p>
      <w:pPr>
        <w:pStyle w:val="MdListItem"/>
        <w:numPr>
          <w:ilvl w:val="0"/>
          <w:numId w:val="2"/>
        </w:numPr>
      </w:pPr>
      <w:r>
        <w:rPr>
          <w:rStyle w:val="MdStrong"/>
          <w:b/>
          <w:bCs/>
        </w:rPr>
        <w:t xml:space="preserve">Key distinction:</w:t>
      </w:r>
      <w:r>
        <w:t xml:space="preserve"> Petroleum infrastructure nexus, Vision 2030 alignment, NEOM/The Line as living laboratory for future infrastructure</w:t>
      </w:r>
    </w:p>
    <w:p>
      <w:pPr>
        <w:pStyle w:val="MdSpace"/>
        <w:spacing w:before="0" w:after="60"/>
      </w:pPr>
    </w:p>
    <w:p>
      <w:pPr>
        <w:pStyle w:val="Heading2"/>
        <w:pStyle w:val="MdHeading2"/>
      </w:pPr>
      <w:r>
        <w:t xml:space="preserve">KEY CULTURAL OBSERVATIONS</w:t>
      </w:r>
    </w:p>
    <w:p>
      <w:pPr>
        <w:pStyle w:val="Heading3"/>
        <w:pStyle w:val="MdHeading3"/>
      </w:pPr>
      <w:r>
        <w:t xml:space="preserve">USA vs UK</w:t>
      </w:r>
    </w:p>
    <w:p>
      <w:pPr>
        <w:pStyle w:val="MdListItem"/>
        <w:numPr>
          <w:ilvl w:val="0"/>
          <w:numId w:val="2"/>
        </w:numPr>
      </w:pPr>
      <w:r>
        <w:t xml:space="preserve">US programmes are MORE FLEXIBLE (elective-heavy, choose your track) vs UK programmes (more prescribed, year-by-year structure)</w:t>
      </w:r>
    </w:p>
    <w:p>
      <w:pPr>
        <w:pStyle w:val="MdListItem"/>
        <w:numPr>
          <w:ilvl w:val="0"/>
          <w:numId w:val="2"/>
        </w:numPr>
      </w:pPr>
      <w:r>
        <w:t xml:space="preserve">US emphasises ABET accreditation as professional licensing pathway; UK uses ICE/IStructE chartership</w:t>
      </w:r>
    </w:p>
    <w:p>
      <w:pPr>
        <w:pStyle w:val="MdListItem"/>
        <w:numPr>
          <w:ilvl w:val="0"/>
          <w:numId w:val="2"/>
        </w:numPr>
      </w:pPr>
      <w:r>
        <w:t xml:space="preserve">MIT's "nano to global" scale mirrors IAAI's micro-to-macro approach</w:t>
      </w:r>
    </w:p>
    <w:p>
      <w:pPr>
        <w:pStyle w:val="MdListItem"/>
        <w:numPr>
          <w:ilvl w:val="0"/>
          <w:numId w:val="2"/>
        </w:numPr>
      </w:pPr>
      <w:r>
        <w:t xml:space="preserve">Stanford's "people-oriented + technical" framing aligns with IAAI's human-infrastructure thesis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Middle East vs All Others</w:t>
      </w:r>
    </w:p>
    <w:p>
      <w:pPr>
        <w:pStyle w:val="MdListItem"/>
        <w:numPr>
          <w:ilvl w:val="0"/>
          <w:numId w:val="2"/>
        </w:numPr>
      </w:pPr>
      <w:r>
        <w:t xml:space="preserve">ME programmes are INFRASTRUCTURE-FIRST by necessity — these nations are building at unprecedented scale</w:t>
      </w:r>
    </w:p>
    <w:p>
      <w:pPr>
        <w:pStyle w:val="MdListItem"/>
        <w:numPr>
          <w:ilvl w:val="0"/>
          <w:numId w:val="2"/>
        </w:numPr>
      </w:pPr>
      <w:r>
        <w:t xml:space="preserve">Qatar University requires Arabic language — cultural identity preserved alongside engineering</w:t>
      </w:r>
    </w:p>
    <w:p>
      <w:pPr>
        <w:pStyle w:val="MdListItem"/>
        <w:numPr>
          <w:ilvl w:val="0"/>
          <w:numId w:val="2"/>
        </w:numPr>
      </w:pPr>
      <w:r>
        <w:t xml:space="preserve">KFUPM's Vision 2030 alignment shows engineering education directly serving national strategy (like IAAI's mobilisation thesis)</w:t>
      </w:r>
    </w:p>
    <w:p>
      <w:pPr>
        <w:pStyle w:val="MdListItem"/>
        <w:numPr>
          <w:ilvl w:val="0"/>
          <w:numId w:val="2"/>
        </w:numPr>
      </w:pPr>
      <w:r>
        <w:t xml:space="preserve">Khalifa's "Civil Infrastructure" naming (not just "Civil Engineering") is closer to IAAI's language than any Western university</w:t>
      </w:r>
    </w:p>
    <w:p>
      <w:pPr>
        <w:pStyle w:val="MdListItem"/>
        <w:numPr>
          <w:ilvl w:val="0"/>
          <w:numId w:val="2"/>
        </w:numPr>
      </w:pPr>
      <w:r>
        <w:t xml:space="preserve">The ME universities DON'T need to be convinced that infrastructure matters — they're living it. They need the HISTORICAL DEPTH that IAAI provides (why does infrastructure matter across 12,000 years, not just since 1970?)</w:t>
      </w:r>
    </w:p>
    <w:p>
      <w:pPr>
        <w:pStyle w:val="MdSpace"/>
        <w:spacing w:before="0" w:after="60"/>
      </w:pPr>
    </w:p>
    <w:p>
      <w:pPr>
        <w:pStyle w:val="Heading3"/>
        <w:pStyle w:val="MdHeading3"/>
      </w:pPr>
      <w:r>
        <w:t xml:space="preserve">The Olympiad Connection</w:t>
      </w:r>
    </w:p>
    <w:p>
      <w:pPr>
        <w:pStyle w:val="MdListItem"/>
        <w:numPr>
          <w:ilvl w:val="0"/>
          <w:numId w:val="2"/>
        </w:numPr>
      </w:pPr>
      <w:r>
        <w:t xml:space="preserve">12 universities × 4 regions = the founding matrix for the Infrastructure Olympiad</w:t>
      </w:r>
    </w:p>
    <w:p>
      <w:pPr>
        <w:pStyle w:val="MdListItem"/>
        <w:numPr>
          <w:ilvl w:val="0"/>
          <w:numId w:val="2"/>
        </w:numPr>
      </w:pPr>
      <w:r>
        <w:t xml:space="preserve">Each university represents a different relationship with infrastructure: historical (UK), innovative (US), continuous (Asia), building (ME)</w:t>
      </w:r>
    </w:p>
    <w:p>
      <w:pPr>
        <w:pStyle w:val="MdListItem"/>
        <w:numPr>
          <w:ilvl w:val="0"/>
          <w:numId w:val="2"/>
        </w:numPr>
      </w:pPr>
      <w:r>
        <w:t xml:space="preserve">The benchmarking exercise IS the first Olympiad event</w:t>
      </w:r>
    </w:p>
    <w:sectPr>
      <w:pgSz w:w="11906" w:h="16838" w:orient="portrait"/>
      <w:pgMar w:top="1440" w:right="1440" w:bottom="1440" w:left="1440" w:header="708" w:footer="708" w:gutter="0"/>
      <w:pgNumType/>
      <w:docGrid w:linePitch="360"/>
    </w:sectPr>
  </w:body>
</w:document>
</file>

<file path=word/comments.xml><?xml version="1.0" encoding="utf-8"?>
<w:comments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/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>
      <w:pPr>
        <w:spacing w:after="0" w:line="240" w:lineRule="auto"/>
      </w:pPr>
      <w:r>
        <w:rPr>
          <w:rStyle w:val="FootnoteReference"/>
        </w:rPr>
        <w:footnoteRef/>
      </w:r>
      <w:r>
        <w:separator/>
      </w:r>
    </w:p>
  </w:footnote>
  <w:footnote w:type="continuationSeparator" w:id="0">
    <w:p>
      <w:pPr>
        <w:spacing w:after="0" w:line="240" w:lineRule="auto"/>
      </w:pPr>
      <w:r>
        <w:rPr>
          <w:rStyle w:val="FootnoteReference"/>
        </w:rPr>
        <w:footnoteRef/>
      </w: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1" w15:restartNumberingAfterBreak="0">
    <w:multiLevelType w:val="hybridMultilevel"/>
    <w:lvl w:ilvl="0" w15:tentative="1">
      <w:start w:val="1"/>
      <w:numFmt w:val="bullet"/>
      <w:lvlText w:val="●"/>
      <w:lvlJc w:val="left"/>
      <w:pPr>
        <w:ind w:left="720" w:hanging="360"/>
      </w:pPr>
    </w:lvl>
    <w:lvl w:ilvl="1" w15:tentative="1">
      <w:start w:val="1"/>
      <w:numFmt w:val="bullet"/>
      <w:lvlText w:val="○"/>
      <w:lvlJc w:val="left"/>
      <w:pPr>
        <w:ind w:left="1440" w:hanging="360"/>
      </w:pPr>
    </w:lvl>
    <w:lvl w:ilvl="2" w15:tentative="1">
      <w:start w:val="1"/>
      <w:numFmt w:val="bullet"/>
      <w:lvlText w:val="■"/>
      <w:lvlJc w:val="left"/>
      <w:pPr>
        <w:ind w:left="2160" w:hanging="360"/>
      </w:pPr>
    </w:lvl>
    <w:lvl w:ilvl="3" w15:tentative="1">
      <w:start w:val="1"/>
      <w:numFmt w:val="bullet"/>
      <w:lvlText w:val="●"/>
      <w:lvlJc w:val="left"/>
      <w:pPr>
        <w:ind w:left="2880" w:hanging="360"/>
      </w:pPr>
    </w:lvl>
    <w:lvl w:ilvl="4" w15:tentative="1">
      <w:start w:val="1"/>
      <w:numFmt w:val="bullet"/>
      <w:lvlText w:val="○"/>
      <w:lvlJc w:val="left"/>
      <w:pPr>
        <w:ind w:left="3600" w:hanging="360"/>
      </w:pPr>
    </w:lvl>
    <w:lvl w:ilvl="5" w15:tentative="1">
      <w:start w:val="1"/>
      <w:numFmt w:val="bullet"/>
      <w:lvlText w:val="■"/>
      <w:lvlJc w:val="left"/>
      <w:pPr>
        <w:ind w:left="4320" w:hanging="360"/>
      </w:pPr>
    </w:lvl>
    <w:lvl w:ilvl="6" w15:tentative="1">
      <w:start w:val="1"/>
      <w:numFmt w:val="bullet"/>
      <w:lvlText w:val="●"/>
      <w:lvlJc w:val="left"/>
      <w:pPr>
        <w:ind w:left="5040" w:hanging="360"/>
      </w:pPr>
    </w:lvl>
    <w:lvl w:ilvl="7" w15:tentative="1">
      <w:start w:val="1"/>
      <w:numFmt w:val="bullet"/>
      <w:lvlText w:val="●"/>
      <w:lvlJc w:val="left"/>
      <w:pPr>
        <w:ind w:left="5760" w:hanging="360"/>
      </w:pPr>
    </w:lvl>
    <w:lvl w:ilvl="8" w15:tentative="1">
      <w:start w:val="1"/>
      <w:numFmt w:val="bullet"/>
      <w:lvlText w:val="●"/>
      <w:lvlJc w:val="left"/>
      <w:pPr>
        <w:ind w:left="6480" w:hanging="360"/>
      </w:pPr>
    </w:lvl>
  </w:abstractNum>
  <w:abstractNum w:abstractNumId="2" w15:restartNumberingAfterBreak="0">
    <w:multiLevelType w:val="hybridMultilevel"/>
    <w:lvl w:ilvl="0" w15:tentative="1">
      <w:start w:val="1"/>
      <w:numFmt w:val="decimal"/>
      <w:lvlText w:val="%1"/>
      <w:lvlJc w:val="left"/>
      <w:pPr>
        <w:ind w:left="720" w:hanging="360"/>
      </w:pPr>
    </w:lvl>
    <w:lvl w:ilvl="1" w15:tentative="1">
      <w:start w:val="1"/>
      <w:numFmt w:val="decimal"/>
      <w:lvlText w:val="%1.%2"/>
      <w:lvlJc w:val="left"/>
      <w:pPr>
        <w:ind w:left="1440" w:hanging="360"/>
      </w:pPr>
    </w:lvl>
    <w:lvl w:ilvl="2" w15:tentative="1">
      <w:start w:val="1"/>
      <w:numFmt w:val="decimal"/>
      <w:lvlText w:val="%1.%2.%3"/>
      <w:lvlJc w:val="left"/>
      <w:pPr>
        <w:ind w:left="2160" w:hanging="360"/>
      </w:pPr>
    </w:lvl>
    <w:lvl w:ilvl="3" w15:tentative="1">
      <w:start w:val="1"/>
      <w:numFmt w:val="decimal"/>
      <w:lvlText w:val="%4)"/>
      <w:lvlJc w:val="left"/>
      <w:pPr>
        <w:ind w:left="2880" w:hanging="360"/>
      </w:pPr>
    </w:lvl>
    <w:lvl w:ilvl="4" w15:tentative="1">
      <w:start w:val="1"/>
      <w:numFmt w:val="decimal"/>
      <w:lvlText w:val="%5)"/>
      <w:lvlJc w:val="left"/>
      <w:pPr>
        <w:ind w:left="3600" w:hanging="360"/>
      </w:pPr>
    </w:lvl>
    <w:lvl w:ilvl="5" w15:tentative="1">
      <w:start w:val="1"/>
      <w:numFmt w:val="decimal"/>
      <w:lvlText w:val="%6)"/>
      <w:lvlJc w:val="left"/>
      <w:pPr>
        <w:ind w:left="4320" w:hanging="360"/>
      </w:pPr>
    </w:lvl>
    <w:lvl w:ilvl="6" w15:tentative="1">
      <w:start w:val="1"/>
      <w:numFmt w:val="decimal"/>
      <w:lvlText w:val="%7)"/>
      <w:lvlJc w:val="left"/>
      <w:pPr>
        <w:ind w:left="5040" w:hanging="360"/>
      </w:pPr>
    </w:lvl>
    <w:lvl w:ilvl="7" w15:tentative="1">
      <w:start w:val="1"/>
      <w:numFmt w:val="decimal"/>
      <w:lvlText w:val="%8)"/>
      <w:lvlJc w:val="left"/>
      <w:pPr>
        <w:ind w:left="5760" w:hanging="360"/>
      </w:pPr>
    </w:lvl>
    <w:lvl w:ilvl="8" w15:tentative="1">
      <w:start w:val="1"/>
      <w:numFmt w:val="decimal"/>
      <w:lvlText w:val="%9)"/>
      <w:lvlJc w:val="left"/>
      <w:pPr>
        <w:ind w:left="6480" w:hanging="360"/>
      </w:pPr>
    </w:lvl>
  </w:abstractNum>
  <w:abstractNum w:abstractNumId="3" w15:restartNumberingAfterBreak="0">
    <w:multiLevelType w:val="hybridMultilevel"/>
    <w:lvl w:ilvl="0" w15:tentative="1">
      <w:start w:val="1"/>
      <w:numFmt w:val="bullet"/>
      <w:lvlText w:val="•"/>
      <w:lvlJc w:val="left"/>
      <w:pPr>
        <w:ind w:left="720" w:hanging="360"/>
      </w:pPr>
    </w:lvl>
    <w:lvl w:ilvl="1" w15:tentative="1">
      <w:start w:val="1"/>
      <w:numFmt w:val="bullet"/>
      <w:lvlText w:val="◦"/>
      <w:lvlJc w:val="left"/>
      <w:pPr>
        <w:ind w:left="1440" w:hanging="360"/>
      </w:pPr>
    </w:lvl>
    <w:lvl w:ilvl="2" w15:tentative="1">
      <w:start w:val="1"/>
      <w:numFmt w:val="bullet"/>
      <w:lvlText w:val="•"/>
      <w:lvlJc w:val="left"/>
      <w:pPr>
        <w:ind w:left="2160" w:hanging="360"/>
      </w:pPr>
    </w:lvl>
    <w:lvl w:ilvl="3" w15:tentative="1">
      <w:start w:val="1"/>
      <w:numFmt w:val="bullet"/>
      <w:lvlText w:val="◦"/>
      <w:lvlJc w:val="left"/>
      <w:pPr>
        <w:ind w:left="2880" w:hanging="360"/>
      </w:pPr>
    </w:lvl>
    <w:lvl w:ilvl="4" w15:tentative="1">
      <w:start w:val="1"/>
      <w:numFmt w:val="bullet"/>
      <w:lvlText w:val="•"/>
      <w:lvlJc w:val="left"/>
      <w:pPr>
        <w:ind w:left="3600" w:hanging="360"/>
      </w:pPr>
    </w:lvl>
    <w:lvl w:ilvl="5" w15:tentative="1">
      <w:start w:val="1"/>
      <w:numFmt w:val="bullet"/>
      <w:lvlText w:val="◦"/>
      <w:lvlJc w:val="left"/>
      <w:pPr>
        <w:ind w:left="4320" w:hanging="360"/>
      </w:pPr>
    </w:lvl>
    <w:lvl w:ilvl="6" w15:tentative="1">
      <w:start w:val="1"/>
      <w:numFmt w:val="bullet"/>
      <w:lvlText w:val="•"/>
      <w:lvlJc w:val="left"/>
      <w:pPr>
        <w:ind w:left="5040" w:hanging="360"/>
      </w:pPr>
    </w:lvl>
  </w:abstractNum>
  <w:num w:numId="1">
    <w:abstractNumId w:val="1"/>
    <w:lvlOverride w:ilvl="0">
      <w:startOverride w:val="1"/>
    </w:lvlOverride>
  </w:num>
  <w:num w:numId="2">
    <w:abstractNumId w:val="3"/>
    <w:lvlOverride w:ilvl="0">
      <w:startOverride w:val="1"/>
    </w:lvlOverride>
  </w:num>
</w:numbering>
</file>

<file path=word/settings.xml><?xml version="1.0" encoding="utf-8"?>
<w:setting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displayBackgroundShape/>
  <w:evenAndOddHeaders w:val="false"/>
  <w:compat>
    <w:compatSetting w:val="15" w:uri="http://schemas.microsoft.com/office/word" w:name="compatibilityMode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sz w:val="24"/>
        <w:szCs w:val="24"/>
      </w:rPr>
    </w:rPrDefault>
    <w:pPrDefault>
      <w:pPr>
        <w:spacing w:lineRule="auto"/>
      </w:pPr>
    </w:pPrDefault>
  </w:docDefaults>
  <w:style w:type="paragraph" w:styleId="Title">
    <w:name w:val="Title"/>
    <w:basedOn w:val="Normal"/>
    <w:next w:val="Normal"/>
    <w:qFormat/>
    <w:rPr>
      <w:sz w:val="56"/>
      <w:szCs w:val="56"/>
    </w:rPr>
  </w:style>
  <w:style w:type="paragraph" w:styleId="Heading1">
    <w:name w:val="Heading 1"/>
    <w:basedOn w:val="Normal"/>
    <w:next w:val="Normal"/>
    <w:qFormat/>
    <w:rPr>
      <w:color w:val="2E74B5"/>
      <w:sz w:val="32"/>
      <w:szCs w:val="32"/>
    </w:rPr>
  </w:style>
  <w:style w:type="paragraph" w:styleId="Heading2">
    <w:name w:val="Heading 2"/>
    <w:basedOn w:val="Normal"/>
    <w:next w:val="Normal"/>
    <w:qFormat/>
    <w:rPr>
      <w:color w:val="2E74B5"/>
      <w:sz w:val="26"/>
      <w:szCs w:val="26"/>
    </w:rPr>
  </w:style>
  <w:style w:type="paragraph" w:styleId="Heading3">
    <w:name w:val="Heading 3"/>
    <w:basedOn w:val="Normal"/>
    <w:next w:val="Normal"/>
    <w:qFormat/>
    <w:rPr>
      <w:color w:val="1F4D78"/>
      <w:sz w:val="24"/>
      <w:szCs w:val="24"/>
    </w:rPr>
  </w:style>
  <w:style w:type="paragraph" w:styleId="Heading4">
    <w:name w:val="Heading 4"/>
    <w:basedOn w:val="Normal"/>
    <w:next w:val="Normal"/>
    <w:qFormat/>
    <w:rPr>
      <w:i/>
      <w:iCs/>
      <w:color w:val="2E74B5"/>
    </w:rPr>
  </w:style>
  <w:style w:type="paragraph" w:styleId="Heading5">
    <w:name w:val="Heading 5"/>
    <w:basedOn w:val="Normal"/>
    <w:next w:val="Normal"/>
    <w:qFormat/>
    <w:rPr>
      <w:color w:val="2E74B5"/>
    </w:rPr>
  </w:style>
  <w:style w:type="paragraph" w:styleId="Heading6">
    <w:name w:val="Heading 6"/>
    <w:basedOn w:val="Normal"/>
    <w:next w:val="Normal"/>
    <w:qFormat/>
    <w:rPr>
      <w:color w:val="1F4D78"/>
    </w:rPr>
  </w:style>
  <w:style w:type="paragraph" w:styleId="Strong">
    <w:name w:val="Strong"/>
    <w:basedOn w:val="Normal"/>
    <w:next w:val="Normal"/>
    <w:qFormat/>
    <w:rPr>
      <w:b/>
      <w:bCs/>
    </w:rPr>
  </w:style>
  <w:style w:type="paragraph" w:styleId="ListParagraph">
    <w:name w:val="List Paragraph"/>
    <w:basedOn w:val="Normal"/>
    <w:qFormat/>
  </w:style>
  <w:style w:type="character" w:styleId="Hyperlink">
    <w:name w:val="Hyperlink"/>
    <w:basedOn w:val="DefaultParagraphFont"/>
    <w:uiPriority w:val="99"/>
    <w:unhideWhenUsed/>
    <w:rPr>
      <w:color w:val="0563C1"/>
      <w:u w:val="single" w:color="0563C1"/>
    </w:rPr>
  </w:style>
  <w:style w:type="character" w:styleId="FootnoteReference">
    <w:name w:val="footnote reference"/>
    <w:basedOn w:val="DefaultParagraphFont"/>
    <w:uiPriority w:val="99"/>
    <w:semiHidden/>
    <w:unhideWhenUsed/>
    <w:rPr>
      <w:vertAlign w:val="superscript"/>
    </w:rPr>
  </w:style>
  <w:style w:type="paragraph" w:styleId="FootnoteText">
    <w:name w:val="footnote text"/>
    <w:basedOn w:val="Normal"/>
    <w:link w:val="FootnoteTextChar"/>
    <w:uiPriority w:val="99"/>
    <w:semiHidden/>
    <w:unhideWhenUsed/>
    <w:pPr>
      <w:spacing w:after="0" w:line="240" w:lineRule="auto"/>
    </w:pPr>
    <w:rPr>
      <w:sz w:val="20"/>
      <w:szCs w:val="20"/>
    </w:rPr>
  </w:style>
  <w:style w:type="character" w:styleId="FootnoteTextChar">
    <w:name w:val="Footnote Text Char"/>
    <w:basedOn w:val="DefaultParagraphFont"/>
    <w:link w:val="FootnoteText"/>
    <w:uiPriority w:val="99"/>
    <w:semiHidden/>
    <w:unhideWhenUsed/>
    <w:rPr>
      <w:sz w:val="20"/>
      <w:szCs w:val="20"/>
    </w:rPr>
  </w:style>
  <w:style w:type="paragraph" w:styleId="MdSpace">
    <w:name w:val="MdSpace"/>
    <w:basedOn w:val="Normal"/>
    <w:next w:val="Normal"/>
    <w:qFormat/>
    <w:pPr>
      <w:spacing w:before="0" w:after="0"/>
    </w:pPr>
    <w:rPr>
      <w:sz w:val="12"/>
      <w:szCs w:val="12"/>
    </w:rPr>
  </w:style>
  <w:style w:type="paragraph" w:styleId="MdCode">
    <w:name w:val="MdCode"/>
    <w:basedOn w:val="Normal"/>
    <w:next w:val="Normal"/>
    <w:qFormat/>
    <w:pPr>
      <w:pBdr>
        <w:top w:val="single" w:color="A5A5A5" w:sz="1" w:space="8"/>
        <w:bottom w:val="single" w:color="A5A5A5" w:sz="1" w:space="8"/>
        <w:left w:val="single" w:color="A5A5A5" w:sz="1" w:space="8"/>
        <w:right w:val="single" w:color="A5A5A5" w:sz="1" w:space="8"/>
      </w:pBdr>
      <w:spacing w:before="200" w:after="200"/>
    </w:pPr>
    <w:rPr>
      <w:rFonts w:ascii="Courier New" w:cs="Courier New" w:eastAsia="Courier New" w:hAnsi="Courier New"/>
      <w:color w:val="70AD47"/>
      <w:sz w:val="22"/>
      <w:szCs w:val="22"/>
    </w:rPr>
  </w:style>
  <w:style w:type="paragraph" w:styleId="MdHr">
    <w:name w:val="MdHr"/>
    <w:basedOn w:val="Normal"/>
    <w:next w:val="Normal"/>
    <w:qFormat/>
    <w:pPr>
      <w:pBdr>
        <w:bottom w:val="single" w:color="A5A5A5" w:sz="1" w:space="1"/>
      </w:pBdr>
      <w:spacing w:before="240" w:after="240"/>
    </w:pPr>
  </w:style>
  <w:style w:type="paragraph" w:styleId="MdBlockquote">
    <w:name w:val="MdBlockquote"/>
    <w:basedOn w:val="Normal"/>
    <w:next w:val="Normal"/>
    <w:qFormat/>
    <w:pPr>
      <w:pBdr>
        <w:left w:val="single" w:color="A5A5A5" w:sz="20" w:space="12"/>
      </w:pBdr>
      <w:spacing w:before="200" w:after="200"/>
      <w:ind w:left="360"/>
    </w:pPr>
    <w:rPr>
      <w:i/>
      <w:iCs/>
      <w:color w:val="666666"/>
    </w:rPr>
  </w:style>
  <w:style w:type="paragraph" w:styleId="MdHtml">
    <w:name w:val="MdHtml"/>
    <w:basedOn w:val="Normal"/>
    <w:next w:val="Normal"/>
    <w:qFormat/>
    <w:rPr>
      <w:rFonts w:ascii="Courier New" w:cs="Courier New" w:eastAsia="Courier New" w:hAnsi="Courier New"/>
      <w:color w:val="ED7D31"/>
    </w:rPr>
  </w:style>
  <w:style w:type="paragraph" w:styleId="MdDef">
    <w:name w:val="MdDef"/>
    <w:basedOn w:val="Normal"/>
    <w:next w:val="Normal"/>
    <w:qFormat/>
    <w:pPr>
      <w:ind w:left="720" w:hanging="360"/>
    </w:pPr>
  </w:style>
  <w:style w:type="paragraph" w:styleId="MdParagraph">
    <w:name w:val="MdParagraph"/>
    <w:basedOn w:val="Normal"/>
    <w:next w:val="Normal"/>
    <w:qFormat/>
    <w:pPr>
      <w:spacing w:before="120" w:after="120"/>
    </w:pPr>
  </w:style>
  <w:style w:type="paragraph" w:styleId="MdText">
    <w:name w:val="MdText"/>
    <w:basedOn w:val="Normal"/>
    <w:next w:val="Normal"/>
    <w:qFormat/>
  </w:style>
  <w:style w:type="paragraph" w:styleId="MdFootnote">
    <w:name w:val="MdFootnote"/>
    <w:basedOn w:val="Normal"/>
    <w:next w:val="Normal"/>
    <w:qFormat/>
    <w:rPr>
      <w:vertAlign w:val="superscript"/>
    </w:rPr>
  </w:style>
  <w:style w:type="paragraph" w:styleId="MdListItem">
    <w:name w:val="MdListItem"/>
    <w:basedOn w:val="Normal"/>
    <w:next w:val="Normal"/>
    <w:qFormat/>
    <w:pPr>
      <w:spacing w:before="60" w:after="60"/>
      <w:ind w:left="720" w:hanging="360"/>
    </w:pPr>
  </w:style>
  <w:style w:type="paragraph" w:styleId="MdTable">
    <w:name w:val="MdTable"/>
    <w:basedOn w:val="Normal"/>
    <w:next w:val="Normal"/>
    <w:qFormat/>
    <w:pPr>
      <w:spacing w:before="60" w:after="60"/>
    </w:pPr>
  </w:style>
  <w:style w:type="paragraph" w:styleId="MdTableHeader">
    <w:name w:val="MdTableHeader"/>
    <w:basedOn w:val="Normal"/>
    <w:next w:val="Normal"/>
    <w:qFormat/>
    <w:pPr>
      <w:spacing w:before="60" w:after="60"/>
    </w:pPr>
    <w:rPr>
      <w:b/>
      <w:bCs/>
      <w:sz w:val="22"/>
      <w:szCs w:val="22"/>
    </w:rPr>
  </w:style>
  <w:style w:type="paragraph" w:styleId="MdTableCell">
    <w:name w:val="MdTableCell"/>
    <w:basedOn w:val="Normal"/>
    <w:next w:val="Normal"/>
    <w:qFormat/>
    <w:pPr>
      <w:spacing w:before="40" w:after="40"/>
    </w:pPr>
    <w:rPr>
      <w:sz w:val="20"/>
      <w:szCs w:val="20"/>
    </w:rPr>
  </w:style>
  <w:style w:type="paragraph" w:styleId="MdHeading1">
    <w:name w:val="MdHeading1"/>
    <w:basedOn w:val="Normal"/>
    <w:next w:val="Normal"/>
    <w:qFormat/>
    <w:pPr>
      <w:keepNext/>
      <w:spacing w:before="480" w:after="240"/>
      <w:outlineLvl w:val="0"/>
    </w:pPr>
    <w:rPr>
      <w:b/>
      <w:bCs/>
      <w:sz w:val="36"/>
      <w:szCs w:val="36"/>
    </w:rPr>
  </w:style>
  <w:style w:type="paragraph" w:styleId="MdHeading2">
    <w:name w:val="MdHeading2"/>
    <w:basedOn w:val="Normal"/>
    <w:next w:val="Normal"/>
    <w:qFormat/>
    <w:pPr>
      <w:keepNext/>
      <w:spacing w:before="400" w:after="200"/>
      <w:outlineLvl w:val="1"/>
    </w:pPr>
    <w:rPr>
      <w:b/>
      <w:bCs/>
      <w:sz w:val="32"/>
      <w:szCs w:val="32"/>
    </w:rPr>
  </w:style>
  <w:style w:type="paragraph" w:styleId="MdHeading3">
    <w:name w:val="MdHeading3"/>
    <w:basedOn w:val="Normal"/>
    <w:next w:val="Normal"/>
    <w:qFormat/>
    <w:pPr>
      <w:keepNext/>
      <w:spacing w:before="320" w:after="160"/>
      <w:outlineLvl w:val="2"/>
    </w:pPr>
    <w:rPr>
      <w:b/>
      <w:bCs/>
      <w:sz w:val="28"/>
      <w:szCs w:val="28"/>
    </w:rPr>
  </w:style>
  <w:style w:type="paragraph" w:styleId="MdHeading4">
    <w:name w:val="MdHeading4"/>
    <w:basedOn w:val="Normal"/>
    <w:next w:val="Normal"/>
    <w:qFormat/>
    <w:pPr>
      <w:keepNext/>
      <w:spacing w:before="280" w:after="140"/>
      <w:outlineLvl w:val="3"/>
    </w:pPr>
    <w:rPr>
      <w:b/>
      <w:bCs/>
      <w:sz w:val="26"/>
      <w:szCs w:val="26"/>
    </w:rPr>
  </w:style>
  <w:style w:type="paragraph" w:styleId="MdHeading5">
    <w:name w:val="MdHeading5"/>
    <w:basedOn w:val="Normal"/>
    <w:next w:val="Normal"/>
    <w:qFormat/>
    <w:pPr>
      <w:keepNext/>
      <w:spacing w:before="240" w:after="120"/>
      <w:outlineLvl w:val="4"/>
    </w:pPr>
    <w:rPr>
      <w:b/>
      <w:bCs/>
      <w:i/>
      <w:iCs/>
      <w:sz w:val="24"/>
      <w:szCs w:val="24"/>
    </w:rPr>
  </w:style>
  <w:style w:type="paragraph" w:styleId="MdHeading6">
    <w:name w:val="MdHeading6"/>
    <w:basedOn w:val="Normal"/>
    <w:next w:val="Normal"/>
    <w:qFormat/>
    <w:pPr>
      <w:keepNext/>
      <w:spacing w:before="240" w:after="120"/>
      <w:outlineLvl w:val="5"/>
    </w:pPr>
    <w:rPr>
      <w:b w:val="false"/>
      <w:bCs w:val="false"/>
      <w:i/>
      <w:iCs/>
      <w:sz w:val="24"/>
      <w:szCs w:val="24"/>
    </w:rPr>
  </w:style>
  <w:style w:type="character" w:styleId="MdTag">
    <w:name w:val="MdTag"/>
    <w:basedOn w:val="Normal"/>
    <w:next w:val="Normal"/>
    <w:uiPriority w:val="99"/>
    <w:unhideWhenUsed/>
    <w:qFormat/>
    <w:rPr>
      <w:rFonts w:ascii="Courier New" w:cs="Courier New" w:eastAsia="Courier New" w:hAnsi="Courier New"/>
      <w:color w:val="ED7D31"/>
    </w:rPr>
  </w:style>
  <w:style w:type="character" w:styleId="MdLink">
    <w:name w:val="MdLink"/>
    <w:basedOn w:val="Normal"/>
    <w:next w:val="Normal"/>
    <w:uiPriority w:val="99"/>
    <w:unhideWhenUsed/>
    <w:qFormat/>
    <w:rPr>
      <w:color w:val="0563C1"/>
      <w:u w:val="single"/>
    </w:rPr>
  </w:style>
  <w:style w:type="character" w:styleId="MdStrong">
    <w:name w:val="MdStrong"/>
    <w:basedOn w:val="Normal"/>
    <w:next w:val="Normal"/>
    <w:uiPriority w:val="99"/>
    <w:unhideWhenUsed/>
    <w:qFormat/>
    <w:rPr>
      <w:b/>
      <w:bCs/>
    </w:rPr>
  </w:style>
  <w:style w:type="character" w:styleId="MdEm">
    <w:name w:val="MdEm"/>
    <w:basedOn w:val="Normal"/>
    <w:next w:val="Normal"/>
    <w:uiPriority w:val="99"/>
    <w:unhideWhenUsed/>
    <w:qFormat/>
    <w:rPr>
      <w:i/>
      <w:iCs/>
    </w:rPr>
  </w:style>
  <w:style w:type="character" w:styleId="MdCodespan">
    <w:name w:val="MdCodespan"/>
    <w:basedOn w:val="Normal"/>
    <w:next w:val="Normal"/>
    <w:uiPriority w:val="99"/>
    <w:unhideWhenUsed/>
    <w:qFormat/>
    <w:rPr>
      <w:rFonts w:ascii="Courier New" w:cs="Courier New" w:eastAsia="Courier New" w:hAnsi="Courier New"/>
      <w:color w:val="70AD47"/>
    </w:rPr>
  </w:style>
  <w:style w:type="character" w:styleId="MdDel">
    <w:name w:val="MdDel"/>
    <w:basedOn w:val="Normal"/>
    <w:next w:val="Normal"/>
    <w:uiPriority w:val="99"/>
    <w:unhideWhenUsed/>
    <w:qFormat/>
    <w:rPr>
      <w:strike/>
    </w:rPr>
  </w:style>
  <w:style w:type="character" w:styleId="MdBr">
    <w:name w:val="MdBr"/>
    <w:basedOn w:val="Normal"/>
    <w:next w:val="Normal"/>
    <w:uiPriority w:val="99"/>
    <w:unhideWhenUsed/>
    <w:qFormat/>
  </w:style>
</w:styles>
</file>

<file path=word/_rels/comments.xml.rels><?xml version="1.0" encoding="UTF-8"?><Relationships xmlns="http://schemas.openxmlformats.org/package/2006/relationships"/>
</file>

<file path=word/_rels/document.xml.rels><?xml version="1.0" encoding="UTF-8"?>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numbering" Target="numbering.xml"/><Relationship Id="rId3" Type="http://schemas.openxmlformats.org/officeDocument/2006/relationships/footnotes" Target="footnotes.xml"/><Relationship Id="rId4" Type="http://schemas.openxmlformats.org/officeDocument/2006/relationships/settings" Target="settings.xml"/><Relationship Id="rId5" Type="http://schemas.openxmlformats.org/officeDocument/2006/relationships/comments" Target="comments.xml"/><Relationship Id="rId6" Type="http://schemas.openxmlformats.org/officeDocument/2006/relationships/fontTable" Target="fontTable.xml"/></Relationships>
</file>

<file path=word/_rels/fontTable.xml.rels><?xml version="1.0" encoding="UTF-8"?><Relationships xmlns="http://schemas.openxmlformats.org/package/2006/relationships"/>
</file>

<file path=word/_rels/footnotes.xml.rels><?xml version="1.0" encoding="UTF-8"?><Relationships xmlns="http://schemas.openxmlformats.org/package/2006/relationships"/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Converted Document</dc:title>
  <dc:creator>md2docx converter</dc:creator>
  <dc:description>Converted from Markdown</dc:description>
  <cp:lastModifiedBy>Un-named</cp:lastModifiedBy>
  <cp:revision>1</cp:revision>
  <dcterms:created xsi:type="dcterms:W3CDTF">2026-03-07T16:29:50.745Z</dcterms:created>
  <dcterms:modified xsi:type="dcterms:W3CDTF">2026-03-07T16:29:50.745Z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