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599D9D9D" w14:textId="0DDA46F5" w:rsidR="004044B1" w:rsidRDefault="00000000">
      <w:pPr>
        <w:spacing w:after="80"/>
      </w:pPr>
      <w:r>
        <w:rPr>
          <w:b/>
          <w:bCs/>
          <w:color w:val="1F3864"/>
          <w:sz w:val="38"/>
          <w:szCs w:val="38"/>
        </w:rPr>
        <w:t>SUPPLEMENTARY ANALYSIS: THREE CRITICAL ISSUES</w:t>
      </w:r>
    </w:p>
    <w:p w14:paraId="0EB4690E" w14:textId="12612752" w:rsidR="004044B1" w:rsidRDefault="00000000">
      <w:pPr>
        <w:spacing w:after="80"/>
      </w:pPr>
      <w:proofErr w:type="spellStart"/>
      <w:r>
        <w:rPr>
          <w:color w:val="2E75B6"/>
          <w:sz w:val="24"/>
          <w:szCs w:val="24"/>
        </w:rPr>
        <w:t>Factoryless</w:t>
      </w:r>
      <w:proofErr w:type="spellEnd"/>
      <w:r>
        <w:rPr>
          <w:color w:val="2E75B6"/>
          <w:sz w:val="24"/>
          <w:szCs w:val="24"/>
        </w:rPr>
        <w:t xml:space="preserve"> Goods Producers, DVA Calculation Mechanism, and Labor/Cost Capture Under §168(n)</w:t>
      </w:r>
    </w:p>
    <w:p w14:paraId="3A2EE978" w14:textId="0C130C63" w:rsidR="004044B1" w:rsidRDefault="00A7219E">
      <w:pPr>
        <w:spacing w:after="40"/>
      </w:pPr>
      <w:r>
        <w:rPr>
          <w:i/>
          <w:iCs/>
          <w:color w:val="888888"/>
          <w:sz w:val="20"/>
          <w:szCs w:val="20"/>
        </w:rPr>
        <w:t>Claude AI with edits | March 2026 | Supplement to Manufacturing Definition Analysis</w:t>
      </w:r>
    </w:p>
    <w:p w14:paraId="34BF80F4" w14:textId="3178E3A1" w:rsidR="004044B1" w:rsidRDefault="004044B1">
      <w:pPr>
        <w:pBdr>
          <w:bottom w:val="single" w:sz="4" w:space="1" w:color="2E75B6"/>
        </w:pBdr>
        <w:spacing w:before="200" w:after="200"/>
      </w:pPr>
    </w:p>
    <w:p w14:paraId="31C2DABF" w14:textId="303FC0B5" w:rsidR="004044B1" w:rsidRDefault="00000000">
      <w:pPr>
        <w:pStyle w:val="Heading1"/>
      </w:pPr>
      <w:r>
        <w:t>Part I: Factoryless Goods Producers (FGPs)</w:t>
      </w:r>
    </w:p>
    <w:p w14:paraId="1B4E9D84" w14:textId="107723A2" w:rsidR="004044B1" w:rsidRDefault="004044B1">
      <w:pPr>
        <w:spacing w:before="80" w:after="80"/>
      </w:pPr>
    </w:p>
    <w:tbl>
      <w:tblPr>
        <w:tblW w:w="936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0" w:type="dxa"/>
          <w:right w:w="10" w:type="dxa"/>
        </w:tblCellMar>
        <w:tblLook w:val="0000" w:firstRow="0" w:lastRow="0" w:firstColumn="0" w:lastColumn="0" w:noHBand="0" w:noVBand="0"/>
      </w:tblPr>
      <w:tblGrid>
        <w:gridCol w:w="9360"/>
      </w:tblGrid>
      <w:tr w:rsidR="004044B1" w:rsidRPr="00F47AEC" w14:paraId="51BC8EA0" w14:textId="77777777">
        <w:tc>
          <w:tcPr>
            <w:tcW w:w="9360" w:type="dxa"/>
            <w:tcBorders>
              <w:top w:val="single" w:sz="6" w:space="0" w:color="1F3864"/>
              <w:left w:val="single" w:sz="6" w:space="0" w:color="1F3864"/>
              <w:bottom w:val="single" w:sz="6" w:space="0" w:color="1F3864"/>
              <w:right w:val="single" w:sz="6" w:space="0" w:color="1F3864"/>
            </w:tcBorders>
            <w:shd w:val="clear" w:color="auto" w:fill="EBF0FA"/>
            <w:tcMar>
              <w:top w:w="120" w:type="dxa"/>
              <w:left w:w="180" w:type="dxa"/>
              <w:bottom w:w="120" w:type="dxa"/>
              <w:right w:w="180" w:type="dxa"/>
            </w:tcMar>
          </w:tcPr>
          <w:p w14:paraId="31FD9969" w14:textId="3AFC1BB6" w:rsidR="004044B1" w:rsidRPr="00F47AEC" w:rsidRDefault="00000000" w:rsidP="00F47AEC">
            <w:pPr>
              <w:spacing w:before="60" w:after="60"/>
              <w:rPr>
                <w:i/>
                <w:iCs/>
              </w:rPr>
            </w:pPr>
            <w:r w:rsidRPr="00F47AEC">
              <w:rPr>
                <w:i/>
                <w:iCs/>
              </w:rPr>
              <w:t>► BLUF</w:t>
            </w:r>
          </w:p>
          <w:p w14:paraId="68F31D6B" w14:textId="7049ADC5" w:rsidR="004044B1" w:rsidRPr="00F47AEC" w:rsidRDefault="00000000">
            <w:pPr>
              <w:spacing w:before="60" w:after="60"/>
              <w:rPr>
                <w:i/>
                <w:iCs/>
              </w:rPr>
            </w:pPr>
            <w:r>
              <w:rPr>
                <w:i/>
                <w:iCs/>
              </w:rPr>
              <w:t>BEA’s $2.9 trillion manufacturing value-added figure includes approximately $350–430 billion in domestic value-added from factoryless goods producers—companies like Apple and Nvidia that design products in America but manufacture abroad. If the United States classified manufacturers the way China does, counting only domestic physical production, U.S. manufacturing value-added would shrink by 30–40%, to approximately $2.0–2.1 trillion. This reinforces the urgency of rebuilding physical manufacturing capacity. MINA’s DVA-based credit structure naturally limits FGP credit claims through its scaling formula, but legislative clarification would strengthen the bill’s targeting and CBO defensibility.</w:t>
            </w:r>
          </w:p>
        </w:tc>
      </w:tr>
    </w:tbl>
    <w:p w14:paraId="3E6B2542" w14:textId="459EB885" w:rsidR="00F47AEC" w:rsidRDefault="00F47AEC" w:rsidP="00F47AEC">
      <w:pPr>
        <w:spacing w:before="80" w:after="80"/>
      </w:pPr>
      <w:r>
        <w:rPr>
          <w:noProof/>
        </w:rPr>
        <mc:AlternateContent>
          <mc:Choice Requires="wps">
            <w:drawing>
              <wp:anchor distT="0" distB="0" distL="114300" distR="114300" simplePos="0" relativeHeight="251659264" behindDoc="0" locked="0" layoutInCell="1" allowOverlap="1" wp14:anchorId="4CFD281C" wp14:editId="009884E6">
                <wp:simplePos x="0" y="0"/>
                <wp:positionH relativeFrom="column">
                  <wp:posOffset>-20603</wp:posOffset>
                </wp:positionH>
                <wp:positionV relativeFrom="paragraph">
                  <wp:posOffset>397973</wp:posOffset>
                </wp:positionV>
                <wp:extent cx="6013450" cy="333375"/>
                <wp:effectExtent l="0" t="0" r="19050" b="9525"/>
                <wp:wrapTopAndBottom/>
                <wp:docPr id="1384598348" name="Text Box 2"/>
                <wp:cNvGraphicFramePr/>
                <a:graphic xmlns:a="http://schemas.openxmlformats.org/drawingml/2006/main">
                  <a:graphicData uri="http://schemas.microsoft.com/office/word/2010/wordprocessingShape">
                    <wps:wsp>
                      <wps:cNvSpPr txBox="1"/>
                      <wps:spPr>
                        <a:xfrm>
                          <a:off x="0" y="0"/>
                          <a:ext cx="6013450" cy="333375"/>
                        </a:xfrm>
                        <a:prstGeom prst="rect">
                          <a:avLst/>
                        </a:prstGeom>
                        <a:solidFill>
                          <a:schemeClr val="lt1"/>
                        </a:solidFill>
                        <a:ln w="6350">
                          <a:solidFill>
                            <a:prstClr val="black"/>
                          </a:solidFill>
                        </a:ln>
                      </wps:spPr>
                      <wps:txbx>
                        <w:txbxContent>
                          <w:p w14:paraId="11611660" w14:textId="77777777" w:rsidR="00F47AEC" w:rsidRDefault="00F47AEC" w:rsidP="00F47AEC">
                            <w:pPr>
                              <w:spacing w:before="40" w:after="40"/>
                            </w:pPr>
                            <w:r>
                              <w:rPr>
                                <w:b/>
                                <w:bCs/>
                                <w:color w:val="C0392B"/>
                              </w:rPr>
                              <w:t>Critical Structural Finding:</w:t>
                            </w:r>
                          </w:p>
                          <w:p w14:paraId="2CD1008B" w14:textId="34C1DCF9" w:rsidR="00F47AEC" w:rsidRDefault="00F47AEC" w:rsidP="00F47AEC">
                            <w:r>
                              <w:t>Adopting §168(n)’s functional QPA test as the operative DVA qualification standard would exclude FGPs which are a large share of the highest-value US manufacturing companies from DVA incentives—precisely the firms the policy is designed to strengthen. NAICS 31–33, despite its unresolved FGP classification status, correctly rewards FGPs economic function although, as structured, does not incent moving foreign outsource providers to domestic outsource providers. A §168(n)-anchored definition does not include FGPs at all.</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spAutoFit/>
                      </wps:bodyPr>
                    </wps:wsp>
                  </a:graphicData>
                </a:graphic>
                <wp14:sizeRelH relativeFrom="margin">
                  <wp14:pctWidth>0</wp14:pctWidth>
                </wp14:sizeRelH>
              </wp:anchor>
            </w:drawing>
          </mc:Choice>
          <mc:Fallback>
            <w:pict>
              <v:shapetype w14:anchorId="4CFD281C" id="_x0000_t202" coordsize="21600,21600" o:spt="202" path="m,l,21600r21600,l21600,xe">
                <v:stroke joinstyle="miter"/>
                <v:path gradientshapeok="t" o:connecttype="rect"/>
              </v:shapetype>
              <v:shape id="Text Box 2" o:spid="_x0000_s1026" type="#_x0000_t202" style="position:absolute;margin-left:-1.6pt;margin-top:31.35pt;width:473.5pt;height:26.25pt;z-index:251659264;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" fillcolor="white [3201]" strokeweight=".5pt">
                <v:textbox style="mso-fit-shape-to-text:t">
                  <w:txbxContent>
                    <w:p w14:paraId="11611660" w14:textId="77777777" w:rsidR="00F47AEC" w:rsidRDefault="00F47AEC" w:rsidP="00F47AEC">
                      <w:pPr>
                        <w:spacing w:before="40" w:after="40"/>
                      </w:pPr>
                      <w:r>
                        <w:rPr>
                          <w:b/>
                          <w:bCs/>
                          <w:color w:val="C0392B"/>
                        </w:rPr>
                        <w:t>Critical Structural Finding:</w:t>
                      </w:r>
                    </w:p>
                    <w:p w14:paraId="2CD1008B" w14:textId="34C1DCF9" w:rsidR="00F47AEC" w:rsidRDefault="00F47AEC" w:rsidP="00F47AEC">
                      <w:r>
                        <w:t>Adopting §168(n)’s functional QPA test as the operative DVA qualification standard would exclude FGPs which are a large share of the highest-value US manufacturing companies from DVA incentives—precisely the firms the policy is designed to strengthen. NAICS 31–33, despite its unresolved FGP classification status, correctly rewards FGPs economic function although, as structured, does not incent moving foreign outsource providers to domestic outsource providers. A §168(n)-anchored definition does not include FGPs at all.</w:t>
                      </w:r>
                    </w:p>
                  </w:txbxContent>
                </v:textbox>
                <w10:wrap type="topAndBottom"/>
              </v:shape>
            </w:pict>
          </mc:Fallback>
        </mc:AlternateContent>
      </w:r>
    </w:p>
    <w:p w14:paraId="2B0444CA" w14:textId="02CAC226" w:rsidR="00F47AEC" w:rsidRDefault="00F47AEC" w:rsidP="00F47AEC">
      <w:pPr>
        <w:spacing w:before="80" w:after="80"/>
      </w:pPr>
    </w:p>
    <w:p w14:paraId="748E8E5F" w14:textId="21C3E8F9" w:rsidR="00F47AEC" w:rsidRDefault="00F47AEC" w:rsidP="00F47AEC">
      <w:pPr>
        <w:spacing w:before="80" w:after="80"/>
      </w:pPr>
    </w:p>
    <w:p w14:paraId="45413DD2" w14:textId="213FB8A7" w:rsidR="004044B1" w:rsidRDefault="00000000">
      <w:pPr>
        <w:pStyle w:val="Heading2"/>
      </w:pPr>
      <w:r>
        <w:t>A. What FGPs Are and Why They Matter</w:t>
      </w:r>
    </w:p>
    <w:p w14:paraId="72ED84A4" w14:textId="77777777" w:rsidR="004044B1" w:rsidRDefault="00000000">
      <w:pPr>
        <w:spacing w:before="80" w:after="120"/>
      </w:pPr>
      <w:r>
        <w:t>A factoryless goods producer (FGP) is a firm that controls the entrepreneurial aspects of goods production—owning the intellectual property, specifying the product design, managing the brand, and arranging all inputs—but outsources 100% of the physical transformation of materials into finished goods to contract manufacturers, known as manufacturing service providers (MSPs).</w:t>
      </w:r>
    </w:p>
    <w:p w14:paraId="1D06823D" w14:textId="77777777" w:rsidR="004044B1" w:rsidRDefault="00000000">
      <w:pPr>
        <w:spacing w:before="80" w:after="120"/>
      </w:pPr>
      <w:r>
        <w:t xml:space="preserve">The most prominent examples include Apple (which designs in Cupertino but contracts production to Foxconn, Pegatron, and Luxshare), Nvidia (which designs GPU architectures in Santa Clara but contracts fabrication to TSMC in Taiwan), and dozens of fabless semiconductor firms including Qualcomm, Broadcom, AMD, and Marvell. Beyond semiconductors and </w:t>
      </w:r>
      <w:r>
        <w:lastRenderedPageBreak/>
        <w:t>consumer electronics, FGPs operate across apparel, furniture, sporting goods, pharmaceuticals, and other sectors where brand owners have separated design from production.</w:t>
      </w:r>
    </w:p>
    <w:p w14:paraId="1DBF1EFA" w14:textId="77777777" w:rsidR="004044B1" w:rsidRDefault="00000000">
      <w:pPr>
        <w:spacing w:before="80" w:after="120"/>
      </w:pPr>
      <w:r>
        <w:t>FGPs matter enormously for the Four-Bill Package because they represent a large and growing share of high-value US manufacturing output and because the policy question of whether and how to include them is not straightforward: the case for inclusion and the case against are both substantive.</w:t>
      </w:r>
    </w:p>
    <w:p w14:paraId="217B9154" w14:textId="77777777" w:rsidR="00F47AEC" w:rsidRDefault="00F47AEC">
      <w:pPr>
        <w:spacing w:before="80" w:after="120"/>
      </w:pPr>
    </w:p>
    <w:p w14:paraId="481414DE" w14:textId="77777777" w:rsidR="004044B1" w:rsidRDefault="00000000">
      <w:pPr>
        <w:pStyle w:val="Heading2"/>
      </w:pPr>
      <w:r>
        <w:t>B. The Statistical Distortion: How FGPs Inflate the $2.9 Trillion Base</w:t>
      </w:r>
    </w:p>
    <w:p w14:paraId="45715D64" w14:textId="77777777" w:rsidR="004044B1" w:rsidRDefault="00000000">
      <w:pPr>
        <w:spacing w:before="80" w:after="120"/>
      </w:pPr>
      <w:r>
        <w:t>The Bureau of Economic Analysis (BEA) computes manufacturing Gross Value Added (GVA) as Gross Output minus Intermediate Inputs. For an FGP like Apple, this calculation proceeds as follows: Apple’s revenue (~$390B) constitutes gross output. The payments Apple makes to Foxconn and other contract manufacturers (~$215B) are recorded as intermediate input costs—much of this entering the system when finished iPhones cross the U.S. customs boundary as imports at their declared value. What remains is Apple’s “domestic value-added”: R&amp;D salaries, product design, engineering, marketing, headquarters overhead, and operating profit. This activity is real and economically valuable, but it has the multiplier profile and employment characteristics of professional services, not physical manufacturing.</w:t>
      </w:r>
    </w:p>
    <w:p w14:paraId="2918AFE1" w14:textId="77777777" w:rsidR="004044B1" w:rsidRDefault="00000000">
      <w:pPr>
        <w:spacing w:before="80" w:after="120"/>
      </w:pPr>
      <w:r>
        <w:t>According to estimates from Gavekal Research, corroborated by academic work from Bernard and Fort at the Census Bureau, FGPs account for approximately 12–15% of the $2.9 trillion BEA manufacturing value-added figure, or roughly $348–435 billion. A broader category—firms that perform some domestic manufacturing but outsource substantial production abroad—accounts for 30–40% of the total, or $700 billion to $1 trillion.</w:t>
      </w:r>
    </w:p>
    <w:p w14:paraId="33200974" w14:textId="77777777" w:rsidR="004044B1" w:rsidRDefault="00000000">
      <w:pPr>
        <w:pStyle w:val="Heading2"/>
      </w:pPr>
      <w:r>
        <w:t>C. The US–China Classification Asymmetry</w:t>
      </w:r>
    </w:p>
    <w:p w14:paraId="6F178240" w14:textId="77777777" w:rsidR="004044B1" w:rsidRDefault="00000000">
      <w:pPr>
        <w:spacing w:before="80" w:after="120"/>
      </w:pPr>
      <w:r>
        <w:t>China’s National Bureau of Statistics classifies manufacturers based on tangible output in facilities they own or operate. Firms that outsource production are not counted as manufacturers. Less than 5% of China’s $4.7 trillion in manufacturing value-added is outsourced abroad. The United States, following the Economic Classification Policy Committee’s 2011 recommendation, conceptually classifies FGPs as manufacturers—though as detailed below, full implementation in NAICS was never completed.</w:t>
      </w:r>
    </w:p>
    <w:tbl>
      <w:tblPr>
        <w:tblW w:w="936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0" w:type="dxa"/>
          <w:right w:w="10" w:type="dxa"/>
        </w:tblCellMar>
        <w:tblLook w:val="0000" w:firstRow="0" w:lastRow="0" w:firstColumn="0" w:lastColumn="0" w:noHBand="0" w:noVBand="0"/>
      </w:tblPr>
      <w:tblGrid>
        <w:gridCol w:w="9360"/>
      </w:tblGrid>
      <w:tr w:rsidR="004044B1" w14:paraId="5E74292A" w14:textId="77777777">
        <w:tc>
          <w:tcPr>
            <w:tcW w:w="9360" w:type="dxa"/>
            <w:tcBorders>
              <w:left w:val="single" w:sz="12" w:space="0" w:color="2E75B6"/>
            </w:tcBorders>
            <w:shd w:val="clear" w:color="auto" w:fill="F5F8FF"/>
            <w:tcMar>
              <w:top w:w="80" w:type="dxa"/>
              <w:left w:w="240" w:type="dxa"/>
              <w:bottom w:w="80" w:type="dxa"/>
              <w:right w:w="120" w:type="dxa"/>
            </w:tcMar>
          </w:tcPr>
          <w:p w14:paraId="73ECCCA7" w14:textId="77777777" w:rsidR="004044B1" w:rsidRDefault="00000000">
            <w:pPr>
              <w:spacing w:before="40" w:after="40"/>
            </w:pPr>
            <w:r>
              <w:rPr>
                <w:i/>
                <w:iCs/>
              </w:rPr>
              <w:t>If the United States classified manufacturers the same way China does—including only domestic physical production—U.S. manufacturing value-added would shrink by 30–40%, from $2.9 trillion to approximately $1.7–2.0 trillion. This reframing underscores the scale of the manufacturing capacity gap this legislative package is designed to close.</w:t>
            </w:r>
          </w:p>
        </w:tc>
      </w:tr>
    </w:tbl>
    <w:p w14:paraId="295C0BE6" w14:textId="77777777" w:rsidR="004044B1" w:rsidRDefault="00000000">
      <w:pPr>
        <w:pStyle w:val="Heading2"/>
      </w:pPr>
      <w:r>
        <w:t>D. The Unfinished NAICS Reclassification</w:t>
      </w:r>
    </w:p>
    <w:p w14:paraId="4B412FA6" w14:textId="77777777" w:rsidR="004044B1" w:rsidRDefault="00000000">
      <w:pPr>
        <w:spacing w:before="80" w:after="120"/>
      </w:pPr>
      <w:r>
        <w:t>Understanding the regulatory status of FGP classification is essential for evaluating the accuracy of the $2.9 trillion base figure and the legislative options available. In 2011, the Office of Management and Budget (OMB), acting on the recommendation of its Economic Classification Policy Committee (ECPC), announced that FGPs should be classified in manufacturing (NAICS 31–33) beginning no later than the 2017 NAICS revision. The ECPC’s rationale was that FGPs control the “entrepreneurial aspects of the production process including economic ownership” of the goods, even though they do not perform physical transformation.</w:t>
      </w:r>
    </w:p>
    <w:p w14:paraId="1ECDDCE2" w14:textId="77777777" w:rsidR="004044B1" w:rsidRDefault="00000000">
      <w:pPr>
        <w:spacing w:before="80" w:after="120"/>
      </w:pPr>
      <w:r>
        <w:t xml:space="preserve">However, the reclassification was never implemented. In an August 8, 2014 Federal Register notice (79 FR 46558), OMB announced that “the Factoryless Goods Producer (FGP) </w:t>
      </w:r>
      <w:r>
        <w:lastRenderedPageBreak/>
        <w:t>recommendation will not be implemented in the 2017 NAICS revision.” The reason: the ECPC reported that “questions tested in the 2012 Economic Census fail to yield responses that provide accurate and reliable identification and classification of FGPs.” The Bureau of Labor Statistics confirmed that “additional research, testing, and evaluation are required.”</w:t>
      </w:r>
    </w:p>
    <w:p w14:paraId="5A9F7AF4" w14:textId="77777777" w:rsidR="004044B1" w:rsidRDefault="00000000">
      <w:pPr>
        <w:spacing w:before="80" w:after="120"/>
      </w:pPr>
      <w:r>
        <w:t>As a result, the formal NAICS classification of FGPs remains inconsistent across federal statistical agencies. Some BEA programs classify FGPs in manufacturing if intellectual property constitutes a significant portion of the finished good’s value. Census and BLS programs may classify the same firms in wholesale trade (NAICS 42) or professional services (NAICS 54). This inconsistency means the $2.9 trillion BEA figure includes an indeterminate amount of FGP activity through agency-by-agency judgment calls, not a uniform statistical standard.</w:t>
      </w:r>
    </w:p>
    <w:tbl>
      <w:tblPr>
        <w:tblW w:w="936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0" w:type="dxa"/>
          <w:right w:w="10" w:type="dxa"/>
        </w:tblCellMar>
        <w:tblLook w:val="0000" w:firstRow="0" w:lastRow="0" w:firstColumn="0" w:lastColumn="0" w:noHBand="0" w:noVBand="0"/>
      </w:tblPr>
      <w:tblGrid>
        <w:gridCol w:w="9360"/>
      </w:tblGrid>
      <w:tr w:rsidR="004044B1" w14:paraId="32F35865" w14:textId="77777777">
        <w:tc>
          <w:tcPr>
            <w:tcW w:w="9360" w:type="dxa"/>
            <w:tcBorders>
              <w:top w:val="single" w:sz="1" w:space="0" w:color="CCCCCC"/>
              <w:left w:val="single" w:sz="1" w:space="0" w:color="CCCCCC"/>
              <w:bottom w:val="single" w:sz="1" w:space="0" w:color="CCCCCC"/>
              <w:right w:val="single" w:sz="1" w:space="0" w:color="CCCCCC"/>
            </w:tcBorders>
            <w:shd w:val="clear" w:color="auto" w:fill="FFF8E7"/>
            <w:tcMar>
              <w:top w:w="80" w:type="dxa"/>
              <w:left w:w="120" w:type="dxa"/>
              <w:bottom w:w="80" w:type="dxa"/>
              <w:right w:w="120" w:type="dxa"/>
            </w:tcMar>
          </w:tcPr>
          <w:p w14:paraId="333CCCF7" w14:textId="77777777" w:rsidR="004044B1" w:rsidRDefault="00000000">
            <w:pPr>
              <w:spacing w:before="40" w:after="40"/>
            </w:pPr>
            <w:r>
              <w:rPr>
                <w:b/>
                <w:bCs/>
              </w:rPr>
              <w:t>Key Implication:</w:t>
            </w:r>
          </w:p>
          <w:p w14:paraId="3E8FEFE7" w14:textId="77777777" w:rsidR="004044B1" w:rsidRDefault="00000000">
            <w:pPr>
              <w:spacing w:before="40" w:after="40"/>
            </w:pPr>
            <w:r>
              <w:rPr>
                <w:i/>
                <w:iCs/>
              </w:rPr>
              <w:t>Because the FGP reclassification was never formally completed, the FGP content of the $2.9 trillion figure is a product of inconsistent agency judgment, not a uniform standard. This creates both uncertainty in the base figure and an opportunity for legislative precision—the Four-Bill Package can define its own eligibility criteria independent of NAICS classification ambiguities.</w:t>
            </w:r>
          </w:p>
        </w:tc>
      </w:tr>
    </w:tbl>
    <w:p w14:paraId="3C92EE9D" w14:textId="77777777" w:rsidR="004044B1" w:rsidRDefault="00000000">
      <w:pPr>
        <w:pStyle w:val="Heading2"/>
      </w:pPr>
      <w:r>
        <w:t>E. The Policy Debate: Should FGPs Be Included?</w:t>
      </w:r>
    </w:p>
    <w:p w14:paraId="6BD8C14B" w14:textId="77777777" w:rsidR="004044B1" w:rsidRDefault="00000000">
      <w:pPr>
        <w:spacing w:before="200" w:after="100"/>
      </w:pPr>
      <w:r>
        <w:rPr>
          <w:b/>
          <w:bCs/>
          <w:color w:val="1F3864"/>
          <w:sz w:val="24"/>
          <w:szCs w:val="24"/>
        </w:rPr>
        <w:t>The Case Against Including FGPs</w:t>
      </w:r>
    </w:p>
    <w:p w14:paraId="757C464A" w14:textId="77777777" w:rsidR="004044B1" w:rsidRDefault="00000000">
      <w:pPr>
        <w:spacing w:before="80" w:after="120"/>
      </w:pPr>
      <w:r>
        <w:t>The critique has real force. FGPs—particularly fabless semiconductors, consumer electronics, and apparel brands—deliberately offshored physical production to capture labor and skills/capability arbitrage, then retained the high-margin IP and design functions domestically while externalizing the manufacturing risk onto contract manufacturers, often foreign ones. Apple is the canonical example: approximately $400 bill-of-materials cost for a device sold at $1,200, with Foxconn absorbing capital risk, labor management, and facility investment while Apple captures the margin. A DVA incentive that rewards Apple for “domestic manufacturing” when TSMC is doing the actual fabrication is legitimately indefensible as industrial policy.</w:t>
      </w:r>
    </w:p>
    <w:p w14:paraId="3BA1823D" w14:textId="77777777" w:rsidR="004044B1" w:rsidRDefault="00000000">
      <w:pPr>
        <w:spacing w:before="80" w:after="120"/>
      </w:pPr>
      <w:r>
        <w:t>Additional problems: FGPs have no direct employment multiplier in physical manufacturing. Their domestic headcount is engineers, designers, and marketers—high wage, but small. The manufacturing jobs that DVA policy is designed to create or retain do not exist at FGPs in the first place. Including them without conditions risks the incentive becoming a subsidy for the status quo of offshore production combined with domestic IP extraction. Furthermore, the GDP and jobs multipliers embedded in the cost-benefit model are calibrated to factory-based production and significantly overstate the economic impact of FGP credits.</w:t>
      </w:r>
    </w:p>
    <w:p w14:paraId="3E0E33A7" w14:textId="77777777" w:rsidR="004044B1" w:rsidRDefault="00000000">
      <w:pPr>
        <w:spacing w:before="200" w:after="100"/>
      </w:pPr>
      <w:r>
        <w:rPr>
          <w:b/>
          <w:bCs/>
          <w:color w:val="1F3864"/>
          <w:sz w:val="24"/>
          <w:szCs w:val="24"/>
        </w:rPr>
        <w:t>The Case For Including FGPs</w:t>
      </w:r>
    </w:p>
    <w:p w14:paraId="41E0712C" w14:textId="77777777" w:rsidR="004044B1" w:rsidRDefault="00000000">
      <w:pPr>
        <w:spacing w:before="80" w:after="120"/>
      </w:pPr>
      <w:r>
        <w:t>The strongest argument is that FGPs are where the supply chain starts. Product architecture decisions made by FGPs determine what gets manufactured, to what specifications, by whom, and where. A fabless semiconductor company that designs a chip tells TSMC what process node to use, what yield to target, and how many wafers to pull. If that company can be induced to use a domestic foundry instead of a Taiwanese one, the manufacturing jobs and capital investment follow automatically—but the leverage point is the FGP’s sourcing decision, not the foundry’s.</w:t>
      </w:r>
    </w:p>
    <w:p w14:paraId="5A628737" w14:textId="77777777" w:rsidR="004044B1" w:rsidRDefault="00000000">
      <w:pPr>
        <w:spacing w:before="80" w:after="120"/>
      </w:pPr>
      <w:r>
        <w:t xml:space="preserve">Second, FGPs that use domestic contract manufacturers genuinely create manufacturing DVA. The subtraction methodology captures this correctly: if Qualcomm is having chips fabbed at Intel Foundry rather than TSMC, the foreign input cost drops dramatically, the DVA ratio rises, and </w:t>
      </w:r>
      <w:r>
        <w:lastRenderedPageBreak/>
        <w:t>the incentive scales accordingly. The framework self-corrects—it only pays out meaningfully when the FGP is actually generating domestic manufacturing activity through its supply chain choices.</w:t>
      </w:r>
    </w:p>
    <w:p w14:paraId="10EA27D8" w14:textId="77777777" w:rsidR="004044B1" w:rsidRDefault="00000000">
      <w:pPr>
        <w:spacing w:before="80" w:after="120"/>
      </w:pPr>
      <w:r>
        <w:t>Third, excluding FGPs creates a perverse cliff: a company that does some in-house manufacturing qualifies; an identical company that uses contract manufacturing for the same product does not. This penalizes a legitimate and increasingly common production model without improving domestic manufacturing outcomes.</w:t>
      </w:r>
    </w:p>
    <w:p w14:paraId="02073B4D" w14:textId="77777777" w:rsidR="004044B1" w:rsidRDefault="00000000">
      <w:pPr>
        <w:pStyle w:val="Heading2"/>
      </w:pPr>
      <w:r>
        <w:t>F. FGPs Under NAICS 31–33 vs. §168(n): A Critical Structural Difference</w:t>
      </w:r>
    </w:p>
    <w:p w14:paraId="6A7AA46E" w14:textId="77777777" w:rsidR="004044B1" w:rsidRDefault="00000000">
      <w:pPr>
        <w:spacing w:before="200" w:after="100"/>
      </w:pPr>
      <w:r>
        <w:rPr>
          <w:b/>
          <w:bCs/>
          <w:color w:val="1F3864"/>
          <w:sz w:val="24"/>
          <w:szCs w:val="24"/>
        </w:rPr>
        <w:t>Under NAICS 31–33 (the Four-Bill Package’s Current Framework)</w:t>
      </w:r>
    </w:p>
    <w:p w14:paraId="7E02F749" w14:textId="77777777" w:rsidR="004044B1" w:rsidRDefault="00000000">
      <w:pPr>
        <w:spacing w:before="80" w:after="120"/>
      </w:pPr>
      <w:r>
        <w:t>The NAICS framework handles FGPs through economic function classification: if a firm owns the product design, takes title to goods, and bears production risk, it is conceptually a manufacturer for NAICS purposes, even though the formal reclassification was never completed. Many large US FGPs already carry NAICS 31–33 principal business activity codes. The DVA ratio then does the heavy lifting: an FGP that contracts all production to foreign manufacturers will have high foreign input costs and a low DVA ratio, appropriately receiving reduced or no incentive. An FGP reshoring its supply chain to domestic CMs gets a rising DVA ratio and a rising incentive. The system self-corrects without requiring the bill to resolve the FGP classification debate.</w:t>
      </w:r>
    </w:p>
    <w:p w14:paraId="52D5AEDE" w14:textId="77777777" w:rsidR="004044B1" w:rsidRDefault="00000000">
      <w:pPr>
        <w:spacing w:before="200" w:after="100"/>
      </w:pPr>
      <w:r>
        <w:rPr>
          <w:b/>
          <w:bCs/>
          <w:color w:val="1F3864"/>
          <w:sz w:val="24"/>
          <w:szCs w:val="24"/>
        </w:rPr>
        <w:t>Under §168(n): Systematic Exclusion of FGPs</w:t>
      </w:r>
    </w:p>
    <w:p w14:paraId="6AA26485" w14:textId="77777777" w:rsidR="004044B1" w:rsidRDefault="00000000">
      <w:pPr>
        <w:spacing w:before="80" w:after="120"/>
      </w:pPr>
      <w:r>
        <w:t>The §168(n) framework creates severe structural problems for FGPs. First, QPP eligibility requires that the taxpayer use the nonresidential real property as an integral part of a Qualified Production Activity. An FGP does not own the manufacturing facility—it is owned and operated by the contract manufacturer. The FGP’s own facilities house design studios, engineering labs, and headquarters functions, all of which Notice 2026-16 §4.07 explicitly categorizes as ineligible space. An FGP therefore has no property that qualifies as QPP.</w:t>
      </w:r>
    </w:p>
    <w:p w14:paraId="72F73567" w14:textId="77777777" w:rsidR="004044B1" w:rsidRDefault="00000000">
      <w:pPr>
        <w:spacing w:before="80" w:after="120"/>
      </w:pPr>
      <w:r>
        <w:t>Second, Notice 2026-16 §5.01(3)(b) is explicit: if a taxpayer’s activity within a property consists only of “related activities” (oversight, direction, design, IP development), that activity does not result in substantial transformation and is therefore not a QPA. The FGP fails the QPA test in its own hands. The contract manufacturer gets the §168(n) benefit; the FGP that owns the product and employs the high-wage engineers gets nothing.</w:t>
      </w:r>
    </w:p>
    <w:p w14:paraId="10C8B0A0" w14:textId="77777777" w:rsidR="004044B1" w:rsidRDefault="004044B1">
      <w:pPr>
        <w:spacing w:before="80" w:after="80"/>
      </w:pPr>
    </w:p>
    <w:p w14:paraId="61E8C9B5" w14:textId="77777777" w:rsidR="004044B1" w:rsidRDefault="00000000">
      <w:pPr>
        <w:pStyle w:val="Heading2"/>
      </w:pPr>
      <w:r>
        <w:t>G. Impact on the CBA Cost Model</w:t>
      </w:r>
    </w:p>
    <w:p w14:paraId="3A8F1393" w14:textId="77777777" w:rsidR="004044B1" w:rsidRDefault="00000000">
      <w:pPr>
        <w:spacing w:before="200" w:after="100"/>
      </w:pPr>
      <w:r>
        <w:rPr>
          <w:b/>
          <w:bCs/>
          <w:color w:val="1F3864"/>
          <w:sz w:val="24"/>
          <w:szCs w:val="24"/>
        </w:rPr>
        <w:t>How FGPs Flow Through the MINA Cost Calculation</w:t>
      </w:r>
    </w:p>
    <w:p w14:paraId="1DEEBAAF" w14:textId="77777777" w:rsidR="004044B1" w:rsidRDefault="00000000">
      <w:pPr>
        <w:spacing w:before="80" w:after="120"/>
      </w:pPr>
      <w:r>
        <w:t>The MINA cost estimate chains five foundational inputs: $2.9T (A-1) → $2.5T DVA costs (A-2) → × 0.76 scaling (A-3) → × 0.85 utilization (A-4) → × 5.55% blended credit rate. FGP activity affects each link differently.</w:t>
      </w:r>
    </w:p>
    <w:p w14:paraId="6A7C7B9A" w14:textId="77777777" w:rsidR="004044B1" w:rsidRDefault="00000000">
      <w:pPr>
        <w:spacing w:before="80" w:after="120"/>
      </w:pPr>
      <w:r>
        <w:t>The blended credit rate of 5.55% reflects the weighted average of the base rate (5%) and the QRE bonus rate (6%), with approximately 55% of eligible manufacturers projected to qualify for the bonus rate based on analysis of bonus depreciation take-up rates, manufacturing capex patterns, and R&amp;D credit participation rates. The resulting blended rate produces a Year 1 MINA cost of approximately $89.6 billion: $2.5T × 0.76 × 0.85 × 5.55% = $89.6B.</w:t>
      </w:r>
    </w:p>
    <w:p w14:paraId="449EAD58" w14:textId="77777777" w:rsidR="004044B1" w:rsidRDefault="00000000">
      <w:pPr>
        <w:pStyle w:val="ListParagraph"/>
        <w:numPr>
          <w:ilvl w:val="0"/>
          <w:numId w:val="2"/>
        </w:numPr>
        <w:spacing w:before="60" w:after="60"/>
      </w:pPr>
      <w:r>
        <w:rPr>
          <w:b/>
          <w:bCs/>
        </w:rPr>
        <w:lastRenderedPageBreak/>
        <w:t>A-1 to A-2 ($2.9T → $2.5T): Profit deduction partially self-corrects.</w:t>
      </w:r>
      <w:r>
        <w:t xml:space="preserve"> The $350 billion profit subtraction disproportionately captures FGP profits. FGPs like Apple and Nvidia have operating margins of 30–45%, far above the 8–12% typical of physical manufacturers. Of the $350B subtracted, an estimated $100–150B reflects FGP profits. The residual FGP content remaining in the $2.5T DVA base is estimated at $150–250 billion.</w:t>
      </w:r>
    </w:p>
    <w:p w14:paraId="166CE01D" w14:textId="77777777" w:rsidR="004044B1" w:rsidRDefault="00000000">
      <w:pPr>
        <w:pStyle w:val="ListParagraph"/>
        <w:numPr>
          <w:ilvl w:val="0"/>
          <w:numId w:val="2"/>
        </w:numPr>
        <w:spacing w:before="60" w:after="60"/>
      </w:pPr>
      <w:r>
        <w:rPr>
          <w:b/>
          <w:bCs/>
        </w:rPr>
        <w:t>A-3 (DVA Scaling Fraction = 0.76): Further self-correction through low DVA ratios—but with important variation across FGP types.</w:t>
      </w:r>
      <w:r>
        <w:t xml:space="preserve"> A pure FGP like Apple has a DVA ratio of approximately 22–29% (domestic costs ÷ total costs). Under the MINA scaling formula, this yields a scaling fraction of only 0.23–0.32—far below the 0.76 aggregate average. The DVA scaling formula functions as an automatic FGP limiter for assembly-intensive models where foreign contract manufacturing constitutes the majority of cost.</w:t>
      </w:r>
    </w:p>
    <w:p w14:paraId="69DE7586" w14:textId="77777777" w:rsidR="004044B1" w:rsidRDefault="00000000">
      <w:pPr>
        <w:spacing w:before="80" w:after="120"/>
      </w:pPr>
      <w:r>
        <w:t>However, this self-correction does not apply uniformly across all FGPs, and the contrast with Nvidia illustrates why. Nvidia is also a pure FGP—it designs all its GPU architectures in Santa Clara and contracts 100% of fabrication to TSMC in Taiwan, owning no production facilities. Yet Nvidia’s FY2025 gross margin of approximately 74–75% means that TSMC wafer costs and other foreign inputs represent only ~23% of revenue (~$28–32B on ~$130B). The remaining cost base—approximately $12–13B in R&amp;D and ~$5B in SG&amp;A—is overwhelmingly domestic, consisting primarily of high-wage chip architects, software engineers, and AI researchers in California. Nvidia’s DVA ratio is therefore approximately 55–68%, yielding a scaling fraction of roughly 0.62–0.78—near or at the 0.76 aggregate average.</w:t>
      </w:r>
    </w:p>
    <w:tbl>
      <w:tblPr>
        <w:tblW w:w="9360" w:type="dxa"/>
        <w:tblBorders>
          <w:insideH w:val="single" w:sz="1" w:space="0" w:color="CCCCCC"/>
          <w:insideV w:val="single" w:sz="1" w:space="0" w:color="CCCCCC"/>
        </w:tblBorders>
        <w:tblLook w:val="0000" w:firstRow="0" w:lastRow="0" w:firstColumn="0" w:lastColumn="0" w:noHBand="0" w:noVBand="0"/>
      </w:tblPr>
      <w:tblGrid>
        <w:gridCol w:w="1343"/>
        <w:gridCol w:w="1232"/>
        <w:gridCol w:w="1791"/>
        <w:gridCol w:w="2463"/>
        <w:gridCol w:w="1411"/>
        <w:gridCol w:w="1120"/>
      </w:tblGrid>
      <w:tr w:rsidR="00924278" w14:paraId="65CABFE2" w14:textId="77777777">
        <w:tc>
          <w:tcPr>
            <w:tcW w:w="1200" w:type="dxa"/>
            <w:tcBorders>
              <w:top w:val="single" w:sz="1" w:space="0" w:color="CCCCCC"/>
              <w:left w:val="single" w:sz="1" w:space="0" w:color="CCCCCC"/>
              <w:bottom w:val="single" w:sz="1" w:space="0" w:color="CCCCCC"/>
              <w:right w:val="single" w:sz="1" w:space="0" w:color="CCCCCC"/>
            </w:tcBorders>
            <w:shd w:val="clear" w:color="auto" w:fill="2E75B6"/>
            <w:tcMar>
              <w:top w:w="80" w:type="dxa"/>
              <w:left w:w="120" w:type="dxa"/>
              <w:bottom w:w="80" w:type="dxa"/>
              <w:right w:w="120" w:type="dxa"/>
            </w:tcMar>
          </w:tcPr>
          <w:p w14:paraId="164F9057" w14:textId="77777777" w:rsidR="00924278" w:rsidRDefault="00000000">
            <w:r>
              <w:rPr>
                <w:b/>
                <w:color w:val="FFFFFF"/>
                <w:sz w:val="19"/>
                <w:szCs w:val="19"/>
              </w:rPr>
              <w:t>FGP</w:t>
            </w:r>
          </w:p>
        </w:tc>
        <w:tc>
          <w:tcPr>
            <w:tcW w:w="1100" w:type="dxa"/>
            <w:tcBorders>
              <w:top w:val="single" w:sz="1" w:space="0" w:color="CCCCCC"/>
              <w:left w:val="single" w:sz="1" w:space="0" w:color="CCCCCC"/>
              <w:bottom w:val="single" w:sz="1" w:space="0" w:color="CCCCCC"/>
              <w:right w:val="single" w:sz="1" w:space="0" w:color="CCCCCC"/>
            </w:tcBorders>
            <w:shd w:val="clear" w:color="auto" w:fill="2E75B6"/>
            <w:tcMar>
              <w:top w:w="80" w:type="dxa"/>
              <w:left w:w="120" w:type="dxa"/>
              <w:bottom w:w="80" w:type="dxa"/>
              <w:right w:w="120" w:type="dxa"/>
            </w:tcMar>
          </w:tcPr>
          <w:p w14:paraId="05611A59" w14:textId="77777777" w:rsidR="00924278" w:rsidRDefault="00000000">
            <w:r>
              <w:rPr>
                <w:b/>
                <w:color w:val="FFFFFF"/>
                <w:sz w:val="19"/>
                <w:szCs w:val="19"/>
              </w:rPr>
              <w:t>Gross Margin</w:t>
            </w:r>
          </w:p>
        </w:tc>
        <w:tc>
          <w:tcPr>
            <w:tcW w:w="1600" w:type="dxa"/>
            <w:tcBorders>
              <w:top w:val="single" w:sz="1" w:space="0" w:color="CCCCCC"/>
              <w:left w:val="single" w:sz="1" w:space="0" w:color="CCCCCC"/>
              <w:bottom w:val="single" w:sz="1" w:space="0" w:color="CCCCCC"/>
              <w:right w:val="single" w:sz="1" w:space="0" w:color="CCCCCC"/>
            </w:tcBorders>
            <w:shd w:val="clear" w:color="auto" w:fill="2E75B6"/>
            <w:tcMar>
              <w:top w:w="80" w:type="dxa"/>
              <w:left w:w="120" w:type="dxa"/>
              <w:bottom w:w="80" w:type="dxa"/>
              <w:right w:w="120" w:type="dxa"/>
            </w:tcMar>
          </w:tcPr>
          <w:p w14:paraId="793C7968" w14:textId="77777777" w:rsidR="00924278" w:rsidRDefault="00000000">
            <w:r>
              <w:rPr>
                <w:b/>
                <w:color w:val="FFFFFF"/>
                <w:sz w:val="19"/>
                <w:szCs w:val="19"/>
              </w:rPr>
              <w:t>Foreign Input Cost (% of Revenue)</w:t>
            </w:r>
          </w:p>
        </w:tc>
        <w:tc>
          <w:tcPr>
            <w:tcW w:w="2200" w:type="dxa"/>
            <w:tcBorders>
              <w:top w:val="single" w:sz="1" w:space="0" w:color="CCCCCC"/>
              <w:left w:val="single" w:sz="1" w:space="0" w:color="CCCCCC"/>
              <w:bottom w:val="single" w:sz="1" w:space="0" w:color="CCCCCC"/>
              <w:right w:val="single" w:sz="1" w:space="0" w:color="CCCCCC"/>
            </w:tcBorders>
            <w:shd w:val="clear" w:color="auto" w:fill="2E75B6"/>
            <w:tcMar>
              <w:top w:w="80" w:type="dxa"/>
              <w:left w:w="120" w:type="dxa"/>
              <w:bottom w:w="80" w:type="dxa"/>
              <w:right w:w="120" w:type="dxa"/>
            </w:tcMar>
          </w:tcPr>
          <w:p w14:paraId="200A8A03" w14:textId="77777777" w:rsidR="00924278" w:rsidRDefault="00000000">
            <w:r>
              <w:rPr>
                <w:b/>
                <w:color w:val="FFFFFF"/>
                <w:sz w:val="19"/>
                <w:szCs w:val="19"/>
              </w:rPr>
              <w:t>Domestic Cost Base</w:t>
            </w:r>
          </w:p>
        </w:tc>
        <w:tc>
          <w:tcPr>
            <w:tcW w:w="1260" w:type="dxa"/>
            <w:tcBorders>
              <w:top w:val="single" w:sz="1" w:space="0" w:color="CCCCCC"/>
              <w:left w:val="single" w:sz="1" w:space="0" w:color="CCCCCC"/>
              <w:bottom w:val="single" w:sz="1" w:space="0" w:color="CCCCCC"/>
              <w:right w:val="single" w:sz="1" w:space="0" w:color="CCCCCC"/>
            </w:tcBorders>
            <w:shd w:val="clear" w:color="auto" w:fill="2E75B6"/>
            <w:tcMar>
              <w:top w:w="80" w:type="dxa"/>
              <w:left w:w="120" w:type="dxa"/>
              <w:bottom w:w="80" w:type="dxa"/>
              <w:right w:w="120" w:type="dxa"/>
            </w:tcMar>
          </w:tcPr>
          <w:p w14:paraId="4F5D58E6" w14:textId="77777777" w:rsidR="00924278" w:rsidRDefault="00000000">
            <w:r>
              <w:rPr>
                <w:b/>
                <w:color w:val="FFFFFF"/>
                <w:sz w:val="19"/>
                <w:szCs w:val="19"/>
              </w:rPr>
              <w:t>DVA Ratio (Est.)</w:t>
            </w:r>
          </w:p>
        </w:tc>
        <w:tc>
          <w:tcPr>
            <w:tcW w:w="1000" w:type="dxa"/>
            <w:tcBorders>
              <w:top w:val="single" w:sz="1" w:space="0" w:color="CCCCCC"/>
              <w:left w:val="single" w:sz="1" w:space="0" w:color="CCCCCC"/>
              <w:bottom w:val="single" w:sz="1" w:space="0" w:color="CCCCCC"/>
              <w:right w:val="single" w:sz="1" w:space="0" w:color="CCCCCC"/>
            </w:tcBorders>
            <w:shd w:val="clear" w:color="auto" w:fill="2E75B6"/>
            <w:tcMar>
              <w:top w:w="80" w:type="dxa"/>
              <w:left w:w="120" w:type="dxa"/>
              <w:bottom w:w="80" w:type="dxa"/>
              <w:right w:w="120" w:type="dxa"/>
            </w:tcMar>
          </w:tcPr>
          <w:p w14:paraId="4B285827" w14:textId="77777777" w:rsidR="00924278" w:rsidRDefault="00000000">
            <w:r>
              <w:rPr>
                <w:b/>
                <w:color w:val="FFFFFF"/>
                <w:sz w:val="19"/>
                <w:szCs w:val="19"/>
              </w:rPr>
              <w:t>Scaling Fraction (Est.)</w:t>
            </w:r>
          </w:p>
        </w:tc>
      </w:tr>
      <w:tr w:rsidR="00924278" w14:paraId="2EE7FB1E" w14:textId="77777777">
        <w:tc>
          <w:tcPr>
            <w:tcW w:w="1200" w:type="dxa"/>
            <w:tcBorders>
              <w:top w:val="single" w:sz="1" w:space="0" w:color="CCCCCC"/>
              <w:left w:val="single" w:sz="1" w:space="0" w:color="CCCCCC"/>
              <w:bottom w:val="single" w:sz="1" w:space="0" w:color="CCCCCC"/>
              <w:right w:val="single" w:sz="1" w:space="0" w:color="CCCCCC"/>
            </w:tcBorders>
            <w:shd w:val="clear" w:color="auto" w:fill="FFFFFF"/>
            <w:tcMar>
              <w:top w:w="80" w:type="dxa"/>
              <w:left w:w="120" w:type="dxa"/>
              <w:bottom w:w="80" w:type="dxa"/>
              <w:right w:w="120" w:type="dxa"/>
            </w:tcMar>
          </w:tcPr>
          <w:p w14:paraId="2E303AA3" w14:textId="77777777" w:rsidR="00924278" w:rsidRDefault="00000000">
            <w:r>
              <w:rPr>
                <w:b/>
                <w:sz w:val="19"/>
                <w:szCs w:val="19"/>
              </w:rPr>
              <w:t>Apple</w:t>
            </w:r>
          </w:p>
        </w:tc>
        <w:tc>
          <w:tcPr>
            <w:tcW w:w="1100" w:type="dxa"/>
            <w:tcBorders>
              <w:top w:val="single" w:sz="1" w:space="0" w:color="CCCCCC"/>
              <w:left w:val="single" w:sz="1" w:space="0" w:color="CCCCCC"/>
              <w:bottom w:val="single" w:sz="1" w:space="0" w:color="CCCCCC"/>
              <w:right w:val="single" w:sz="1" w:space="0" w:color="CCCCCC"/>
            </w:tcBorders>
            <w:shd w:val="clear" w:color="auto" w:fill="FFFFFF"/>
            <w:tcMar>
              <w:top w:w="80" w:type="dxa"/>
              <w:left w:w="120" w:type="dxa"/>
              <w:bottom w:w="80" w:type="dxa"/>
              <w:right w:w="120" w:type="dxa"/>
            </w:tcMar>
          </w:tcPr>
          <w:p w14:paraId="0B464A85" w14:textId="77777777" w:rsidR="00924278" w:rsidRDefault="00000000">
            <w:r>
              <w:rPr>
                <w:sz w:val="19"/>
                <w:szCs w:val="19"/>
              </w:rPr>
              <w:t>~38–42%</w:t>
            </w:r>
          </w:p>
        </w:tc>
        <w:tc>
          <w:tcPr>
            <w:tcW w:w="1600" w:type="dxa"/>
            <w:tcBorders>
              <w:top w:val="single" w:sz="1" w:space="0" w:color="CCCCCC"/>
              <w:left w:val="single" w:sz="1" w:space="0" w:color="CCCCCC"/>
              <w:bottom w:val="single" w:sz="1" w:space="0" w:color="CCCCCC"/>
              <w:right w:val="single" w:sz="1" w:space="0" w:color="CCCCCC"/>
            </w:tcBorders>
            <w:shd w:val="clear" w:color="auto" w:fill="FFFFFF"/>
            <w:tcMar>
              <w:top w:w="80" w:type="dxa"/>
              <w:left w:w="120" w:type="dxa"/>
              <w:bottom w:w="80" w:type="dxa"/>
              <w:right w:w="120" w:type="dxa"/>
            </w:tcMar>
          </w:tcPr>
          <w:p w14:paraId="22A598D9" w14:textId="77777777" w:rsidR="00924278" w:rsidRDefault="00000000">
            <w:r>
              <w:rPr>
                <w:sz w:val="19"/>
                <w:szCs w:val="19"/>
              </w:rPr>
              <w:t>~58–62% (Foxconn assembly, offshore components)</w:t>
            </w:r>
          </w:p>
        </w:tc>
        <w:tc>
          <w:tcPr>
            <w:tcW w:w="2200" w:type="dxa"/>
            <w:tcBorders>
              <w:top w:val="single" w:sz="1" w:space="0" w:color="CCCCCC"/>
              <w:left w:val="single" w:sz="1" w:space="0" w:color="CCCCCC"/>
              <w:bottom w:val="single" w:sz="1" w:space="0" w:color="CCCCCC"/>
              <w:right w:val="single" w:sz="1" w:space="0" w:color="CCCCCC"/>
            </w:tcBorders>
            <w:shd w:val="clear" w:color="auto" w:fill="FFFFFF"/>
            <w:tcMar>
              <w:top w:w="80" w:type="dxa"/>
              <w:left w:w="120" w:type="dxa"/>
              <w:bottom w:w="80" w:type="dxa"/>
              <w:right w:w="120" w:type="dxa"/>
            </w:tcMar>
          </w:tcPr>
          <w:p w14:paraId="45E59014" w14:textId="77777777" w:rsidR="00924278" w:rsidRDefault="00000000">
            <w:r>
              <w:rPr>
                <w:sz w:val="19"/>
                <w:szCs w:val="19"/>
              </w:rPr>
              <w:t>Marketing, HQ, some R&amp;D</w:t>
            </w:r>
          </w:p>
        </w:tc>
        <w:tc>
          <w:tcPr>
            <w:tcW w:w="1260" w:type="dxa"/>
            <w:tcBorders>
              <w:top w:val="single" w:sz="1" w:space="0" w:color="CCCCCC"/>
              <w:left w:val="single" w:sz="1" w:space="0" w:color="CCCCCC"/>
              <w:bottom w:val="single" w:sz="1" w:space="0" w:color="CCCCCC"/>
              <w:right w:val="single" w:sz="1" w:space="0" w:color="CCCCCC"/>
            </w:tcBorders>
            <w:shd w:val="clear" w:color="auto" w:fill="FFFFFF"/>
            <w:tcMar>
              <w:top w:w="80" w:type="dxa"/>
              <w:left w:w="120" w:type="dxa"/>
              <w:bottom w:w="80" w:type="dxa"/>
              <w:right w:w="120" w:type="dxa"/>
            </w:tcMar>
          </w:tcPr>
          <w:p w14:paraId="12D5218A" w14:textId="77777777" w:rsidR="00924278" w:rsidRDefault="00000000">
            <w:r>
              <w:rPr>
                <w:sz w:val="19"/>
                <w:szCs w:val="19"/>
              </w:rPr>
              <w:t>22–29%</w:t>
            </w:r>
          </w:p>
        </w:tc>
        <w:tc>
          <w:tcPr>
            <w:tcW w:w="1000" w:type="dxa"/>
            <w:tcBorders>
              <w:top w:val="single" w:sz="1" w:space="0" w:color="CCCCCC"/>
              <w:left w:val="single" w:sz="1" w:space="0" w:color="CCCCCC"/>
              <w:bottom w:val="single" w:sz="1" w:space="0" w:color="CCCCCC"/>
              <w:right w:val="single" w:sz="1" w:space="0" w:color="CCCCCC"/>
            </w:tcBorders>
            <w:shd w:val="clear" w:color="auto" w:fill="FFFFFF"/>
            <w:tcMar>
              <w:top w:w="80" w:type="dxa"/>
              <w:left w:w="120" w:type="dxa"/>
              <w:bottom w:w="80" w:type="dxa"/>
              <w:right w:w="120" w:type="dxa"/>
            </w:tcMar>
          </w:tcPr>
          <w:p w14:paraId="15746F8C" w14:textId="77777777" w:rsidR="00924278" w:rsidRDefault="00000000">
            <w:r>
              <w:rPr>
                <w:sz w:val="19"/>
                <w:szCs w:val="19"/>
              </w:rPr>
              <w:t>0.23–0.32</w:t>
            </w:r>
          </w:p>
        </w:tc>
      </w:tr>
      <w:tr w:rsidR="00924278" w14:paraId="664CC2D7" w14:textId="77777777">
        <w:tc>
          <w:tcPr>
            <w:tcW w:w="1200" w:type="dxa"/>
            <w:tcBorders>
              <w:top w:val="single" w:sz="1" w:space="0" w:color="CCCCCC"/>
              <w:left w:val="single" w:sz="1" w:space="0" w:color="CCCCCC"/>
              <w:bottom w:val="single" w:sz="1" w:space="0" w:color="CCCCCC"/>
              <w:right w:val="single" w:sz="1" w:space="0" w:color="CCCCCC"/>
            </w:tcBorders>
            <w:shd w:val="clear" w:color="auto" w:fill="F5F7FA"/>
            <w:tcMar>
              <w:top w:w="80" w:type="dxa"/>
              <w:left w:w="120" w:type="dxa"/>
              <w:bottom w:w="80" w:type="dxa"/>
              <w:right w:w="120" w:type="dxa"/>
            </w:tcMar>
          </w:tcPr>
          <w:p w14:paraId="14997CA7" w14:textId="77777777" w:rsidR="00924278" w:rsidRDefault="00000000">
            <w:r>
              <w:rPr>
                <w:b/>
                <w:sz w:val="19"/>
                <w:szCs w:val="19"/>
              </w:rPr>
              <w:t>Nvidia</w:t>
            </w:r>
          </w:p>
        </w:tc>
        <w:tc>
          <w:tcPr>
            <w:tcW w:w="1100" w:type="dxa"/>
            <w:tcBorders>
              <w:top w:val="single" w:sz="1" w:space="0" w:color="CCCCCC"/>
              <w:left w:val="single" w:sz="1" w:space="0" w:color="CCCCCC"/>
              <w:bottom w:val="single" w:sz="1" w:space="0" w:color="CCCCCC"/>
              <w:right w:val="single" w:sz="1" w:space="0" w:color="CCCCCC"/>
            </w:tcBorders>
            <w:shd w:val="clear" w:color="auto" w:fill="F5F7FA"/>
            <w:tcMar>
              <w:top w:w="80" w:type="dxa"/>
              <w:left w:w="120" w:type="dxa"/>
              <w:bottom w:w="80" w:type="dxa"/>
              <w:right w:w="120" w:type="dxa"/>
            </w:tcMar>
          </w:tcPr>
          <w:p w14:paraId="5F4FC278" w14:textId="77777777" w:rsidR="00924278" w:rsidRDefault="00000000">
            <w:r>
              <w:rPr>
                <w:sz w:val="19"/>
                <w:szCs w:val="19"/>
              </w:rPr>
              <w:t>~74–75%</w:t>
            </w:r>
          </w:p>
        </w:tc>
        <w:tc>
          <w:tcPr>
            <w:tcW w:w="1600" w:type="dxa"/>
            <w:tcBorders>
              <w:top w:val="single" w:sz="1" w:space="0" w:color="CCCCCC"/>
              <w:left w:val="single" w:sz="1" w:space="0" w:color="CCCCCC"/>
              <w:bottom w:val="single" w:sz="1" w:space="0" w:color="CCCCCC"/>
              <w:right w:val="single" w:sz="1" w:space="0" w:color="CCCCCC"/>
            </w:tcBorders>
            <w:shd w:val="clear" w:color="auto" w:fill="F5F7FA"/>
            <w:tcMar>
              <w:top w:w="80" w:type="dxa"/>
              <w:left w:w="120" w:type="dxa"/>
              <w:bottom w:w="80" w:type="dxa"/>
              <w:right w:w="120" w:type="dxa"/>
            </w:tcMar>
          </w:tcPr>
          <w:p w14:paraId="11E47174" w14:textId="77777777" w:rsidR="00924278" w:rsidRDefault="00000000">
            <w:r>
              <w:rPr>
                <w:sz w:val="19"/>
                <w:szCs w:val="19"/>
              </w:rPr>
              <w:t>~23% (TSMC wafers, offshore components)</w:t>
            </w:r>
          </w:p>
        </w:tc>
        <w:tc>
          <w:tcPr>
            <w:tcW w:w="2200" w:type="dxa"/>
            <w:tcBorders>
              <w:top w:val="single" w:sz="1" w:space="0" w:color="CCCCCC"/>
              <w:left w:val="single" w:sz="1" w:space="0" w:color="CCCCCC"/>
              <w:bottom w:val="single" w:sz="1" w:space="0" w:color="CCCCCC"/>
              <w:right w:val="single" w:sz="1" w:space="0" w:color="CCCCCC"/>
            </w:tcBorders>
            <w:shd w:val="clear" w:color="auto" w:fill="F5F7FA"/>
            <w:tcMar>
              <w:top w:w="80" w:type="dxa"/>
              <w:left w:w="120" w:type="dxa"/>
              <w:bottom w:w="80" w:type="dxa"/>
              <w:right w:w="120" w:type="dxa"/>
            </w:tcMar>
          </w:tcPr>
          <w:p w14:paraId="03E12C49" w14:textId="77777777" w:rsidR="00924278" w:rsidRDefault="00000000">
            <w:r>
              <w:rPr>
                <w:sz w:val="19"/>
                <w:szCs w:val="19"/>
              </w:rPr>
              <w:t>R&amp;D engineers, SG&amp;A (mostly domestic)</w:t>
            </w:r>
          </w:p>
        </w:tc>
        <w:tc>
          <w:tcPr>
            <w:tcW w:w="1260" w:type="dxa"/>
            <w:tcBorders>
              <w:top w:val="single" w:sz="1" w:space="0" w:color="CCCCCC"/>
              <w:left w:val="single" w:sz="1" w:space="0" w:color="CCCCCC"/>
              <w:bottom w:val="single" w:sz="1" w:space="0" w:color="CCCCCC"/>
              <w:right w:val="single" w:sz="1" w:space="0" w:color="CCCCCC"/>
            </w:tcBorders>
            <w:shd w:val="clear" w:color="auto" w:fill="F5F7FA"/>
            <w:tcMar>
              <w:top w:w="80" w:type="dxa"/>
              <w:left w:w="120" w:type="dxa"/>
              <w:bottom w:w="80" w:type="dxa"/>
              <w:right w:w="120" w:type="dxa"/>
            </w:tcMar>
          </w:tcPr>
          <w:p w14:paraId="706CA862" w14:textId="77777777" w:rsidR="00924278" w:rsidRDefault="00000000">
            <w:r>
              <w:rPr>
                <w:sz w:val="19"/>
                <w:szCs w:val="19"/>
              </w:rPr>
              <w:t>55–68%</w:t>
            </w:r>
          </w:p>
        </w:tc>
        <w:tc>
          <w:tcPr>
            <w:tcW w:w="1000" w:type="dxa"/>
            <w:tcBorders>
              <w:top w:val="single" w:sz="1" w:space="0" w:color="CCCCCC"/>
              <w:left w:val="single" w:sz="1" w:space="0" w:color="CCCCCC"/>
              <w:bottom w:val="single" w:sz="1" w:space="0" w:color="CCCCCC"/>
              <w:right w:val="single" w:sz="1" w:space="0" w:color="CCCCCC"/>
            </w:tcBorders>
            <w:shd w:val="clear" w:color="auto" w:fill="F5F7FA"/>
            <w:tcMar>
              <w:top w:w="80" w:type="dxa"/>
              <w:left w:w="120" w:type="dxa"/>
              <w:bottom w:w="80" w:type="dxa"/>
              <w:right w:w="120" w:type="dxa"/>
            </w:tcMar>
          </w:tcPr>
          <w:p w14:paraId="1384BCD4" w14:textId="77777777" w:rsidR="00924278" w:rsidRDefault="00000000">
            <w:r>
              <w:rPr>
                <w:sz w:val="19"/>
                <w:szCs w:val="19"/>
              </w:rPr>
              <w:t>0.62–0.78</w:t>
            </w:r>
          </w:p>
        </w:tc>
      </w:tr>
      <w:tr w:rsidR="00924278" w14:paraId="6886516E" w14:textId="77777777">
        <w:tc>
          <w:tcPr>
            <w:tcW w:w="1200" w:type="dxa"/>
            <w:tcBorders>
              <w:top w:val="single" w:sz="1" w:space="0" w:color="CCCCCC"/>
              <w:left w:val="single" w:sz="1" w:space="0" w:color="CCCCCC"/>
              <w:bottom w:val="single" w:sz="1" w:space="0" w:color="CCCCCC"/>
              <w:right w:val="single" w:sz="1" w:space="0" w:color="CCCCCC"/>
            </w:tcBorders>
            <w:shd w:val="clear" w:color="auto" w:fill="FFFFFF"/>
            <w:tcMar>
              <w:top w:w="80" w:type="dxa"/>
              <w:left w:w="120" w:type="dxa"/>
              <w:bottom w:w="80" w:type="dxa"/>
              <w:right w:w="120" w:type="dxa"/>
            </w:tcMar>
          </w:tcPr>
          <w:p w14:paraId="29DBAA4B" w14:textId="77777777" w:rsidR="00924278" w:rsidRDefault="00000000">
            <w:r>
              <w:rPr>
                <w:b/>
                <w:sz w:val="19"/>
                <w:szCs w:val="19"/>
              </w:rPr>
              <w:t>Aggregate Avg.</w:t>
            </w:r>
          </w:p>
        </w:tc>
        <w:tc>
          <w:tcPr>
            <w:tcW w:w="1100" w:type="dxa"/>
            <w:tcBorders>
              <w:top w:val="single" w:sz="1" w:space="0" w:color="CCCCCC"/>
              <w:left w:val="single" w:sz="1" w:space="0" w:color="CCCCCC"/>
              <w:bottom w:val="single" w:sz="1" w:space="0" w:color="CCCCCC"/>
              <w:right w:val="single" w:sz="1" w:space="0" w:color="CCCCCC"/>
            </w:tcBorders>
            <w:shd w:val="clear" w:color="auto" w:fill="FFFFFF"/>
            <w:tcMar>
              <w:top w:w="80" w:type="dxa"/>
              <w:left w:w="120" w:type="dxa"/>
              <w:bottom w:w="80" w:type="dxa"/>
              <w:right w:w="120" w:type="dxa"/>
            </w:tcMar>
          </w:tcPr>
          <w:p w14:paraId="6B20C035" w14:textId="77777777" w:rsidR="00924278" w:rsidRDefault="00000000">
            <w:r>
              <w:rPr>
                <w:sz w:val="19"/>
                <w:szCs w:val="19"/>
              </w:rPr>
              <w:t>—</w:t>
            </w:r>
          </w:p>
        </w:tc>
        <w:tc>
          <w:tcPr>
            <w:tcW w:w="1600" w:type="dxa"/>
            <w:tcBorders>
              <w:top w:val="single" w:sz="1" w:space="0" w:color="CCCCCC"/>
              <w:left w:val="single" w:sz="1" w:space="0" w:color="CCCCCC"/>
              <w:bottom w:val="single" w:sz="1" w:space="0" w:color="CCCCCC"/>
              <w:right w:val="single" w:sz="1" w:space="0" w:color="CCCCCC"/>
            </w:tcBorders>
            <w:shd w:val="clear" w:color="auto" w:fill="FFFFFF"/>
            <w:tcMar>
              <w:top w:w="80" w:type="dxa"/>
              <w:left w:w="120" w:type="dxa"/>
              <w:bottom w:w="80" w:type="dxa"/>
              <w:right w:w="120" w:type="dxa"/>
            </w:tcMar>
          </w:tcPr>
          <w:p w14:paraId="627A9D99" w14:textId="77777777" w:rsidR="00924278" w:rsidRDefault="00000000">
            <w:r>
              <w:rPr>
                <w:sz w:val="19"/>
                <w:szCs w:val="19"/>
              </w:rPr>
              <w:t>—</w:t>
            </w:r>
          </w:p>
        </w:tc>
        <w:tc>
          <w:tcPr>
            <w:tcW w:w="2200" w:type="dxa"/>
            <w:tcBorders>
              <w:top w:val="single" w:sz="1" w:space="0" w:color="CCCCCC"/>
              <w:left w:val="single" w:sz="1" w:space="0" w:color="CCCCCC"/>
              <w:bottom w:val="single" w:sz="1" w:space="0" w:color="CCCCCC"/>
              <w:right w:val="single" w:sz="1" w:space="0" w:color="CCCCCC"/>
            </w:tcBorders>
            <w:shd w:val="clear" w:color="auto" w:fill="FFFFFF"/>
            <w:tcMar>
              <w:top w:w="80" w:type="dxa"/>
              <w:left w:w="120" w:type="dxa"/>
              <w:bottom w:w="80" w:type="dxa"/>
              <w:right w:w="120" w:type="dxa"/>
            </w:tcMar>
          </w:tcPr>
          <w:p w14:paraId="14FCE973" w14:textId="77777777" w:rsidR="00924278" w:rsidRDefault="00000000">
            <w:r>
              <w:rPr>
                <w:sz w:val="19"/>
                <w:szCs w:val="19"/>
              </w:rPr>
              <w:t>—</w:t>
            </w:r>
          </w:p>
        </w:tc>
        <w:tc>
          <w:tcPr>
            <w:tcW w:w="1260" w:type="dxa"/>
            <w:tcBorders>
              <w:top w:val="single" w:sz="1" w:space="0" w:color="CCCCCC"/>
              <w:left w:val="single" w:sz="1" w:space="0" w:color="CCCCCC"/>
              <w:bottom w:val="single" w:sz="1" w:space="0" w:color="CCCCCC"/>
              <w:right w:val="single" w:sz="1" w:space="0" w:color="CCCCCC"/>
            </w:tcBorders>
            <w:shd w:val="clear" w:color="auto" w:fill="FFFFFF"/>
            <w:tcMar>
              <w:top w:w="80" w:type="dxa"/>
              <w:left w:w="120" w:type="dxa"/>
              <w:bottom w:w="80" w:type="dxa"/>
              <w:right w:w="120" w:type="dxa"/>
            </w:tcMar>
          </w:tcPr>
          <w:p w14:paraId="4594A5B6" w14:textId="77777777" w:rsidR="00924278" w:rsidRDefault="00000000">
            <w:r>
              <w:rPr>
                <w:sz w:val="19"/>
                <w:szCs w:val="19"/>
              </w:rPr>
              <w:t>—</w:t>
            </w:r>
          </w:p>
        </w:tc>
        <w:tc>
          <w:tcPr>
            <w:tcW w:w="1000" w:type="dxa"/>
            <w:tcBorders>
              <w:top w:val="single" w:sz="1" w:space="0" w:color="CCCCCC"/>
              <w:left w:val="single" w:sz="1" w:space="0" w:color="CCCCCC"/>
              <w:bottom w:val="single" w:sz="1" w:space="0" w:color="CCCCCC"/>
              <w:right w:val="single" w:sz="1" w:space="0" w:color="CCCCCC"/>
            </w:tcBorders>
            <w:shd w:val="clear" w:color="auto" w:fill="FFFFFF"/>
            <w:tcMar>
              <w:top w:w="80" w:type="dxa"/>
              <w:left w:w="120" w:type="dxa"/>
              <w:bottom w:w="80" w:type="dxa"/>
              <w:right w:w="120" w:type="dxa"/>
            </w:tcMar>
          </w:tcPr>
          <w:p w14:paraId="72A61526" w14:textId="77777777" w:rsidR="00924278" w:rsidRDefault="00000000">
            <w:r>
              <w:rPr>
                <w:sz w:val="19"/>
                <w:szCs w:val="19"/>
              </w:rPr>
              <w:t>0.76 (MINA model)</w:t>
            </w:r>
          </w:p>
        </w:tc>
      </w:tr>
    </w:tbl>
    <w:p w14:paraId="03EEE81E" w14:textId="77777777" w:rsidR="004044B1" w:rsidRDefault="00000000">
      <w:pPr>
        <w:spacing w:before="80" w:after="120"/>
      </w:pPr>
      <w:r>
        <w:t>The policy implication is significant. The DVA scaling formula correctly penalizes Apple-type FGPs (high foreign assembly content, low domestic cost share) but does not penalize—and arguably correctly rewards—Nvidia-type FGPs (low foreign fabrication cost, high domestic engineering content). A Nvidia that shifts even a portion of its wafer purchases from TSMC to an Intel Foundry or domestic fab would see its DVA ratio rise further, generating a meaningful additional credit. The formula creates the right directional incentive for Nvidia without requiring legislative exclusion.</w:t>
      </w:r>
    </w:p>
    <w:p w14:paraId="7F4B83BD" w14:textId="77777777" w:rsidR="004044B1" w:rsidRDefault="00000000">
      <w:pPr>
        <w:spacing w:before="80" w:after="120"/>
      </w:pPr>
      <w:r>
        <w:t xml:space="preserve">The Apple case requires more deliberate policy intervention—specifically the tiered rate structure under Option B—because Apple’s DVA ratio is structurally low regardless of marginal sourcing decisions, given that assembly cost is the dominant input. No plausible incremental change in Apple’s sourcing behavior moves its scaling fraction from 0.23–0.32 to anywhere near </w:t>
      </w:r>
      <w:r>
        <w:lastRenderedPageBreak/>
        <w:t>the 0.76 average. Apple’s DVA ratio improves only through fundamental reshoring of device assembly, which is an investment decision of a different order of magnitude.</w:t>
      </w:r>
    </w:p>
    <w:p w14:paraId="0F09D662" w14:textId="77777777" w:rsidR="004044B1" w:rsidRDefault="00000000">
      <w:pPr>
        <w:spacing w:before="80" w:after="120"/>
      </w:pPr>
      <w:r>
        <w:t>This distinction also reinforces why a flat FGP exclusion (Option C) would be poor policy: it would exclude both Apple and Nvidia despite the fact that Nvidia’s domestic cost structure is substantively more manufacturing-aligned than Apple’s, and despite the fact that Nvidia’s DVA ratio would naturally improve as domestic semiconductor fabrication capacity expands. Option B’s tiered rate captures this nuance automatically—Nvidia’s production-linked R&amp;D costs qualify at 5%; Apple’s non-production R&amp;D qualifies at 2%; and neither receives the physical production rate on costs they do not incur domestically.</w:t>
      </w:r>
    </w:p>
    <w:p w14:paraId="077236A9" w14:textId="77777777" w:rsidR="004044B1" w:rsidRDefault="00000000">
      <w:pPr>
        <w:pStyle w:val="ListParagraph"/>
        <w:numPr>
          <w:ilvl w:val="0"/>
          <w:numId w:val="2"/>
        </w:numPr>
        <w:spacing w:before="60" w:after="60"/>
      </w:pPr>
      <w:r>
        <w:rPr>
          <w:b/>
          <w:bCs/>
        </w:rPr>
        <w:t>A-4 (Utilization Factor = 0.85): Neutral impact.</w:t>
      </w:r>
      <w:r>
        <w:t xml:space="preserve"> FGPs may have slightly lower utilization due to the complexity of computing DVA across global supply chains, but this effect is small.</w:t>
      </w:r>
    </w:p>
    <w:p w14:paraId="43A7A8B1" w14:textId="77777777" w:rsidR="004044B1" w:rsidRDefault="004044B1">
      <w:pPr>
        <w:spacing w:before="80" w:after="80"/>
      </w:pPr>
    </w:p>
    <w:p w14:paraId="11FF6A17" w14:textId="77777777" w:rsidR="004044B1" w:rsidRDefault="00000000">
      <w:pPr>
        <w:spacing w:before="200" w:after="100"/>
      </w:pPr>
      <w:r>
        <w:rPr>
          <w:b/>
          <w:bCs/>
          <w:color w:val="1F3864"/>
          <w:sz w:val="24"/>
          <w:szCs w:val="24"/>
        </w:rPr>
        <w:t>Estimated FGP Credit Claims Under MINA</w:t>
      </w:r>
    </w:p>
    <w:tbl>
      <w:tblPr>
        <w:tblW w:w="936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0" w:type="dxa"/>
          <w:right w:w="10" w:type="dxa"/>
        </w:tblCellMar>
        <w:tblLook w:val="0000" w:firstRow="0" w:lastRow="0" w:firstColumn="0" w:lastColumn="0" w:noHBand="0" w:noVBand="0"/>
      </w:tblPr>
      <w:tblGrid>
        <w:gridCol w:w="2600"/>
        <w:gridCol w:w="1400"/>
        <w:gridCol w:w="1000"/>
        <w:gridCol w:w="1200"/>
        <w:gridCol w:w="1180"/>
        <w:gridCol w:w="1980"/>
      </w:tblGrid>
      <w:tr w:rsidR="004044B1" w14:paraId="1A9E645D" w14:textId="77777777">
        <w:trPr>
          <w:tblHeader/>
        </w:trPr>
        <w:tc>
          <w:tcPr>
            <w:tcW w:w="2600" w:type="dxa"/>
            <w:tcBorders>
              <w:top w:val="single" w:sz="1" w:space="0" w:color="CCCCCC"/>
              <w:left w:val="single" w:sz="1" w:space="0" w:color="CCCCCC"/>
              <w:bottom w:val="single" w:sz="1" w:space="0" w:color="CCCCCC"/>
              <w:right w:val="single" w:sz="1" w:space="0" w:color="CCCCCC"/>
            </w:tcBorders>
            <w:shd w:val="clear" w:color="auto" w:fill="2E75B6"/>
            <w:tcMar>
              <w:top w:w="80" w:type="dxa"/>
              <w:left w:w="120" w:type="dxa"/>
              <w:bottom w:w="80" w:type="dxa"/>
              <w:right w:w="120" w:type="dxa"/>
            </w:tcMar>
          </w:tcPr>
          <w:p w14:paraId="0E95BB64" w14:textId="77777777" w:rsidR="004044B1" w:rsidRDefault="00000000">
            <w:r>
              <w:rPr>
                <w:b/>
                <w:bCs/>
                <w:color w:val="FFFFFF"/>
                <w:sz w:val="19"/>
                <w:szCs w:val="19"/>
              </w:rPr>
              <w:t>FGP Category</w:t>
            </w:r>
          </w:p>
        </w:tc>
        <w:tc>
          <w:tcPr>
            <w:tcW w:w="1400" w:type="dxa"/>
            <w:tcBorders>
              <w:top w:val="single" w:sz="1" w:space="0" w:color="CCCCCC"/>
              <w:left w:val="single" w:sz="1" w:space="0" w:color="CCCCCC"/>
              <w:bottom w:val="single" w:sz="1" w:space="0" w:color="CCCCCC"/>
              <w:right w:val="single" w:sz="1" w:space="0" w:color="CCCCCC"/>
            </w:tcBorders>
            <w:shd w:val="clear" w:color="auto" w:fill="2E75B6"/>
            <w:tcMar>
              <w:top w:w="80" w:type="dxa"/>
              <w:left w:w="120" w:type="dxa"/>
              <w:bottom w:w="80" w:type="dxa"/>
              <w:right w:w="120" w:type="dxa"/>
            </w:tcMar>
          </w:tcPr>
          <w:p w14:paraId="2142A64D" w14:textId="77777777" w:rsidR="004044B1" w:rsidRDefault="00000000">
            <w:r>
              <w:rPr>
                <w:b/>
                <w:bCs/>
                <w:color w:val="FFFFFF"/>
                <w:sz w:val="19"/>
                <w:szCs w:val="19"/>
              </w:rPr>
              <w:t>Est. Dom. Costs ($B)</w:t>
            </w:r>
          </w:p>
        </w:tc>
        <w:tc>
          <w:tcPr>
            <w:tcW w:w="1000" w:type="dxa"/>
            <w:tcBorders>
              <w:top w:val="single" w:sz="1" w:space="0" w:color="CCCCCC"/>
              <w:left w:val="single" w:sz="1" w:space="0" w:color="CCCCCC"/>
              <w:bottom w:val="single" w:sz="1" w:space="0" w:color="CCCCCC"/>
              <w:right w:val="single" w:sz="1" w:space="0" w:color="CCCCCC"/>
            </w:tcBorders>
            <w:shd w:val="clear" w:color="auto" w:fill="2E75B6"/>
            <w:tcMar>
              <w:top w:w="80" w:type="dxa"/>
              <w:left w:w="120" w:type="dxa"/>
              <w:bottom w:w="80" w:type="dxa"/>
              <w:right w:w="120" w:type="dxa"/>
            </w:tcMar>
          </w:tcPr>
          <w:p w14:paraId="14F28994" w14:textId="77777777" w:rsidR="004044B1" w:rsidRDefault="00000000">
            <w:r>
              <w:rPr>
                <w:b/>
                <w:bCs/>
                <w:color w:val="FFFFFF"/>
                <w:sz w:val="19"/>
                <w:szCs w:val="19"/>
              </w:rPr>
              <w:t>DVA Ratio</w:t>
            </w:r>
          </w:p>
        </w:tc>
        <w:tc>
          <w:tcPr>
            <w:tcW w:w="1200" w:type="dxa"/>
            <w:tcBorders>
              <w:top w:val="single" w:sz="1" w:space="0" w:color="CCCCCC"/>
              <w:left w:val="single" w:sz="1" w:space="0" w:color="CCCCCC"/>
              <w:bottom w:val="single" w:sz="1" w:space="0" w:color="CCCCCC"/>
              <w:right w:val="single" w:sz="1" w:space="0" w:color="CCCCCC"/>
            </w:tcBorders>
            <w:shd w:val="clear" w:color="auto" w:fill="2E75B6"/>
            <w:tcMar>
              <w:top w:w="80" w:type="dxa"/>
              <w:left w:w="120" w:type="dxa"/>
              <w:bottom w:w="80" w:type="dxa"/>
              <w:right w:w="120" w:type="dxa"/>
            </w:tcMar>
          </w:tcPr>
          <w:p w14:paraId="3794AFAF" w14:textId="77777777" w:rsidR="004044B1" w:rsidRDefault="00000000">
            <w:r>
              <w:rPr>
                <w:b/>
                <w:bCs/>
                <w:color w:val="FFFFFF"/>
                <w:sz w:val="19"/>
                <w:szCs w:val="19"/>
              </w:rPr>
              <w:t>Scaling Fraction</w:t>
            </w:r>
          </w:p>
        </w:tc>
        <w:tc>
          <w:tcPr>
            <w:tcW w:w="1180" w:type="dxa"/>
            <w:tcBorders>
              <w:top w:val="single" w:sz="1" w:space="0" w:color="CCCCCC"/>
              <w:left w:val="single" w:sz="1" w:space="0" w:color="CCCCCC"/>
              <w:bottom w:val="single" w:sz="1" w:space="0" w:color="CCCCCC"/>
              <w:right w:val="single" w:sz="1" w:space="0" w:color="CCCCCC"/>
            </w:tcBorders>
            <w:shd w:val="clear" w:color="auto" w:fill="2E75B6"/>
            <w:tcMar>
              <w:top w:w="80" w:type="dxa"/>
              <w:left w:w="120" w:type="dxa"/>
              <w:bottom w:w="80" w:type="dxa"/>
              <w:right w:w="120" w:type="dxa"/>
            </w:tcMar>
          </w:tcPr>
          <w:p w14:paraId="5E2499E6" w14:textId="77777777" w:rsidR="004044B1" w:rsidRDefault="00000000">
            <w:r>
              <w:rPr>
                <w:b/>
                <w:bCs/>
                <w:color w:val="FFFFFF"/>
                <w:sz w:val="19"/>
                <w:szCs w:val="19"/>
              </w:rPr>
              <w:t>Credit ($B/yr)</w:t>
            </w:r>
          </w:p>
        </w:tc>
        <w:tc>
          <w:tcPr>
            <w:tcW w:w="1980" w:type="dxa"/>
            <w:tcBorders>
              <w:top w:val="single" w:sz="1" w:space="0" w:color="CCCCCC"/>
              <w:left w:val="single" w:sz="1" w:space="0" w:color="CCCCCC"/>
              <w:bottom w:val="single" w:sz="1" w:space="0" w:color="CCCCCC"/>
              <w:right w:val="single" w:sz="1" w:space="0" w:color="CCCCCC"/>
            </w:tcBorders>
            <w:shd w:val="clear" w:color="auto" w:fill="2E75B6"/>
            <w:tcMar>
              <w:top w:w="80" w:type="dxa"/>
              <w:left w:w="120" w:type="dxa"/>
              <w:bottom w:w="80" w:type="dxa"/>
              <w:right w:w="120" w:type="dxa"/>
            </w:tcMar>
          </w:tcPr>
          <w:p w14:paraId="3D30F7C7" w14:textId="77777777" w:rsidR="004044B1" w:rsidRDefault="00000000">
            <w:r>
              <w:rPr>
                <w:b/>
                <w:bCs/>
                <w:color w:val="FFFFFF"/>
                <w:sz w:val="19"/>
                <w:szCs w:val="19"/>
              </w:rPr>
              <w:t>% of MINA Yr 1</w:t>
            </w:r>
          </w:p>
        </w:tc>
      </w:tr>
      <w:tr w:rsidR="004044B1" w14:paraId="147E230B" w14:textId="77777777">
        <w:tc>
          <w:tcPr>
            <w:tcW w:w="2600" w:type="dxa"/>
            <w:tcBorders>
              <w:top w:val="single" w:sz="1" w:space="0" w:color="CCCCCC"/>
              <w:left w:val="single" w:sz="1" w:space="0" w:color="CCCCCC"/>
              <w:bottom w:val="single" w:sz="1" w:space="0" w:color="CCCCCC"/>
              <w:right w:val="single" w:sz="1" w:space="0" w:color="CCCCCC"/>
            </w:tcBorders>
            <w:shd w:val="clear" w:color="auto" w:fill="FFFFFF"/>
            <w:tcMar>
              <w:top w:w="80" w:type="dxa"/>
              <w:left w:w="120" w:type="dxa"/>
              <w:bottom w:w="80" w:type="dxa"/>
              <w:right w:w="120" w:type="dxa"/>
            </w:tcMar>
          </w:tcPr>
          <w:p w14:paraId="497CF9CF" w14:textId="77777777" w:rsidR="004044B1" w:rsidRDefault="00000000">
            <w:r>
              <w:rPr>
                <w:b/>
                <w:bCs/>
                <w:sz w:val="19"/>
                <w:szCs w:val="19"/>
              </w:rPr>
              <w:t>Pure FGPs (fabless semis, consumer electronics)</w:t>
            </w:r>
          </w:p>
        </w:tc>
        <w:tc>
          <w:tcPr>
            <w:tcW w:w="1400" w:type="dxa"/>
            <w:tcBorders>
              <w:top w:val="single" w:sz="1" w:space="0" w:color="CCCCCC"/>
              <w:left w:val="single" w:sz="1" w:space="0" w:color="CCCCCC"/>
              <w:bottom w:val="single" w:sz="1" w:space="0" w:color="CCCCCC"/>
              <w:right w:val="single" w:sz="1" w:space="0" w:color="CCCCCC"/>
            </w:tcBorders>
            <w:shd w:val="clear" w:color="auto" w:fill="FFFFFF"/>
            <w:tcMar>
              <w:top w:w="80" w:type="dxa"/>
              <w:left w:w="120" w:type="dxa"/>
              <w:bottom w:w="80" w:type="dxa"/>
              <w:right w:w="120" w:type="dxa"/>
            </w:tcMar>
          </w:tcPr>
          <w:p w14:paraId="5A88529D" w14:textId="77777777" w:rsidR="004044B1" w:rsidRDefault="00000000">
            <w:r>
              <w:rPr>
                <w:sz w:val="19"/>
                <w:szCs w:val="19"/>
              </w:rPr>
              <w:t>$80–120</w:t>
            </w:r>
          </w:p>
        </w:tc>
        <w:tc>
          <w:tcPr>
            <w:tcW w:w="1000" w:type="dxa"/>
            <w:tcBorders>
              <w:top w:val="single" w:sz="1" w:space="0" w:color="CCCCCC"/>
              <w:left w:val="single" w:sz="1" w:space="0" w:color="CCCCCC"/>
              <w:bottom w:val="single" w:sz="1" w:space="0" w:color="CCCCCC"/>
              <w:right w:val="single" w:sz="1" w:space="0" w:color="CCCCCC"/>
            </w:tcBorders>
            <w:shd w:val="clear" w:color="auto" w:fill="FFFFFF"/>
            <w:tcMar>
              <w:top w:w="80" w:type="dxa"/>
              <w:left w:w="120" w:type="dxa"/>
              <w:bottom w:w="80" w:type="dxa"/>
              <w:right w:w="120" w:type="dxa"/>
            </w:tcMar>
          </w:tcPr>
          <w:p w14:paraId="3AD637C3" w14:textId="77777777" w:rsidR="004044B1" w:rsidRDefault="00000000">
            <w:r>
              <w:rPr>
                <w:sz w:val="19"/>
                <w:szCs w:val="19"/>
              </w:rPr>
              <w:t>22–35%</w:t>
            </w:r>
          </w:p>
        </w:tc>
        <w:tc>
          <w:tcPr>
            <w:tcW w:w="1200" w:type="dxa"/>
            <w:tcBorders>
              <w:top w:val="single" w:sz="1" w:space="0" w:color="CCCCCC"/>
              <w:left w:val="single" w:sz="1" w:space="0" w:color="CCCCCC"/>
              <w:bottom w:val="single" w:sz="1" w:space="0" w:color="CCCCCC"/>
              <w:right w:val="single" w:sz="1" w:space="0" w:color="CCCCCC"/>
            </w:tcBorders>
            <w:shd w:val="clear" w:color="auto" w:fill="FFFFFF"/>
            <w:tcMar>
              <w:top w:w="80" w:type="dxa"/>
              <w:left w:w="120" w:type="dxa"/>
              <w:bottom w:w="80" w:type="dxa"/>
              <w:right w:w="120" w:type="dxa"/>
            </w:tcMar>
          </w:tcPr>
          <w:p w14:paraId="47260ECD" w14:textId="77777777" w:rsidR="004044B1" w:rsidRDefault="00000000">
            <w:r>
              <w:rPr>
                <w:sz w:val="19"/>
                <w:szCs w:val="19"/>
              </w:rPr>
              <w:t>0.23–0.40</w:t>
            </w:r>
          </w:p>
        </w:tc>
        <w:tc>
          <w:tcPr>
            <w:tcW w:w="1180" w:type="dxa"/>
            <w:tcBorders>
              <w:top w:val="single" w:sz="1" w:space="0" w:color="CCCCCC"/>
              <w:left w:val="single" w:sz="1" w:space="0" w:color="CCCCCC"/>
              <w:bottom w:val="single" w:sz="1" w:space="0" w:color="CCCCCC"/>
              <w:right w:val="single" w:sz="1" w:space="0" w:color="CCCCCC"/>
            </w:tcBorders>
            <w:shd w:val="clear" w:color="auto" w:fill="FFFFFF"/>
            <w:tcMar>
              <w:top w:w="80" w:type="dxa"/>
              <w:left w:w="120" w:type="dxa"/>
              <w:bottom w:w="80" w:type="dxa"/>
              <w:right w:w="120" w:type="dxa"/>
            </w:tcMar>
          </w:tcPr>
          <w:p w14:paraId="1A12BBF2" w14:textId="77777777" w:rsidR="004044B1" w:rsidRDefault="00000000">
            <w:r>
              <w:rPr>
                <w:sz w:val="19"/>
                <w:szCs w:val="19"/>
              </w:rPr>
              <w:t>$1.2–3.0</w:t>
            </w:r>
          </w:p>
        </w:tc>
        <w:tc>
          <w:tcPr>
            <w:tcW w:w="1980" w:type="dxa"/>
            <w:tcBorders>
              <w:top w:val="single" w:sz="1" w:space="0" w:color="CCCCCC"/>
              <w:left w:val="single" w:sz="1" w:space="0" w:color="CCCCCC"/>
              <w:bottom w:val="single" w:sz="1" w:space="0" w:color="CCCCCC"/>
              <w:right w:val="single" w:sz="1" w:space="0" w:color="CCCCCC"/>
            </w:tcBorders>
            <w:shd w:val="clear" w:color="auto" w:fill="FFFFFF"/>
            <w:tcMar>
              <w:top w:w="80" w:type="dxa"/>
              <w:left w:w="120" w:type="dxa"/>
              <w:bottom w:w="80" w:type="dxa"/>
              <w:right w:w="120" w:type="dxa"/>
            </w:tcMar>
          </w:tcPr>
          <w:p w14:paraId="5BC0F4D9" w14:textId="77777777" w:rsidR="004044B1" w:rsidRDefault="00000000">
            <w:r>
              <w:rPr>
                <w:sz w:val="19"/>
                <w:szCs w:val="19"/>
              </w:rPr>
              <w:t>1.3–3.3%</w:t>
            </w:r>
          </w:p>
        </w:tc>
      </w:tr>
      <w:tr w:rsidR="004044B1" w14:paraId="7AFF649B" w14:textId="77777777">
        <w:tc>
          <w:tcPr>
            <w:tcW w:w="2600" w:type="dxa"/>
            <w:tcBorders>
              <w:top w:val="single" w:sz="1" w:space="0" w:color="CCCCCC"/>
              <w:left w:val="single" w:sz="1" w:space="0" w:color="CCCCCC"/>
              <w:bottom w:val="single" w:sz="1" w:space="0" w:color="CCCCCC"/>
              <w:right w:val="single" w:sz="1" w:space="0" w:color="CCCCCC"/>
            </w:tcBorders>
            <w:shd w:val="clear" w:color="auto" w:fill="F5F7FA"/>
            <w:tcMar>
              <w:top w:w="80" w:type="dxa"/>
              <w:left w:w="120" w:type="dxa"/>
              <w:bottom w:w="80" w:type="dxa"/>
              <w:right w:w="120" w:type="dxa"/>
            </w:tcMar>
          </w:tcPr>
          <w:p w14:paraId="46131A4A" w14:textId="77777777" w:rsidR="004044B1" w:rsidRDefault="00000000">
            <w:r>
              <w:rPr>
                <w:b/>
                <w:bCs/>
                <w:sz w:val="19"/>
                <w:szCs w:val="19"/>
              </w:rPr>
              <w:t>Hybrid FGPs (partial domestic production)</w:t>
            </w:r>
          </w:p>
        </w:tc>
        <w:tc>
          <w:tcPr>
            <w:tcW w:w="1400" w:type="dxa"/>
            <w:tcBorders>
              <w:top w:val="single" w:sz="1" w:space="0" w:color="CCCCCC"/>
              <w:left w:val="single" w:sz="1" w:space="0" w:color="CCCCCC"/>
              <w:bottom w:val="single" w:sz="1" w:space="0" w:color="CCCCCC"/>
              <w:right w:val="single" w:sz="1" w:space="0" w:color="CCCCCC"/>
            </w:tcBorders>
            <w:shd w:val="clear" w:color="auto" w:fill="F5F7FA"/>
            <w:tcMar>
              <w:top w:w="80" w:type="dxa"/>
              <w:left w:w="120" w:type="dxa"/>
              <w:bottom w:w="80" w:type="dxa"/>
              <w:right w:w="120" w:type="dxa"/>
            </w:tcMar>
          </w:tcPr>
          <w:p w14:paraId="65E452AF" w14:textId="77777777" w:rsidR="004044B1" w:rsidRDefault="00000000">
            <w:r>
              <w:rPr>
                <w:sz w:val="19"/>
                <w:szCs w:val="19"/>
              </w:rPr>
              <w:t>$100–180</w:t>
            </w:r>
          </w:p>
        </w:tc>
        <w:tc>
          <w:tcPr>
            <w:tcW w:w="1000" w:type="dxa"/>
            <w:tcBorders>
              <w:top w:val="single" w:sz="1" w:space="0" w:color="CCCCCC"/>
              <w:left w:val="single" w:sz="1" w:space="0" w:color="CCCCCC"/>
              <w:bottom w:val="single" w:sz="1" w:space="0" w:color="CCCCCC"/>
              <w:right w:val="single" w:sz="1" w:space="0" w:color="CCCCCC"/>
            </w:tcBorders>
            <w:shd w:val="clear" w:color="auto" w:fill="F5F7FA"/>
            <w:tcMar>
              <w:top w:w="80" w:type="dxa"/>
              <w:left w:w="120" w:type="dxa"/>
              <w:bottom w:w="80" w:type="dxa"/>
              <w:right w:w="120" w:type="dxa"/>
            </w:tcMar>
          </w:tcPr>
          <w:p w14:paraId="0345008F" w14:textId="77777777" w:rsidR="004044B1" w:rsidRDefault="00000000">
            <w:r>
              <w:rPr>
                <w:sz w:val="19"/>
                <w:szCs w:val="19"/>
              </w:rPr>
              <w:t>40–60%</w:t>
            </w:r>
          </w:p>
        </w:tc>
        <w:tc>
          <w:tcPr>
            <w:tcW w:w="1200" w:type="dxa"/>
            <w:tcBorders>
              <w:top w:val="single" w:sz="1" w:space="0" w:color="CCCCCC"/>
              <w:left w:val="single" w:sz="1" w:space="0" w:color="CCCCCC"/>
              <w:bottom w:val="single" w:sz="1" w:space="0" w:color="CCCCCC"/>
              <w:right w:val="single" w:sz="1" w:space="0" w:color="CCCCCC"/>
            </w:tcBorders>
            <w:shd w:val="clear" w:color="auto" w:fill="F5F7FA"/>
            <w:tcMar>
              <w:top w:w="80" w:type="dxa"/>
              <w:left w:w="120" w:type="dxa"/>
              <w:bottom w:w="80" w:type="dxa"/>
              <w:right w:w="120" w:type="dxa"/>
            </w:tcMar>
          </w:tcPr>
          <w:p w14:paraId="09332088" w14:textId="77777777" w:rsidR="004044B1" w:rsidRDefault="00000000">
            <w:r>
              <w:rPr>
                <w:sz w:val="19"/>
                <w:szCs w:val="19"/>
              </w:rPr>
              <w:t>0.47–0.73</w:t>
            </w:r>
          </w:p>
        </w:tc>
        <w:tc>
          <w:tcPr>
            <w:tcW w:w="1180" w:type="dxa"/>
            <w:tcBorders>
              <w:top w:val="single" w:sz="1" w:space="0" w:color="CCCCCC"/>
              <w:left w:val="single" w:sz="1" w:space="0" w:color="CCCCCC"/>
              <w:bottom w:val="single" w:sz="1" w:space="0" w:color="CCCCCC"/>
              <w:right w:val="single" w:sz="1" w:space="0" w:color="CCCCCC"/>
            </w:tcBorders>
            <w:shd w:val="clear" w:color="auto" w:fill="F5F7FA"/>
            <w:tcMar>
              <w:top w:w="80" w:type="dxa"/>
              <w:left w:w="120" w:type="dxa"/>
              <w:bottom w:w="80" w:type="dxa"/>
              <w:right w:w="120" w:type="dxa"/>
            </w:tcMar>
          </w:tcPr>
          <w:p w14:paraId="0973A5D4" w14:textId="77777777" w:rsidR="004044B1" w:rsidRDefault="00000000">
            <w:r>
              <w:rPr>
                <w:sz w:val="19"/>
                <w:szCs w:val="19"/>
              </w:rPr>
              <w:t>$3.5–8.0</w:t>
            </w:r>
          </w:p>
        </w:tc>
        <w:tc>
          <w:tcPr>
            <w:tcW w:w="1980" w:type="dxa"/>
            <w:tcBorders>
              <w:top w:val="single" w:sz="1" w:space="0" w:color="CCCCCC"/>
              <w:left w:val="single" w:sz="1" w:space="0" w:color="CCCCCC"/>
              <w:bottom w:val="single" w:sz="1" w:space="0" w:color="CCCCCC"/>
              <w:right w:val="single" w:sz="1" w:space="0" w:color="CCCCCC"/>
            </w:tcBorders>
            <w:shd w:val="clear" w:color="auto" w:fill="F5F7FA"/>
            <w:tcMar>
              <w:top w:w="80" w:type="dxa"/>
              <w:left w:w="120" w:type="dxa"/>
              <w:bottom w:w="80" w:type="dxa"/>
              <w:right w:w="120" w:type="dxa"/>
            </w:tcMar>
          </w:tcPr>
          <w:p w14:paraId="34AD64C3" w14:textId="77777777" w:rsidR="004044B1" w:rsidRDefault="00000000">
            <w:r>
              <w:rPr>
                <w:sz w:val="19"/>
                <w:szCs w:val="19"/>
              </w:rPr>
              <w:t>3.9–8.9%</w:t>
            </w:r>
          </w:p>
        </w:tc>
      </w:tr>
      <w:tr w:rsidR="004044B1" w14:paraId="44CB1D9B" w14:textId="77777777">
        <w:tc>
          <w:tcPr>
            <w:tcW w:w="2600" w:type="dxa"/>
            <w:tcBorders>
              <w:top w:val="single" w:sz="1" w:space="0" w:color="CCCCCC"/>
              <w:left w:val="single" w:sz="1" w:space="0" w:color="CCCCCC"/>
              <w:bottom w:val="single" w:sz="1" w:space="0" w:color="CCCCCC"/>
              <w:right w:val="single" w:sz="1" w:space="0" w:color="CCCCCC"/>
            </w:tcBorders>
            <w:shd w:val="clear" w:color="auto" w:fill="FFFFFF"/>
            <w:tcMar>
              <w:top w:w="80" w:type="dxa"/>
              <w:left w:w="120" w:type="dxa"/>
              <w:bottom w:w="80" w:type="dxa"/>
              <w:right w:w="120" w:type="dxa"/>
            </w:tcMar>
          </w:tcPr>
          <w:p w14:paraId="32C38A77" w14:textId="77777777" w:rsidR="004044B1" w:rsidRDefault="00000000">
            <w:r>
              <w:rPr>
                <w:b/>
                <w:bCs/>
                <w:sz w:val="19"/>
                <w:szCs w:val="19"/>
              </w:rPr>
              <w:t>Total FGP Credit Claims</w:t>
            </w:r>
          </w:p>
        </w:tc>
        <w:tc>
          <w:tcPr>
            <w:tcW w:w="1400" w:type="dxa"/>
            <w:tcBorders>
              <w:top w:val="single" w:sz="1" w:space="0" w:color="CCCCCC"/>
              <w:left w:val="single" w:sz="1" w:space="0" w:color="CCCCCC"/>
              <w:bottom w:val="single" w:sz="1" w:space="0" w:color="CCCCCC"/>
              <w:right w:val="single" w:sz="1" w:space="0" w:color="CCCCCC"/>
            </w:tcBorders>
            <w:shd w:val="clear" w:color="auto" w:fill="FFFFFF"/>
            <w:tcMar>
              <w:top w:w="80" w:type="dxa"/>
              <w:left w:w="120" w:type="dxa"/>
              <w:bottom w:w="80" w:type="dxa"/>
              <w:right w:w="120" w:type="dxa"/>
            </w:tcMar>
          </w:tcPr>
          <w:p w14:paraId="12A3D053" w14:textId="77777777" w:rsidR="004044B1" w:rsidRDefault="00000000">
            <w:r>
              <w:rPr>
                <w:sz w:val="19"/>
                <w:szCs w:val="19"/>
              </w:rPr>
              <w:t>$180–300</w:t>
            </w:r>
          </w:p>
        </w:tc>
        <w:tc>
          <w:tcPr>
            <w:tcW w:w="1000" w:type="dxa"/>
            <w:tcBorders>
              <w:top w:val="single" w:sz="1" w:space="0" w:color="CCCCCC"/>
              <w:left w:val="single" w:sz="1" w:space="0" w:color="CCCCCC"/>
              <w:bottom w:val="single" w:sz="1" w:space="0" w:color="CCCCCC"/>
              <w:right w:val="single" w:sz="1" w:space="0" w:color="CCCCCC"/>
            </w:tcBorders>
            <w:shd w:val="clear" w:color="auto" w:fill="FFFFFF"/>
            <w:tcMar>
              <w:top w:w="80" w:type="dxa"/>
              <w:left w:w="120" w:type="dxa"/>
              <w:bottom w:w="80" w:type="dxa"/>
              <w:right w:w="120" w:type="dxa"/>
            </w:tcMar>
          </w:tcPr>
          <w:p w14:paraId="317BB281" w14:textId="77777777" w:rsidR="004044B1" w:rsidRDefault="00000000">
            <w:r>
              <w:rPr>
                <w:sz w:val="19"/>
                <w:szCs w:val="19"/>
              </w:rPr>
              <w:t>—</w:t>
            </w:r>
          </w:p>
        </w:tc>
        <w:tc>
          <w:tcPr>
            <w:tcW w:w="1200" w:type="dxa"/>
            <w:tcBorders>
              <w:top w:val="single" w:sz="1" w:space="0" w:color="CCCCCC"/>
              <w:left w:val="single" w:sz="1" w:space="0" w:color="CCCCCC"/>
              <w:bottom w:val="single" w:sz="1" w:space="0" w:color="CCCCCC"/>
              <w:right w:val="single" w:sz="1" w:space="0" w:color="CCCCCC"/>
            </w:tcBorders>
            <w:shd w:val="clear" w:color="auto" w:fill="FFFFFF"/>
            <w:tcMar>
              <w:top w:w="80" w:type="dxa"/>
              <w:left w:w="120" w:type="dxa"/>
              <w:bottom w:w="80" w:type="dxa"/>
              <w:right w:w="120" w:type="dxa"/>
            </w:tcMar>
          </w:tcPr>
          <w:p w14:paraId="717BDB19" w14:textId="77777777" w:rsidR="004044B1" w:rsidRDefault="00000000">
            <w:r>
              <w:rPr>
                <w:sz w:val="19"/>
                <w:szCs w:val="19"/>
              </w:rPr>
              <w:t>—</w:t>
            </w:r>
          </w:p>
        </w:tc>
        <w:tc>
          <w:tcPr>
            <w:tcW w:w="1180" w:type="dxa"/>
            <w:tcBorders>
              <w:top w:val="single" w:sz="1" w:space="0" w:color="CCCCCC"/>
              <w:left w:val="single" w:sz="1" w:space="0" w:color="CCCCCC"/>
              <w:bottom w:val="single" w:sz="1" w:space="0" w:color="CCCCCC"/>
              <w:right w:val="single" w:sz="1" w:space="0" w:color="CCCCCC"/>
            </w:tcBorders>
            <w:shd w:val="clear" w:color="auto" w:fill="FFFFFF"/>
            <w:tcMar>
              <w:top w:w="80" w:type="dxa"/>
              <w:left w:w="120" w:type="dxa"/>
              <w:bottom w:w="80" w:type="dxa"/>
              <w:right w:w="120" w:type="dxa"/>
            </w:tcMar>
          </w:tcPr>
          <w:p w14:paraId="37913EED" w14:textId="77777777" w:rsidR="004044B1" w:rsidRDefault="00000000">
            <w:r>
              <w:rPr>
                <w:sz w:val="19"/>
                <w:szCs w:val="19"/>
              </w:rPr>
              <w:t>$5–11</w:t>
            </w:r>
          </w:p>
        </w:tc>
        <w:tc>
          <w:tcPr>
            <w:tcW w:w="1980" w:type="dxa"/>
            <w:tcBorders>
              <w:top w:val="single" w:sz="1" w:space="0" w:color="CCCCCC"/>
              <w:left w:val="single" w:sz="1" w:space="0" w:color="CCCCCC"/>
              <w:bottom w:val="single" w:sz="1" w:space="0" w:color="CCCCCC"/>
              <w:right w:val="single" w:sz="1" w:space="0" w:color="CCCCCC"/>
            </w:tcBorders>
            <w:shd w:val="clear" w:color="auto" w:fill="FFFFFF"/>
            <w:tcMar>
              <w:top w:w="80" w:type="dxa"/>
              <w:left w:w="120" w:type="dxa"/>
              <w:bottom w:w="80" w:type="dxa"/>
              <w:right w:w="120" w:type="dxa"/>
            </w:tcMar>
          </w:tcPr>
          <w:p w14:paraId="5A27D2B4" w14:textId="77777777" w:rsidR="004044B1" w:rsidRDefault="00000000">
            <w:r>
              <w:rPr>
                <w:sz w:val="19"/>
                <w:szCs w:val="19"/>
              </w:rPr>
              <w:t>5–12%</w:t>
            </w:r>
          </w:p>
        </w:tc>
      </w:tr>
    </w:tbl>
    <w:p w14:paraId="3F3B9176" w14:textId="77777777" w:rsidR="004044B1" w:rsidRDefault="004044B1">
      <w:pPr>
        <w:spacing w:before="80" w:after="80"/>
      </w:pPr>
    </w:p>
    <w:p w14:paraId="6B4820A6" w14:textId="77777777" w:rsidR="004044B1" w:rsidRDefault="00000000">
      <w:pPr>
        <w:spacing w:before="80" w:after="120"/>
      </w:pPr>
      <w:r>
        <w:t>At an estimated $5–11 billion per year (5–12% of Year 1 MINA cost), FGP credit claims represent a modest but non-trivial share of total program cost. Over the 10-year scoring window, the cumulative FGP credit claim is approximately $60–140 billion of the $1,028–1,127 billion MINA total.</w:t>
      </w:r>
    </w:p>
    <w:p w14:paraId="491976C4" w14:textId="77777777" w:rsidR="004044B1" w:rsidRDefault="00000000">
      <w:pPr>
        <w:spacing w:before="200" w:after="100"/>
      </w:pPr>
      <w:r>
        <w:rPr>
          <w:b/>
          <w:bCs/>
          <w:color w:val="1F3864"/>
          <w:sz w:val="24"/>
          <w:szCs w:val="24"/>
        </w:rPr>
        <w:t>Asymmetric Impact on Benefits</w:t>
      </w:r>
    </w:p>
    <w:p w14:paraId="70EE1DC8" w14:textId="77777777" w:rsidR="004044B1" w:rsidRDefault="00000000">
      <w:pPr>
        <w:spacing w:before="80" w:after="120"/>
      </w:pPr>
      <w:r>
        <w:t>The FGP issue affects the benefits side of the model more than the cost side, creating an asymmetric bias. The NAM/IMPLAN manufacturing multiplier of 2.74× is calibrated to factory-based production. FGP domestic activity has a multiplier profile more comparable to professional services (estimated 1.8–2.2×). The jobs multiplier of 4.0× is significantly overstated for FGP activity: an additional $1 million in credit to Apple does not create 4 manufacturing-adjacent jobs the way $1 million in credit to a domestic machine tool company does. The trade balance improvement estimate assumes credits drive domestic production expansion and import substitution—logic that applies to physical manufacturers but largely does not apply to pure FGPs.</w:t>
      </w:r>
    </w:p>
    <w:p w14:paraId="79F98707" w14:textId="77777777" w:rsidR="004044B1" w:rsidRDefault="00000000">
      <w:pPr>
        <w:spacing w:before="80" w:after="120"/>
      </w:pPr>
      <w:r>
        <w:t>Net effect: benefits are likely overstated by 10–18% due to FGP inclusion, compared to 5–12% overstatement on the cost side. The adjusted ROI range would be approximately 1.2–2.7× (vs. the current 1.5–3.2×). This remains a strongly positive return on investment.</w:t>
      </w:r>
    </w:p>
    <w:p w14:paraId="74BDFDAB" w14:textId="77777777" w:rsidR="004044B1" w:rsidRDefault="00000000">
      <w:pPr>
        <w:pStyle w:val="Heading2"/>
      </w:pPr>
      <w:r>
        <w:t>H. Reshoring Incentive Design: How to Change FGP Behavior</w:t>
      </w:r>
    </w:p>
    <w:p w14:paraId="37B97924" w14:textId="77777777" w:rsidR="004044B1" w:rsidRDefault="00000000">
      <w:pPr>
        <w:spacing w:before="80" w:after="120"/>
      </w:pPr>
      <w:r>
        <w:t xml:space="preserve">A flat DVA incentive does not solve the reshoring problem for FGPs—it rewards current behavior, not changed behavior. An FGP already using domestic suppliers gets the credit </w:t>
      </w:r>
      <w:r>
        <w:lastRenderedPageBreak/>
        <w:t>regardless of whether the policy influenced that decision. The right question is how to design the incentive so that it changes the sourcing calculus for FGPs currently using foreign contract manufacturers. Four mechanisms warrant consideration:</w:t>
      </w:r>
    </w:p>
    <w:p w14:paraId="616922D5" w14:textId="77777777" w:rsidR="004044B1" w:rsidRDefault="00000000">
      <w:pPr>
        <w:spacing w:before="200" w:after="100"/>
      </w:pPr>
      <w:r>
        <w:rPr>
          <w:b/>
          <w:bCs/>
          <w:color w:val="1F3864"/>
          <w:sz w:val="24"/>
          <w:szCs w:val="24"/>
        </w:rPr>
        <w:t>1. DVA Ratchet / Improvement Bonus</w:t>
      </w:r>
    </w:p>
    <w:p w14:paraId="196A2D88" w14:textId="77777777" w:rsidR="004044B1" w:rsidRDefault="00000000">
      <w:pPr>
        <w:spacing w:before="80" w:after="120"/>
      </w:pPr>
      <w:r>
        <w:t>Rather than (or in addition to) a flat DVA rate credit, add an incremental DVA credit that rewards year-over-year improvement in the DVA ratio. An FGP at 20% DVA today that moves to 35% DVA over three years receives a bonus rate on the increment. This directly incentivizes reshoring decisions rather than rewarding incumbents. The mechanism is consistent with MINA’s rate structure and simply requires that it be made explicit for FGP activity.</w:t>
      </w:r>
    </w:p>
    <w:p w14:paraId="19618051" w14:textId="77777777" w:rsidR="004044B1" w:rsidRDefault="00000000">
      <w:pPr>
        <w:spacing w:before="200" w:after="100"/>
      </w:pPr>
      <w:r>
        <w:rPr>
          <w:b/>
          <w:bCs/>
          <w:color w:val="1F3864"/>
          <w:sz w:val="24"/>
          <w:szCs w:val="24"/>
        </w:rPr>
        <w:t>2. Domestic CM Passthrough / Attribution</w:t>
      </w:r>
    </w:p>
    <w:p w14:paraId="4C8468F5" w14:textId="77777777" w:rsidR="004044B1" w:rsidRDefault="00000000">
      <w:pPr>
        <w:spacing w:before="80" w:after="120"/>
      </w:pPr>
      <w:r>
        <w:t>Allow an FGP to count DVA generated by its domestic contract manufacturers in proportion to its purchasing volume from them, with the FGP and CM sharing the credit. This directly incentivizes the FGP to select domestic CMs over foreign ones. The FGP’s DVA ratio improves immediately when it switches from TSMC to an Intel Foundry or GlobalFoundries, creating a hard financial incentive to reshore sourcing. Double-counting is managed by limiting the FGP’s attributed share to the cost-of-goods component only, with the CM retaining its own full DVA credit on the same production.</w:t>
      </w:r>
    </w:p>
    <w:p w14:paraId="0EBB6E6D" w14:textId="77777777" w:rsidR="004044B1" w:rsidRDefault="00000000">
      <w:pPr>
        <w:spacing w:before="200" w:after="100"/>
      </w:pPr>
      <w:r>
        <w:rPr>
          <w:b/>
          <w:bCs/>
          <w:color w:val="1F3864"/>
          <w:sz w:val="24"/>
          <w:szCs w:val="24"/>
        </w:rPr>
        <w:t>3. Strategic Sector Weighting for Reshoring Commitments</w:t>
      </w:r>
    </w:p>
    <w:p w14:paraId="478802E5" w14:textId="77777777" w:rsidR="004044B1" w:rsidRDefault="00000000">
      <w:pPr>
        <w:spacing w:before="80" w:after="120"/>
      </w:pPr>
      <w:r>
        <w:t>Under DO IT NOW Act, FGPs in designated strategic sectors could receive enhanced rates specifically tied to domestic CM sourcing commitments—effectively a contract-for-credit structure where the FGP certifies a multi-year domestic sourcing agreement in exchange for a higher DVA rate. This creates durability: the FGP cannot take the credit for a single year’s domestic purchase and then reoffshore.</w:t>
      </w:r>
    </w:p>
    <w:p w14:paraId="47E3E6FA" w14:textId="77777777" w:rsidR="004044B1" w:rsidRDefault="00000000">
      <w:pPr>
        <w:spacing w:before="200" w:after="100"/>
      </w:pPr>
      <w:r>
        <w:rPr>
          <w:b/>
          <w:bCs/>
          <w:color w:val="1F3864"/>
          <w:sz w:val="24"/>
          <w:szCs w:val="24"/>
        </w:rPr>
        <w:t>4. Active vs. Passive FGP Distinction</w:t>
      </w:r>
    </w:p>
    <w:p w14:paraId="0D20F238" w14:textId="77777777" w:rsidR="004044B1" w:rsidRDefault="00000000">
      <w:pPr>
        <w:spacing w:before="80" w:after="120"/>
      </w:pPr>
      <w:r>
        <w:t>The cleanest structural distinction is between active FGPs (which direct production specifications, own WIP inventory, bear production risk, and make active CM sourcing decisions) and passive IP licensors (which simply collect royalties with no role in production decisions). Active FGPs qualify; passive IP holders do not. This mirrors the ECPC’s own 2011 classification rationale—the entrepreneurial aspects of production, including economic ownership, are what make an FGP a manufacturer.</w:t>
      </w:r>
    </w:p>
    <w:p w14:paraId="43F90950" w14:textId="77777777" w:rsidR="004044B1" w:rsidRDefault="00000000">
      <w:pPr>
        <w:pStyle w:val="Heading2"/>
      </w:pPr>
      <w:r>
        <w:t>I. Legislative Options</w:t>
      </w:r>
    </w:p>
    <w:p w14:paraId="43E71A07" w14:textId="77777777" w:rsidR="004044B1" w:rsidRDefault="00000000">
      <w:pPr>
        <w:spacing w:before="80" w:after="120"/>
      </w:pPr>
      <w:r>
        <w:t>The FGP issue presents a definitional challenge that can be addressed through the Four-Bill Package’s statutory text, independent of the unresolved NAICS classification debate. Three options are presented below.</w:t>
      </w:r>
    </w:p>
    <w:p w14:paraId="13DE61D3" w14:textId="77777777" w:rsidR="004044B1" w:rsidRDefault="00000000">
      <w:pPr>
        <w:spacing w:before="200" w:after="100"/>
      </w:pPr>
      <w:r>
        <w:rPr>
          <w:b/>
          <w:bCs/>
          <w:color w:val="1F3864"/>
          <w:sz w:val="24"/>
          <w:szCs w:val="24"/>
        </w:rPr>
        <w:t>Option A: Physical Transformation Requirement (Strictest)</w:t>
      </w:r>
    </w:p>
    <w:p w14:paraId="555BA8FA" w14:textId="77777777" w:rsidR="004044B1" w:rsidRDefault="00000000">
      <w:pPr>
        <w:spacing w:before="80" w:after="120"/>
      </w:pPr>
      <w:r>
        <w:t>Add language to §38A defining “domestic value-added costs” to mean costs directly attributable to the physical domestic production and transformation of goods. Specifically exclude: R&amp;D and product development costs not performed in a production facility, marketing and brand management costs, general and administrative headquarters overhead, and distribution and logistics costs not directly associated with a manufacturing establishment.</w:t>
      </w:r>
    </w:p>
    <w:tbl>
      <w:tblPr>
        <w:tblW w:w="936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0" w:type="dxa"/>
          <w:right w:w="10" w:type="dxa"/>
        </w:tblCellMar>
        <w:tblLook w:val="0000" w:firstRow="0" w:lastRow="0" w:firstColumn="0" w:lastColumn="0" w:noHBand="0" w:noVBand="0"/>
      </w:tblPr>
      <w:tblGrid>
        <w:gridCol w:w="9360"/>
      </w:tblGrid>
      <w:tr w:rsidR="004044B1" w14:paraId="7EE6FF0F" w14:textId="77777777">
        <w:tc>
          <w:tcPr>
            <w:tcW w:w="9360" w:type="dxa"/>
            <w:tcBorders>
              <w:left w:val="single" w:sz="12" w:space="0" w:color="2E75B6"/>
            </w:tcBorders>
            <w:shd w:val="clear" w:color="auto" w:fill="F5F8FF"/>
            <w:tcMar>
              <w:top w:w="80" w:type="dxa"/>
              <w:left w:w="240" w:type="dxa"/>
              <w:bottom w:w="80" w:type="dxa"/>
              <w:right w:w="120" w:type="dxa"/>
            </w:tcMar>
          </w:tcPr>
          <w:p w14:paraId="386E6A0B" w14:textId="77777777" w:rsidR="004044B1" w:rsidRDefault="00000000">
            <w:pPr>
              <w:spacing w:before="40" w:after="40"/>
            </w:pPr>
            <w:r>
              <w:rPr>
                <w:i/>
                <w:iCs/>
              </w:rPr>
              <w:lastRenderedPageBreak/>
              <w:t>Proposed statutory language (§38A(d)(1)(C)): “For purposes of this section, ‘qualifying domestic value-added costs’ means costs directly attributable to the physical transformation of tangible materials into finished or semi-finished goods at a domestic manufacturing establishment, including production labor compensation, domestic raw material and component purchases, energy consumed in production, equipment depreciation on domestically deployed production assets, and quality control and production engineering performed at or for a domestic production facility.”</w:t>
            </w:r>
          </w:p>
        </w:tc>
      </w:tr>
    </w:tbl>
    <w:p w14:paraId="7ED3E532" w14:textId="77777777" w:rsidR="004044B1" w:rsidRDefault="00000000">
      <w:pPr>
        <w:spacing w:before="80" w:after="120"/>
      </w:pPr>
      <w:r>
        <w:t>Effect: Would functionally exclude most pure FGP credit claims (reducing claims by ~$1–3B/yr). This is the cleanest approach for CBO scoring—it aligns the credit base with physical manufacturing activity. Risk: May face opposition from the semiconductor industry, where domestic R&amp;D is the primary domestic activity, and could inadvertently penalize manufacturers with R&amp;D-intensive domestic footprints.</w:t>
      </w:r>
    </w:p>
    <w:p w14:paraId="220CAE05" w14:textId="77777777" w:rsidR="004044B1" w:rsidRDefault="00000000">
      <w:pPr>
        <w:spacing w:before="200" w:after="100"/>
      </w:pPr>
      <w:r>
        <w:rPr>
          <w:b/>
          <w:bCs/>
          <w:color w:val="1F3864"/>
          <w:sz w:val="24"/>
          <w:szCs w:val="24"/>
        </w:rPr>
        <w:t>Option B: Tiered Credit Rate (Recommended)</w:t>
      </w:r>
    </w:p>
    <w:p w14:paraId="5B7CBD39" w14:textId="77777777" w:rsidR="004044B1" w:rsidRDefault="00000000">
      <w:pPr>
        <w:spacing w:before="80" w:after="120"/>
      </w:pPr>
      <w:r>
        <w:t>Allow FGP domestic activity (R&amp;D, design, IP development) to qualify for the MINA credit, but at a reduced rate that recognizes its economic character differs from physical production.</w:t>
      </w:r>
    </w:p>
    <w:p w14:paraId="5B741184" w14:textId="77777777" w:rsidR="004044B1" w:rsidRDefault="004044B1">
      <w:pPr>
        <w:spacing w:before="80" w:after="80"/>
      </w:pPr>
    </w:p>
    <w:tbl>
      <w:tblPr>
        <w:tblW w:w="936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0" w:type="dxa"/>
          <w:right w:w="10" w:type="dxa"/>
        </w:tblCellMar>
        <w:tblLook w:val="0000" w:firstRow="0" w:lastRow="0" w:firstColumn="0" w:lastColumn="0" w:noHBand="0" w:noVBand="0"/>
      </w:tblPr>
      <w:tblGrid>
        <w:gridCol w:w="3200"/>
        <w:gridCol w:w="1320"/>
        <w:gridCol w:w="1440"/>
        <w:gridCol w:w="3400"/>
      </w:tblGrid>
      <w:tr w:rsidR="004044B1" w14:paraId="00160988" w14:textId="77777777">
        <w:trPr>
          <w:tblHeader/>
        </w:trPr>
        <w:tc>
          <w:tcPr>
            <w:tcW w:w="3200" w:type="dxa"/>
            <w:tcBorders>
              <w:top w:val="single" w:sz="1" w:space="0" w:color="CCCCCC"/>
              <w:left w:val="single" w:sz="1" w:space="0" w:color="CCCCCC"/>
              <w:bottom w:val="single" w:sz="1" w:space="0" w:color="CCCCCC"/>
              <w:right w:val="single" w:sz="1" w:space="0" w:color="CCCCCC"/>
            </w:tcBorders>
            <w:shd w:val="clear" w:color="auto" w:fill="2E75B6"/>
            <w:tcMar>
              <w:top w:w="80" w:type="dxa"/>
              <w:left w:w="120" w:type="dxa"/>
              <w:bottom w:w="80" w:type="dxa"/>
              <w:right w:w="120" w:type="dxa"/>
            </w:tcMar>
          </w:tcPr>
          <w:p w14:paraId="0ED0DEAE" w14:textId="77777777" w:rsidR="004044B1" w:rsidRDefault="00000000">
            <w:r>
              <w:rPr>
                <w:b/>
                <w:bCs/>
                <w:color w:val="FFFFFF"/>
                <w:sz w:val="19"/>
                <w:szCs w:val="19"/>
              </w:rPr>
              <w:t>Cost Category</w:t>
            </w:r>
          </w:p>
        </w:tc>
        <w:tc>
          <w:tcPr>
            <w:tcW w:w="1320" w:type="dxa"/>
            <w:tcBorders>
              <w:top w:val="single" w:sz="1" w:space="0" w:color="CCCCCC"/>
              <w:left w:val="single" w:sz="1" w:space="0" w:color="CCCCCC"/>
              <w:bottom w:val="single" w:sz="1" w:space="0" w:color="CCCCCC"/>
              <w:right w:val="single" w:sz="1" w:space="0" w:color="CCCCCC"/>
            </w:tcBorders>
            <w:shd w:val="clear" w:color="auto" w:fill="2E75B6"/>
            <w:tcMar>
              <w:top w:w="80" w:type="dxa"/>
              <w:left w:w="120" w:type="dxa"/>
              <w:bottom w:w="80" w:type="dxa"/>
              <w:right w:w="120" w:type="dxa"/>
            </w:tcMar>
          </w:tcPr>
          <w:p w14:paraId="7DFB77FF" w14:textId="77777777" w:rsidR="004044B1" w:rsidRDefault="00000000">
            <w:r>
              <w:rPr>
                <w:b/>
                <w:bCs/>
                <w:color w:val="FFFFFF"/>
                <w:sz w:val="19"/>
                <w:szCs w:val="19"/>
              </w:rPr>
              <w:t>Base Rate</w:t>
            </w:r>
          </w:p>
        </w:tc>
        <w:tc>
          <w:tcPr>
            <w:tcW w:w="1440" w:type="dxa"/>
            <w:tcBorders>
              <w:top w:val="single" w:sz="1" w:space="0" w:color="CCCCCC"/>
              <w:left w:val="single" w:sz="1" w:space="0" w:color="CCCCCC"/>
              <w:bottom w:val="single" w:sz="1" w:space="0" w:color="CCCCCC"/>
              <w:right w:val="single" w:sz="1" w:space="0" w:color="CCCCCC"/>
            </w:tcBorders>
            <w:shd w:val="clear" w:color="auto" w:fill="2E75B6"/>
            <w:tcMar>
              <w:top w:w="80" w:type="dxa"/>
              <w:left w:w="120" w:type="dxa"/>
              <w:bottom w:w="80" w:type="dxa"/>
              <w:right w:w="120" w:type="dxa"/>
            </w:tcMar>
          </w:tcPr>
          <w:p w14:paraId="33377A15" w14:textId="77777777" w:rsidR="004044B1" w:rsidRDefault="00000000">
            <w:r>
              <w:rPr>
                <w:b/>
                <w:bCs/>
                <w:color w:val="FFFFFF"/>
                <w:sz w:val="19"/>
                <w:szCs w:val="19"/>
              </w:rPr>
              <w:t>QRE Bonus Rate</w:t>
            </w:r>
          </w:p>
        </w:tc>
        <w:tc>
          <w:tcPr>
            <w:tcW w:w="3400" w:type="dxa"/>
            <w:tcBorders>
              <w:top w:val="single" w:sz="1" w:space="0" w:color="CCCCCC"/>
              <w:left w:val="single" w:sz="1" w:space="0" w:color="CCCCCC"/>
              <w:bottom w:val="single" w:sz="1" w:space="0" w:color="CCCCCC"/>
              <w:right w:val="single" w:sz="1" w:space="0" w:color="CCCCCC"/>
            </w:tcBorders>
            <w:shd w:val="clear" w:color="auto" w:fill="2E75B6"/>
            <w:tcMar>
              <w:top w:w="80" w:type="dxa"/>
              <w:left w:w="120" w:type="dxa"/>
              <w:bottom w:w="80" w:type="dxa"/>
              <w:right w:w="120" w:type="dxa"/>
            </w:tcMar>
          </w:tcPr>
          <w:p w14:paraId="725348A0" w14:textId="77777777" w:rsidR="004044B1" w:rsidRDefault="00000000">
            <w:r>
              <w:rPr>
                <w:b/>
                <w:bCs/>
                <w:color w:val="FFFFFF"/>
                <w:sz w:val="19"/>
                <w:szCs w:val="19"/>
              </w:rPr>
              <w:t>Rationale</w:t>
            </w:r>
          </w:p>
        </w:tc>
      </w:tr>
      <w:tr w:rsidR="004044B1" w14:paraId="25FE32D7" w14:textId="77777777">
        <w:tc>
          <w:tcPr>
            <w:tcW w:w="3200" w:type="dxa"/>
            <w:tcBorders>
              <w:top w:val="single" w:sz="1" w:space="0" w:color="CCCCCC"/>
              <w:left w:val="single" w:sz="1" w:space="0" w:color="CCCCCC"/>
              <w:bottom w:val="single" w:sz="1" w:space="0" w:color="CCCCCC"/>
              <w:right w:val="single" w:sz="1" w:space="0" w:color="CCCCCC"/>
            </w:tcBorders>
            <w:shd w:val="clear" w:color="auto" w:fill="FFFFFF"/>
            <w:tcMar>
              <w:top w:w="80" w:type="dxa"/>
              <w:left w:w="120" w:type="dxa"/>
              <w:bottom w:w="80" w:type="dxa"/>
              <w:right w:w="120" w:type="dxa"/>
            </w:tcMar>
          </w:tcPr>
          <w:p w14:paraId="68784CFE" w14:textId="77777777" w:rsidR="004044B1" w:rsidRDefault="00000000">
            <w:r>
              <w:rPr>
                <w:b/>
                <w:bCs/>
                <w:sz w:val="19"/>
                <w:szCs w:val="19"/>
              </w:rPr>
              <w:t>Physical production costs (labor, materials, energy, equipment)</w:t>
            </w:r>
          </w:p>
        </w:tc>
        <w:tc>
          <w:tcPr>
            <w:tcW w:w="1320" w:type="dxa"/>
            <w:tcBorders>
              <w:top w:val="single" w:sz="1" w:space="0" w:color="CCCCCC"/>
              <w:left w:val="single" w:sz="1" w:space="0" w:color="CCCCCC"/>
              <w:bottom w:val="single" w:sz="1" w:space="0" w:color="CCCCCC"/>
              <w:right w:val="single" w:sz="1" w:space="0" w:color="CCCCCC"/>
            </w:tcBorders>
            <w:shd w:val="clear" w:color="auto" w:fill="FFFFFF"/>
            <w:tcMar>
              <w:top w:w="80" w:type="dxa"/>
              <w:left w:w="120" w:type="dxa"/>
              <w:bottom w:w="80" w:type="dxa"/>
              <w:right w:w="120" w:type="dxa"/>
            </w:tcMar>
          </w:tcPr>
          <w:p w14:paraId="6A2E9B04" w14:textId="77777777" w:rsidR="004044B1" w:rsidRDefault="00000000">
            <w:r>
              <w:rPr>
                <w:sz w:val="19"/>
                <w:szCs w:val="19"/>
              </w:rPr>
              <w:t>5%</w:t>
            </w:r>
          </w:p>
        </w:tc>
        <w:tc>
          <w:tcPr>
            <w:tcW w:w="1440" w:type="dxa"/>
            <w:tcBorders>
              <w:top w:val="single" w:sz="1" w:space="0" w:color="CCCCCC"/>
              <w:left w:val="single" w:sz="1" w:space="0" w:color="CCCCCC"/>
              <w:bottom w:val="single" w:sz="1" w:space="0" w:color="CCCCCC"/>
              <w:right w:val="single" w:sz="1" w:space="0" w:color="CCCCCC"/>
            </w:tcBorders>
            <w:shd w:val="clear" w:color="auto" w:fill="FFFFFF"/>
            <w:tcMar>
              <w:top w:w="80" w:type="dxa"/>
              <w:left w:w="120" w:type="dxa"/>
              <w:bottom w:w="80" w:type="dxa"/>
              <w:right w:w="120" w:type="dxa"/>
            </w:tcMar>
          </w:tcPr>
          <w:p w14:paraId="18FDE1C4" w14:textId="77777777" w:rsidR="004044B1" w:rsidRDefault="00000000">
            <w:r>
              <w:rPr>
                <w:sz w:val="19"/>
                <w:szCs w:val="19"/>
              </w:rPr>
              <w:t>6%</w:t>
            </w:r>
          </w:p>
        </w:tc>
        <w:tc>
          <w:tcPr>
            <w:tcW w:w="3400" w:type="dxa"/>
            <w:tcBorders>
              <w:top w:val="single" w:sz="1" w:space="0" w:color="CCCCCC"/>
              <w:left w:val="single" w:sz="1" w:space="0" w:color="CCCCCC"/>
              <w:bottom w:val="single" w:sz="1" w:space="0" w:color="CCCCCC"/>
              <w:right w:val="single" w:sz="1" w:space="0" w:color="CCCCCC"/>
            </w:tcBorders>
            <w:shd w:val="clear" w:color="auto" w:fill="FFFFFF"/>
            <w:tcMar>
              <w:top w:w="80" w:type="dxa"/>
              <w:left w:w="120" w:type="dxa"/>
              <w:bottom w:w="80" w:type="dxa"/>
              <w:right w:w="120" w:type="dxa"/>
            </w:tcMar>
          </w:tcPr>
          <w:p w14:paraId="5ECAD299" w14:textId="77777777" w:rsidR="004044B1" w:rsidRDefault="00000000">
            <w:r>
              <w:rPr>
                <w:sz w:val="19"/>
                <w:szCs w:val="19"/>
              </w:rPr>
              <w:t>Full rate: incentivizes physical manufacturing</w:t>
            </w:r>
          </w:p>
        </w:tc>
      </w:tr>
      <w:tr w:rsidR="004044B1" w14:paraId="03EDF644" w14:textId="77777777">
        <w:tc>
          <w:tcPr>
            <w:tcW w:w="3200" w:type="dxa"/>
            <w:tcBorders>
              <w:top w:val="single" w:sz="1" w:space="0" w:color="CCCCCC"/>
              <w:left w:val="single" w:sz="1" w:space="0" w:color="CCCCCC"/>
              <w:bottom w:val="single" w:sz="1" w:space="0" w:color="CCCCCC"/>
              <w:right w:val="single" w:sz="1" w:space="0" w:color="CCCCCC"/>
            </w:tcBorders>
            <w:shd w:val="clear" w:color="auto" w:fill="F5F7FA"/>
            <w:tcMar>
              <w:top w:w="80" w:type="dxa"/>
              <w:left w:w="120" w:type="dxa"/>
              <w:bottom w:w="80" w:type="dxa"/>
              <w:right w:w="120" w:type="dxa"/>
            </w:tcMar>
          </w:tcPr>
          <w:p w14:paraId="23F1343B" w14:textId="77777777" w:rsidR="004044B1" w:rsidRDefault="00000000">
            <w:r>
              <w:rPr>
                <w:b/>
                <w:bCs/>
                <w:sz w:val="19"/>
                <w:szCs w:val="19"/>
              </w:rPr>
              <w:t>Domestic R&amp;D and design costs at or for a production facility</w:t>
            </w:r>
          </w:p>
        </w:tc>
        <w:tc>
          <w:tcPr>
            <w:tcW w:w="1320" w:type="dxa"/>
            <w:tcBorders>
              <w:top w:val="single" w:sz="1" w:space="0" w:color="CCCCCC"/>
              <w:left w:val="single" w:sz="1" w:space="0" w:color="CCCCCC"/>
              <w:bottom w:val="single" w:sz="1" w:space="0" w:color="CCCCCC"/>
              <w:right w:val="single" w:sz="1" w:space="0" w:color="CCCCCC"/>
            </w:tcBorders>
            <w:shd w:val="clear" w:color="auto" w:fill="F5F7FA"/>
            <w:tcMar>
              <w:top w:w="80" w:type="dxa"/>
              <w:left w:w="120" w:type="dxa"/>
              <w:bottom w:w="80" w:type="dxa"/>
              <w:right w:w="120" w:type="dxa"/>
            </w:tcMar>
          </w:tcPr>
          <w:p w14:paraId="776D71E7" w14:textId="77777777" w:rsidR="004044B1" w:rsidRDefault="00000000">
            <w:r>
              <w:rPr>
                <w:sz w:val="19"/>
                <w:szCs w:val="19"/>
              </w:rPr>
              <w:t>5%</w:t>
            </w:r>
          </w:p>
        </w:tc>
        <w:tc>
          <w:tcPr>
            <w:tcW w:w="1440" w:type="dxa"/>
            <w:tcBorders>
              <w:top w:val="single" w:sz="1" w:space="0" w:color="CCCCCC"/>
              <w:left w:val="single" w:sz="1" w:space="0" w:color="CCCCCC"/>
              <w:bottom w:val="single" w:sz="1" w:space="0" w:color="CCCCCC"/>
              <w:right w:val="single" w:sz="1" w:space="0" w:color="CCCCCC"/>
            </w:tcBorders>
            <w:shd w:val="clear" w:color="auto" w:fill="F5F7FA"/>
            <w:tcMar>
              <w:top w:w="80" w:type="dxa"/>
              <w:left w:w="120" w:type="dxa"/>
              <w:bottom w:w="80" w:type="dxa"/>
              <w:right w:w="120" w:type="dxa"/>
            </w:tcMar>
          </w:tcPr>
          <w:p w14:paraId="3CB7AD25" w14:textId="77777777" w:rsidR="004044B1" w:rsidRDefault="00000000">
            <w:r>
              <w:rPr>
                <w:sz w:val="19"/>
                <w:szCs w:val="19"/>
              </w:rPr>
              <w:t>6%</w:t>
            </w:r>
          </w:p>
        </w:tc>
        <w:tc>
          <w:tcPr>
            <w:tcW w:w="3400" w:type="dxa"/>
            <w:tcBorders>
              <w:top w:val="single" w:sz="1" w:space="0" w:color="CCCCCC"/>
              <w:left w:val="single" w:sz="1" w:space="0" w:color="CCCCCC"/>
              <w:bottom w:val="single" w:sz="1" w:space="0" w:color="CCCCCC"/>
              <w:right w:val="single" w:sz="1" w:space="0" w:color="CCCCCC"/>
            </w:tcBorders>
            <w:shd w:val="clear" w:color="auto" w:fill="F5F7FA"/>
            <w:tcMar>
              <w:top w:w="80" w:type="dxa"/>
              <w:left w:w="120" w:type="dxa"/>
              <w:bottom w:w="80" w:type="dxa"/>
              <w:right w:w="120" w:type="dxa"/>
            </w:tcMar>
          </w:tcPr>
          <w:p w14:paraId="6D7A3270" w14:textId="77777777" w:rsidR="004044B1" w:rsidRDefault="00000000">
            <w:r>
              <w:rPr>
                <w:sz w:val="19"/>
                <w:szCs w:val="19"/>
              </w:rPr>
              <w:t>Production-linked R&amp;D: full rate</w:t>
            </w:r>
          </w:p>
        </w:tc>
      </w:tr>
      <w:tr w:rsidR="004044B1" w14:paraId="73F704DF" w14:textId="77777777">
        <w:tc>
          <w:tcPr>
            <w:tcW w:w="3200" w:type="dxa"/>
            <w:tcBorders>
              <w:top w:val="single" w:sz="1" w:space="0" w:color="CCCCCC"/>
              <w:left w:val="single" w:sz="1" w:space="0" w:color="CCCCCC"/>
              <w:bottom w:val="single" w:sz="1" w:space="0" w:color="CCCCCC"/>
              <w:right w:val="single" w:sz="1" w:space="0" w:color="CCCCCC"/>
            </w:tcBorders>
            <w:shd w:val="clear" w:color="auto" w:fill="FFFFFF"/>
            <w:tcMar>
              <w:top w:w="80" w:type="dxa"/>
              <w:left w:w="120" w:type="dxa"/>
              <w:bottom w:w="80" w:type="dxa"/>
              <w:right w:w="120" w:type="dxa"/>
            </w:tcMar>
          </w:tcPr>
          <w:p w14:paraId="5B0D40AE" w14:textId="77777777" w:rsidR="004044B1" w:rsidRDefault="00000000">
            <w:r>
              <w:rPr>
                <w:b/>
                <w:bCs/>
                <w:sz w:val="19"/>
                <w:szCs w:val="19"/>
              </w:rPr>
              <w:t>Domestic R&amp;D and design costs not linked to domestic production</w:t>
            </w:r>
          </w:p>
        </w:tc>
        <w:tc>
          <w:tcPr>
            <w:tcW w:w="1320" w:type="dxa"/>
            <w:tcBorders>
              <w:top w:val="single" w:sz="1" w:space="0" w:color="CCCCCC"/>
              <w:left w:val="single" w:sz="1" w:space="0" w:color="CCCCCC"/>
              <w:bottom w:val="single" w:sz="1" w:space="0" w:color="CCCCCC"/>
              <w:right w:val="single" w:sz="1" w:space="0" w:color="CCCCCC"/>
            </w:tcBorders>
            <w:shd w:val="clear" w:color="auto" w:fill="FFFFFF"/>
            <w:tcMar>
              <w:top w:w="80" w:type="dxa"/>
              <w:left w:w="120" w:type="dxa"/>
              <w:bottom w:w="80" w:type="dxa"/>
              <w:right w:w="120" w:type="dxa"/>
            </w:tcMar>
          </w:tcPr>
          <w:p w14:paraId="267732F9" w14:textId="77777777" w:rsidR="004044B1" w:rsidRDefault="00000000">
            <w:r>
              <w:rPr>
                <w:sz w:val="19"/>
                <w:szCs w:val="19"/>
              </w:rPr>
              <w:t>2%</w:t>
            </w:r>
          </w:p>
        </w:tc>
        <w:tc>
          <w:tcPr>
            <w:tcW w:w="1440" w:type="dxa"/>
            <w:tcBorders>
              <w:top w:val="single" w:sz="1" w:space="0" w:color="CCCCCC"/>
              <w:left w:val="single" w:sz="1" w:space="0" w:color="CCCCCC"/>
              <w:bottom w:val="single" w:sz="1" w:space="0" w:color="CCCCCC"/>
              <w:right w:val="single" w:sz="1" w:space="0" w:color="CCCCCC"/>
            </w:tcBorders>
            <w:shd w:val="clear" w:color="auto" w:fill="FFFFFF"/>
            <w:tcMar>
              <w:top w:w="80" w:type="dxa"/>
              <w:left w:w="120" w:type="dxa"/>
              <w:bottom w:w="80" w:type="dxa"/>
              <w:right w:w="120" w:type="dxa"/>
            </w:tcMar>
          </w:tcPr>
          <w:p w14:paraId="45EB332D" w14:textId="77777777" w:rsidR="004044B1" w:rsidRDefault="00000000">
            <w:r>
              <w:rPr>
                <w:sz w:val="19"/>
                <w:szCs w:val="19"/>
              </w:rPr>
              <w:t>2.5%</w:t>
            </w:r>
          </w:p>
        </w:tc>
        <w:tc>
          <w:tcPr>
            <w:tcW w:w="3400" w:type="dxa"/>
            <w:tcBorders>
              <w:top w:val="single" w:sz="1" w:space="0" w:color="CCCCCC"/>
              <w:left w:val="single" w:sz="1" w:space="0" w:color="CCCCCC"/>
              <w:bottom w:val="single" w:sz="1" w:space="0" w:color="CCCCCC"/>
              <w:right w:val="single" w:sz="1" w:space="0" w:color="CCCCCC"/>
            </w:tcBorders>
            <w:shd w:val="clear" w:color="auto" w:fill="FFFFFF"/>
            <w:tcMar>
              <w:top w:w="80" w:type="dxa"/>
              <w:left w:w="120" w:type="dxa"/>
              <w:bottom w:w="80" w:type="dxa"/>
              <w:right w:w="120" w:type="dxa"/>
            </w:tcMar>
          </w:tcPr>
          <w:p w14:paraId="6B173271" w14:textId="77777777" w:rsidR="004044B1" w:rsidRDefault="00000000">
            <w:r>
              <w:rPr>
                <w:sz w:val="19"/>
                <w:szCs w:val="19"/>
              </w:rPr>
              <w:t>Reduced: IP value but no physical manufacturing</w:t>
            </w:r>
          </w:p>
        </w:tc>
      </w:tr>
      <w:tr w:rsidR="004044B1" w14:paraId="781E2346" w14:textId="77777777">
        <w:tc>
          <w:tcPr>
            <w:tcW w:w="3200" w:type="dxa"/>
            <w:tcBorders>
              <w:top w:val="single" w:sz="1" w:space="0" w:color="CCCCCC"/>
              <w:left w:val="single" w:sz="1" w:space="0" w:color="CCCCCC"/>
              <w:bottom w:val="single" w:sz="1" w:space="0" w:color="CCCCCC"/>
              <w:right w:val="single" w:sz="1" w:space="0" w:color="CCCCCC"/>
            </w:tcBorders>
            <w:shd w:val="clear" w:color="auto" w:fill="F5F7FA"/>
            <w:tcMar>
              <w:top w:w="80" w:type="dxa"/>
              <w:left w:w="120" w:type="dxa"/>
              <w:bottom w:w="80" w:type="dxa"/>
              <w:right w:w="120" w:type="dxa"/>
            </w:tcMar>
          </w:tcPr>
          <w:p w14:paraId="6682C789" w14:textId="77777777" w:rsidR="004044B1" w:rsidRDefault="00000000">
            <w:r>
              <w:rPr>
                <w:b/>
                <w:bCs/>
                <w:sz w:val="19"/>
                <w:szCs w:val="19"/>
              </w:rPr>
              <w:t>Marketing, SG&amp;A, distribution, HQ overhead</w:t>
            </w:r>
          </w:p>
        </w:tc>
        <w:tc>
          <w:tcPr>
            <w:tcW w:w="1320" w:type="dxa"/>
            <w:tcBorders>
              <w:top w:val="single" w:sz="1" w:space="0" w:color="CCCCCC"/>
              <w:left w:val="single" w:sz="1" w:space="0" w:color="CCCCCC"/>
              <w:bottom w:val="single" w:sz="1" w:space="0" w:color="CCCCCC"/>
              <w:right w:val="single" w:sz="1" w:space="0" w:color="CCCCCC"/>
            </w:tcBorders>
            <w:shd w:val="clear" w:color="auto" w:fill="F5F7FA"/>
            <w:tcMar>
              <w:top w:w="80" w:type="dxa"/>
              <w:left w:w="120" w:type="dxa"/>
              <w:bottom w:w="80" w:type="dxa"/>
              <w:right w:w="120" w:type="dxa"/>
            </w:tcMar>
          </w:tcPr>
          <w:p w14:paraId="422DBB98" w14:textId="77777777" w:rsidR="004044B1" w:rsidRDefault="00000000">
            <w:r>
              <w:rPr>
                <w:sz w:val="19"/>
                <w:szCs w:val="19"/>
              </w:rPr>
              <w:t>0%</w:t>
            </w:r>
          </w:p>
        </w:tc>
        <w:tc>
          <w:tcPr>
            <w:tcW w:w="1440" w:type="dxa"/>
            <w:tcBorders>
              <w:top w:val="single" w:sz="1" w:space="0" w:color="CCCCCC"/>
              <w:left w:val="single" w:sz="1" w:space="0" w:color="CCCCCC"/>
              <w:bottom w:val="single" w:sz="1" w:space="0" w:color="CCCCCC"/>
              <w:right w:val="single" w:sz="1" w:space="0" w:color="CCCCCC"/>
            </w:tcBorders>
            <w:shd w:val="clear" w:color="auto" w:fill="F5F7FA"/>
            <w:tcMar>
              <w:top w:w="80" w:type="dxa"/>
              <w:left w:w="120" w:type="dxa"/>
              <w:bottom w:w="80" w:type="dxa"/>
              <w:right w:w="120" w:type="dxa"/>
            </w:tcMar>
          </w:tcPr>
          <w:p w14:paraId="6F82947A" w14:textId="77777777" w:rsidR="004044B1" w:rsidRDefault="00000000">
            <w:r>
              <w:rPr>
                <w:sz w:val="19"/>
                <w:szCs w:val="19"/>
              </w:rPr>
              <w:t>0%</w:t>
            </w:r>
          </w:p>
        </w:tc>
        <w:tc>
          <w:tcPr>
            <w:tcW w:w="3400" w:type="dxa"/>
            <w:tcBorders>
              <w:top w:val="single" w:sz="1" w:space="0" w:color="CCCCCC"/>
              <w:left w:val="single" w:sz="1" w:space="0" w:color="CCCCCC"/>
              <w:bottom w:val="single" w:sz="1" w:space="0" w:color="CCCCCC"/>
              <w:right w:val="single" w:sz="1" w:space="0" w:color="CCCCCC"/>
            </w:tcBorders>
            <w:shd w:val="clear" w:color="auto" w:fill="F5F7FA"/>
            <w:tcMar>
              <w:top w:w="80" w:type="dxa"/>
              <w:left w:w="120" w:type="dxa"/>
              <w:bottom w:w="80" w:type="dxa"/>
              <w:right w:w="120" w:type="dxa"/>
            </w:tcMar>
          </w:tcPr>
          <w:p w14:paraId="7F86F97D" w14:textId="77777777" w:rsidR="004044B1" w:rsidRDefault="00000000">
            <w:r>
              <w:rPr>
                <w:sz w:val="19"/>
                <w:szCs w:val="19"/>
              </w:rPr>
              <w:t>Excluded: not manufacturing-adjacent</w:t>
            </w:r>
          </w:p>
        </w:tc>
      </w:tr>
    </w:tbl>
    <w:p w14:paraId="373C1FCE" w14:textId="77777777" w:rsidR="004044B1" w:rsidRDefault="004044B1">
      <w:pPr>
        <w:spacing w:before="80" w:after="80"/>
      </w:pPr>
    </w:p>
    <w:p w14:paraId="189CE08E" w14:textId="77777777" w:rsidR="004044B1" w:rsidRDefault="00000000">
      <w:pPr>
        <w:spacing w:before="80" w:after="120"/>
      </w:pPr>
      <w:r>
        <w:t>Effect: Preserves incentives for domestic IP development while clearly differentiating physical production. Nvidia receives a 2% credit on domestic chip design costs but a 5% credit on any production it brings onshore—creating a marginal incentive to reshore fabrication. Reduces FGP credit claims by approximately 50–60%. Creates a “ladder”: firms that move from pure FGP status to hybrid manufacturing automatically shift their cost base from the 2% tier to the 5% tier. Reduces the 10-year package cost by approximately $70–90B while improving ROI defensibility.</w:t>
      </w:r>
    </w:p>
    <w:p w14:paraId="555F5C56" w14:textId="77777777" w:rsidR="004044B1" w:rsidRDefault="00000000">
      <w:pPr>
        <w:spacing w:before="80" w:after="120"/>
      </w:pPr>
      <w:r>
        <w:t>Risk: Adds compliance complexity. Firms with both production-linked and non-production-linked R&amp;D must allocate costs between tiers. Section 41 R&amp;D credit documentation provides precedent, but it adds friction.</w:t>
      </w:r>
    </w:p>
    <w:p w14:paraId="46662449" w14:textId="77777777" w:rsidR="004044B1" w:rsidRDefault="00000000">
      <w:pPr>
        <w:spacing w:before="200" w:after="100"/>
      </w:pPr>
      <w:r>
        <w:rPr>
          <w:b/>
          <w:bCs/>
          <w:color w:val="1F3864"/>
          <w:sz w:val="24"/>
          <w:szCs w:val="24"/>
        </w:rPr>
        <w:t>Option C: Statutory Eligibility Test Independent of NAICS (Structural)</w:t>
      </w:r>
    </w:p>
    <w:p w14:paraId="578AE494" w14:textId="77777777" w:rsidR="004044B1" w:rsidRDefault="00000000">
      <w:pPr>
        <w:spacing w:before="80" w:after="120"/>
      </w:pPr>
      <w:r>
        <w:t>Rather than adjusting the credit rate structure, define MINA eligibility using a test independent of NAICS classification, sidestepping the unresolved FGP debate entirely.</w:t>
      </w:r>
    </w:p>
    <w:tbl>
      <w:tblPr>
        <w:tblW w:w="936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0" w:type="dxa"/>
          <w:right w:w="10" w:type="dxa"/>
        </w:tblCellMar>
        <w:tblLook w:val="0000" w:firstRow="0" w:lastRow="0" w:firstColumn="0" w:lastColumn="0" w:noHBand="0" w:noVBand="0"/>
      </w:tblPr>
      <w:tblGrid>
        <w:gridCol w:w="9360"/>
      </w:tblGrid>
      <w:tr w:rsidR="004044B1" w14:paraId="0B7F6409" w14:textId="77777777">
        <w:tc>
          <w:tcPr>
            <w:tcW w:w="9360" w:type="dxa"/>
            <w:tcBorders>
              <w:left w:val="single" w:sz="12" w:space="0" w:color="2E75B6"/>
            </w:tcBorders>
            <w:shd w:val="clear" w:color="auto" w:fill="F5F8FF"/>
            <w:tcMar>
              <w:top w:w="80" w:type="dxa"/>
              <w:left w:w="240" w:type="dxa"/>
              <w:bottom w:w="80" w:type="dxa"/>
              <w:right w:w="120" w:type="dxa"/>
            </w:tcMar>
          </w:tcPr>
          <w:p w14:paraId="066FD65D" w14:textId="77777777" w:rsidR="004044B1" w:rsidRDefault="00000000">
            <w:pPr>
              <w:spacing w:before="40" w:after="40"/>
            </w:pPr>
            <w:r>
              <w:rPr>
                <w:i/>
                <w:iCs/>
              </w:rPr>
              <w:lastRenderedPageBreak/>
              <w:t>Proposed statutory language (§38A(c)(3)): “For purposes of this section, a ‘qualifying domestic manufacturer’ means any taxpayer that (i) maintains one or more domestic manufacturing establishments, as defined under §38A(c)(4), that perform physical transformation of tangible personal property, and (ii) derives at least 15% of its gross receipts from the sale of goods physically produced, in whole or in substantial part, at such domestic establishments. A taxpayer that derives less than 15% of gross receipts from domestically produced goods may claim the credit only on costs directly attributable to such domestic production establishments.”</w:t>
            </w:r>
          </w:p>
        </w:tc>
      </w:tr>
    </w:tbl>
    <w:p w14:paraId="312D743A" w14:textId="77777777" w:rsidR="004044B1" w:rsidRDefault="00000000">
      <w:pPr>
        <w:spacing w:before="80" w:after="120"/>
      </w:pPr>
      <w:r>
        <w:t>Effect: Pure FGPs like Apple would be ineligible for MINA, though they could claim credits on any domestic production they bring onshore—creating a powerful reshoring incentive. Hybrid firms qualify on domestic production activity only. Risk: Creates a bright-line test that may be politically difficult and would face intense lobbying from FGP-heavy industries.</w:t>
      </w:r>
    </w:p>
    <w:p w14:paraId="37D0AF6F" w14:textId="77777777" w:rsidR="004044B1" w:rsidRDefault="00000000">
      <w:pPr>
        <w:pStyle w:val="Heading2"/>
      </w:pPr>
      <w:r>
        <w:t>J. The Hybrid Firm Problem and Establishment-Level DVA</w:t>
      </w:r>
    </w:p>
    <w:p w14:paraId="5BE71169" w14:textId="77777777" w:rsidR="004044B1" w:rsidRDefault="00000000">
      <w:pPr>
        <w:spacing w:before="80" w:after="120"/>
      </w:pPr>
      <w:r>
        <w:t>The most significant implementation challenge is not pure FGPs but hybrid firms—companies that maintain some domestic manufacturing while outsourcing substantial production volume abroad. This category includes many of the largest and most politically influential manufacturers.</w:t>
      </w:r>
    </w:p>
    <w:p w14:paraId="4A93CC0D" w14:textId="77777777" w:rsidR="004044B1" w:rsidRDefault="004044B1">
      <w:pPr>
        <w:spacing w:before="80" w:after="80"/>
      </w:pPr>
    </w:p>
    <w:tbl>
      <w:tblPr>
        <w:tblW w:w="936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0" w:type="dxa"/>
          <w:right w:w="10" w:type="dxa"/>
        </w:tblCellMar>
        <w:tblLook w:val="0000" w:firstRow="0" w:lastRow="0" w:firstColumn="0" w:lastColumn="0" w:noHBand="0" w:noVBand="0"/>
      </w:tblPr>
      <w:tblGrid>
        <w:gridCol w:w="1600"/>
        <w:gridCol w:w="1900"/>
        <w:gridCol w:w="1900"/>
        <w:gridCol w:w="1400"/>
        <w:gridCol w:w="2560"/>
      </w:tblGrid>
      <w:tr w:rsidR="004044B1" w14:paraId="4E73CE02" w14:textId="77777777">
        <w:trPr>
          <w:tblHeader/>
        </w:trPr>
        <w:tc>
          <w:tcPr>
            <w:tcW w:w="1600" w:type="dxa"/>
            <w:tcBorders>
              <w:top w:val="single" w:sz="1" w:space="0" w:color="CCCCCC"/>
              <w:left w:val="single" w:sz="1" w:space="0" w:color="CCCCCC"/>
              <w:bottom w:val="single" w:sz="1" w:space="0" w:color="CCCCCC"/>
              <w:right w:val="single" w:sz="1" w:space="0" w:color="CCCCCC"/>
            </w:tcBorders>
            <w:shd w:val="clear" w:color="auto" w:fill="2E75B6"/>
            <w:tcMar>
              <w:top w:w="80" w:type="dxa"/>
              <w:left w:w="120" w:type="dxa"/>
              <w:bottom w:w="80" w:type="dxa"/>
              <w:right w:w="120" w:type="dxa"/>
            </w:tcMar>
          </w:tcPr>
          <w:p w14:paraId="2307DF93" w14:textId="77777777" w:rsidR="004044B1" w:rsidRDefault="00000000">
            <w:r>
              <w:rPr>
                <w:b/>
                <w:bCs/>
                <w:color w:val="FFFFFF"/>
                <w:sz w:val="19"/>
                <w:szCs w:val="19"/>
              </w:rPr>
              <w:t>Company Type</w:t>
            </w:r>
          </w:p>
        </w:tc>
        <w:tc>
          <w:tcPr>
            <w:tcW w:w="1900" w:type="dxa"/>
            <w:tcBorders>
              <w:top w:val="single" w:sz="1" w:space="0" w:color="CCCCCC"/>
              <w:left w:val="single" w:sz="1" w:space="0" w:color="CCCCCC"/>
              <w:bottom w:val="single" w:sz="1" w:space="0" w:color="CCCCCC"/>
              <w:right w:val="single" w:sz="1" w:space="0" w:color="CCCCCC"/>
            </w:tcBorders>
            <w:shd w:val="clear" w:color="auto" w:fill="2E75B6"/>
            <w:tcMar>
              <w:top w:w="80" w:type="dxa"/>
              <w:left w:w="120" w:type="dxa"/>
              <w:bottom w:w="80" w:type="dxa"/>
              <w:right w:w="120" w:type="dxa"/>
            </w:tcMar>
          </w:tcPr>
          <w:p w14:paraId="0018BD82" w14:textId="77777777" w:rsidR="004044B1" w:rsidRDefault="00000000">
            <w:r>
              <w:rPr>
                <w:b/>
                <w:bCs/>
                <w:color w:val="FFFFFF"/>
                <w:sz w:val="19"/>
                <w:szCs w:val="19"/>
              </w:rPr>
              <w:t>Domestic Activity</w:t>
            </w:r>
          </w:p>
        </w:tc>
        <w:tc>
          <w:tcPr>
            <w:tcW w:w="1900" w:type="dxa"/>
            <w:tcBorders>
              <w:top w:val="single" w:sz="1" w:space="0" w:color="CCCCCC"/>
              <w:left w:val="single" w:sz="1" w:space="0" w:color="CCCCCC"/>
              <w:bottom w:val="single" w:sz="1" w:space="0" w:color="CCCCCC"/>
              <w:right w:val="single" w:sz="1" w:space="0" w:color="CCCCCC"/>
            </w:tcBorders>
            <w:shd w:val="clear" w:color="auto" w:fill="2E75B6"/>
            <w:tcMar>
              <w:top w:w="80" w:type="dxa"/>
              <w:left w:w="120" w:type="dxa"/>
              <w:bottom w:w="80" w:type="dxa"/>
              <w:right w:w="120" w:type="dxa"/>
            </w:tcMar>
          </w:tcPr>
          <w:p w14:paraId="502AD30E" w14:textId="77777777" w:rsidR="004044B1" w:rsidRDefault="00000000">
            <w:r>
              <w:rPr>
                <w:b/>
                <w:bCs/>
                <w:color w:val="FFFFFF"/>
                <w:sz w:val="19"/>
                <w:szCs w:val="19"/>
              </w:rPr>
              <w:t>Offshore Activity</w:t>
            </w:r>
          </w:p>
        </w:tc>
        <w:tc>
          <w:tcPr>
            <w:tcW w:w="1400" w:type="dxa"/>
            <w:tcBorders>
              <w:top w:val="single" w:sz="1" w:space="0" w:color="CCCCCC"/>
              <w:left w:val="single" w:sz="1" w:space="0" w:color="CCCCCC"/>
              <w:bottom w:val="single" w:sz="1" w:space="0" w:color="CCCCCC"/>
              <w:right w:val="single" w:sz="1" w:space="0" w:color="CCCCCC"/>
            </w:tcBorders>
            <w:shd w:val="clear" w:color="auto" w:fill="2E75B6"/>
            <w:tcMar>
              <w:top w:w="80" w:type="dxa"/>
              <w:left w:w="120" w:type="dxa"/>
              <w:bottom w:w="80" w:type="dxa"/>
              <w:right w:w="120" w:type="dxa"/>
            </w:tcMar>
          </w:tcPr>
          <w:p w14:paraId="15EFAE16" w14:textId="77777777" w:rsidR="004044B1" w:rsidRDefault="00000000">
            <w:r>
              <w:rPr>
                <w:b/>
                <w:bCs/>
                <w:color w:val="FFFFFF"/>
                <w:sz w:val="19"/>
                <w:szCs w:val="19"/>
              </w:rPr>
              <w:t>Est. DVA Ratio</w:t>
            </w:r>
          </w:p>
        </w:tc>
        <w:tc>
          <w:tcPr>
            <w:tcW w:w="2560" w:type="dxa"/>
            <w:tcBorders>
              <w:top w:val="single" w:sz="1" w:space="0" w:color="CCCCCC"/>
              <w:left w:val="single" w:sz="1" w:space="0" w:color="CCCCCC"/>
              <w:bottom w:val="single" w:sz="1" w:space="0" w:color="CCCCCC"/>
              <w:right w:val="single" w:sz="1" w:space="0" w:color="CCCCCC"/>
            </w:tcBorders>
            <w:shd w:val="clear" w:color="auto" w:fill="2E75B6"/>
            <w:tcMar>
              <w:top w:w="80" w:type="dxa"/>
              <w:left w:w="120" w:type="dxa"/>
              <w:bottom w:w="80" w:type="dxa"/>
              <w:right w:w="120" w:type="dxa"/>
            </w:tcMar>
          </w:tcPr>
          <w:p w14:paraId="26F6359F" w14:textId="77777777" w:rsidR="004044B1" w:rsidRDefault="00000000">
            <w:r>
              <w:rPr>
                <w:b/>
                <w:bCs/>
                <w:color w:val="FFFFFF"/>
                <w:sz w:val="19"/>
                <w:szCs w:val="19"/>
              </w:rPr>
              <w:t>MINA Treatment</w:t>
            </w:r>
          </w:p>
        </w:tc>
      </w:tr>
      <w:tr w:rsidR="004044B1" w:rsidRPr="00A712A1" w14:paraId="10C1F219" w14:textId="77777777">
        <w:tc>
          <w:tcPr>
            <w:tcW w:w="1600" w:type="dxa"/>
            <w:tcBorders>
              <w:top w:val="single" w:sz="1" w:space="0" w:color="CCCCCC"/>
              <w:left w:val="single" w:sz="1" w:space="0" w:color="CCCCCC"/>
              <w:bottom w:val="single" w:sz="1" w:space="0" w:color="CCCCCC"/>
              <w:right w:val="single" w:sz="1" w:space="0" w:color="CCCCCC"/>
            </w:tcBorders>
            <w:shd w:val="clear" w:color="auto" w:fill="FFFFFF"/>
            <w:tcMar>
              <w:top w:w="80" w:type="dxa"/>
              <w:left w:w="120" w:type="dxa"/>
              <w:bottom w:w="80" w:type="dxa"/>
              <w:right w:w="120" w:type="dxa"/>
            </w:tcMar>
          </w:tcPr>
          <w:p w14:paraId="4BB2F3E0" w14:textId="77777777" w:rsidR="004044B1" w:rsidRDefault="00000000">
            <w:r>
              <w:rPr>
                <w:b/>
                <w:bCs/>
                <w:sz w:val="19"/>
                <w:szCs w:val="19"/>
              </w:rPr>
              <w:t>Pure FGP (Apple, Nvidia)</w:t>
            </w:r>
          </w:p>
        </w:tc>
        <w:tc>
          <w:tcPr>
            <w:tcW w:w="1900" w:type="dxa"/>
            <w:tcBorders>
              <w:top w:val="single" w:sz="1" w:space="0" w:color="CCCCCC"/>
              <w:left w:val="single" w:sz="1" w:space="0" w:color="CCCCCC"/>
              <w:bottom w:val="single" w:sz="1" w:space="0" w:color="CCCCCC"/>
              <w:right w:val="single" w:sz="1" w:space="0" w:color="CCCCCC"/>
            </w:tcBorders>
            <w:shd w:val="clear" w:color="auto" w:fill="FFFFFF"/>
            <w:tcMar>
              <w:top w:w="80" w:type="dxa"/>
              <w:left w:w="120" w:type="dxa"/>
              <w:bottom w:w="80" w:type="dxa"/>
              <w:right w:w="120" w:type="dxa"/>
            </w:tcMar>
          </w:tcPr>
          <w:p w14:paraId="2B42A75A" w14:textId="77777777" w:rsidR="004044B1" w:rsidRDefault="00000000">
            <w:r>
              <w:rPr>
                <w:sz w:val="19"/>
                <w:szCs w:val="19"/>
              </w:rPr>
              <w:t>R&amp;D, design, HQ</w:t>
            </w:r>
          </w:p>
        </w:tc>
        <w:tc>
          <w:tcPr>
            <w:tcW w:w="1900" w:type="dxa"/>
            <w:tcBorders>
              <w:top w:val="single" w:sz="1" w:space="0" w:color="CCCCCC"/>
              <w:left w:val="single" w:sz="1" w:space="0" w:color="CCCCCC"/>
              <w:bottom w:val="single" w:sz="1" w:space="0" w:color="CCCCCC"/>
              <w:right w:val="single" w:sz="1" w:space="0" w:color="CCCCCC"/>
            </w:tcBorders>
            <w:shd w:val="clear" w:color="auto" w:fill="FFFFFF"/>
            <w:tcMar>
              <w:top w:w="80" w:type="dxa"/>
              <w:left w:w="120" w:type="dxa"/>
              <w:bottom w:w="80" w:type="dxa"/>
              <w:right w:w="120" w:type="dxa"/>
            </w:tcMar>
          </w:tcPr>
          <w:p w14:paraId="371AEC68" w14:textId="77777777" w:rsidR="004044B1" w:rsidRDefault="00000000">
            <w:r>
              <w:rPr>
                <w:sz w:val="19"/>
                <w:szCs w:val="19"/>
              </w:rPr>
              <w:t>100% of production</w:t>
            </w:r>
          </w:p>
        </w:tc>
        <w:tc>
          <w:tcPr>
            <w:tcW w:w="1400" w:type="dxa"/>
            <w:tcBorders>
              <w:top w:val="single" w:sz="1" w:space="0" w:color="CCCCCC"/>
              <w:left w:val="single" w:sz="1" w:space="0" w:color="CCCCCC"/>
              <w:bottom w:val="single" w:sz="1" w:space="0" w:color="CCCCCC"/>
              <w:right w:val="single" w:sz="1" w:space="0" w:color="CCCCCC"/>
            </w:tcBorders>
            <w:shd w:val="clear" w:color="auto" w:fill="FFFFFF"/>
            <w:tcMar>
              <w:top w:w="80" w:type="dxa"/>
              <w:left w:w="120" w:type="dxa"/>
              <w:bottom w:w="80" w:type="dxa"/>
              <w:right w:w="120" w:type="dxa"/>
            </w:tcMar>
          </w:tcPr>
          <w:p w14:paraId="1EEC1AEA" w14:textId="77777777" w:rsidR="004044B1" w:rsidRDefault="00000000">
            <w:r>
              <w:rPr>
                <w:sz w:val="19"/>
                <w:szCs w:val="19"/>
              </w:rPr>
              <w:t>20–30%</w:t>
            </w:r>
          </w:p>
        </w:tc>
        <w:tc>
          <w:tcPr>
            <w:tcW w:w="2560" w:type="dxa"/>
            <w:tcBorders>
              <w:top w:val="single" w:sz="1" w:space="0" w:color="CCCCCC"/>
              <w:left w:val="single" w:sz="1" w:space="0" w:color="CCCCCC"/>
              <w:bottom w:val="single" w:sz="1" w:space="0" w:color="CCCCCC"/>
              <w:right w:val="single" w:sz="1" w:space="0" w:color="CCCCCC"/>
            </w:tcBorders>
            <w:shd w:val="clear" w:color="auto" w:fill="FFFFFF"/>
            <w:tcMar>
              <w:top w:w="80" w:type="dxa"/>
              <w:left w:w="120" w:type="dxa"/>
              <w:bottom w:w="80" w:type="dxa"/>
              <w:right w:w="120" w:type="dxa"/>
            </w:tcMar>
          </w:tcPr>
          <w:p w14:paraId="62D14145" w14:textId="77777777" w:rsidR="004044B1" w:rsidRPr="00A7219E" w:rsidRDefault="00000000">
            <w:pPr>
              <w:rPr>
                <w:lang w:val="it-IT"/>
              </w:rPr>
            </w:pPr>
            <w:r>
              <w:rPr>
                <w:sz w:val="19"/>
                <w:szCs w:val="19"/>
                <w:lang w:val="it-IT"/>
              </w:rPr>
              <w:t>Minimal credit via scaling formula</w:t>
            </w:r>
          </w:p>
        </w:tc>
      </w:tr>
      <w:tr w:rsidR="004044B1" w14:paraId="57BB2E81" w14:textId="77777777">
        <w:tc>
          <w:tcPr>
            <w:tcW w:w="1600" w:type="dxa"/>
            <w:tcBorders>
              <w:top w:val="single" w:sz="1" w:space="0" w:color="CCCCCC"/>
              <w:left w:val="single" w:sz="1" w:space="0" w:color="CCCCCC"/>
              <w:bottom w:val="single" w:sz="1" w:space="0" w:color="CCCCCC"/>
              <w:right w:val="single" w:sz="1" w:space="0" w:color="CCCCCC"/>
            </w:tcBorders>
            <w:shd w:val="clear" w:color="auto" w:fill="F5F7FA"/>
            <w:tcMar>
              <w:top w:w="80" w:type="dxa"/>
              <w:left w:w="120" w:type="dxa"/>
              <w:bottom w:w="80" w:type="dxa"/>
              <w:right w:w="120" w:type="dxa"/>
            </w:tcMar>
          </w:tcPr>
          <w:p w14:paraId="7B71707C" w14:textId="77777777" w:rsidR="004044B1" w:rsidRDefault="00000000">
            <w:r>
              <w:rPr>
                <w:b/>
                <w:bCs/>
                <w:sz w:val="19"/>
                <w:szCs w:val="19"/>
              </w:rPr>
              <w:t>Hybrid—majority offshore (pharma, auto OEMs)</w:t>
            </w:r>
          </w:p>
        </w:tc>
        <w:tc>
          <w:tcPr>
            <w:tcW w:w="1900" w:type="dxa"/>
            <w:tcBorders>
              <w:top w:val="single" w:sz="1" w:space="0" w:color="CCCCCC"/>
              <w:left w:val="single" w:sz="1" w:space="0" w:color="CCCCCC"/>
              <w:bottom w:val="single" w:sz="1" w:space="0" w:color="CCCCCC"/>
              <w:right w:val="single" w:sz="1" w:space="0" w:color="CCCCCC"/>
            </w:tcBorders>
            <w:shd w:val="clear" w:color="auto" w:fill="F5F7FA"/>
            <w:tcMar>
              <w:top w:w="80" w:type="dxa"/>
              <w:left w:w="120" w:type="dxa"/>
              <w:bottom w:w="80" w:type="dxa"/>
              <w:right w:w="120" w:type="dxa"/>
            </w:tcMar>
          </w:tcPr>
          <w:p w14:paraId="49F54938" w14:textId="77777777" w:rsidR="004044B1" w:rsidRDefault="00000000">
            <w:r>
              <w:rPr>
                <w:sz w:val="19"/>
                <w:szCs w:val="19"/>
              </w:rPr>
              <w:t>R&amp;D + some production + final assembly</w:t>
            </w:r>
          </w:p>
        </w:tc>
        <w:tc>
          <w:tcPr>
            <w:tcW w:w="1900" w:type="dxa"/>
            <w:tcBorders>
              <w:top w:val="single" w:sz="1" w:space="0" w:color="CCCCCC"/>
              <w:left w:val="single" w:sz="1" w:space="0" w:color="CCCCCC"/>
              <w:bottom w:val="single" w:sz="1" w:space="0" w:color="CCCCCC"/>
              <w:right w:val="single" w:sz="1" w:space="0" w:color="CCCCCC"/>
            </w:tcBorders>
            <w:shd w:val="clear" w:color="auto" w:fill="F5F7FA"/>
            <w:tcMar>
              <w:top w:w="80" w:type="dxa"/>
              <w:left w:w="120" w:type="dxa"/>
              <w:bottom w:w="80" w:type="dxa"/>
              <w:right w:w="120" w:type="dxa"/>
            </w:tcMar>
          </w:tcPr>
          <w:p w14:paraId="6206D311" w14:textId="77777777" w:rsidR="004044B1" w:rsidRDefault="00000000">
            <w:r>
              <w:rPr>
                <w:sz w:val="19"/>
                <w:szCs w:val="19"/>
              </w:rPr>
              <w:t>60–80% of production</w:t>
            </w:r>
          </w:p>
        </w:tc>
        <w:tc>
          <w:tcPr>
            <w:tcW w:w="1400" w:type="dxa"/>
            <w:tcBorders>
              <w:top w:val="single" w:sz="1" w:space="0" w:color="CCCCCC"/>
              <w:left w:val="single" w:sz="1" w:space="0" w:color="CCCCCC"/>
              <w:bottom w:val="single" w:sz="1" w:space="0" w:color="CCCCCC"/>
              <w:right w:val="single" w:sz="1" w:space="0" w:color="CCCCCC"/>
            </w:tcBorders>
            <w:shd w:val="clear" w:color="auto" w:fill="F5F7FA"/>
            <w:tcMar>
              <w:top w:w="80" w:type="dxa"/>
              <w:left w:w="120" w:type="dxa"/>
              <w:bottom w:w="80" w:type="dxa"/>
              <w:right w:w="120" w:type="dxa"/>
            </w:tcMar>
          </w:tcPr>
          <w:p w14:paraId="3ADC1854" w14:textId="77777777" w:rsidR="004044B1" w:rsidRDefault="00000000">
            <w:r>
              <w:rPr>
                <w:sz w:val="19"/>
                <w:szCs w:val="19"/>
              </w:rPr>
              <w:t>35–55%</w:t>
            </w:r>
          </w:p>
        </w:tc>
        <w:tc>
          <w:tcPr>
            <w:tcW w:w="2560" w:type="dxa"/>
            <w:tcBorders>
              <w:top w:val="single" w:sz="1" w:space="0" w:color="CCCCCC"/>
              <w:left w:val="single" w:sz="1" w:space="0" w:color="CCCCCC"/>
              <w:bottom w:val="single" w:sz="1" w:space="0" w:color="CCCCCC"/>
              <w:right w:val="single" w:sz="1" w:space="0" w:color="CCCCCC"/>
            </w:tcBorders>
            <w:shd w:val="clear" w:color="auto" w:fill="F5F7FA"/>
            <w:tcMar>
              <w:top w:w="80" w:type="dxa"/>
              <w:left w:w="120" w:type="dxa"/>
              <w:bottom w:w="80" w:type="dxa"/>
              <w:right w:w="120" w:type="dxa"/>
            </w:tcMar>
          </w:tcPr>
          <w:p w14:paraId="289E3099" w14:textId="77777777" w:rsidR="004044B1" w:rsidRDefault="00000000">
            <w:r>
              <w:rPr>
                <w:sz w:val="19"/>
                <w:szCs w:val="19"/>
              </w:rPr>
              <w:t>Moderate credit; scaling formula partially limits</w:t>
            </w:r>
          </w:p>
        </w:tc>
      </w:tr>
      <w:tr w:rsidR="004044B1" w14:paraId="7E99DF69" w14:textId="77777777">
        <w:tc>
          <w:tcPr>
            <w:tcW w:w="1600" w:type="dxa"/>
            <w:tcBorders>
              <w:top w:val="single" w:sz="1" w:space="0" w:color="CCCCCC"/>
              <w:left w:val="single" w:sz="1" w:space="0" w:color="CCCCCC"/>
              <w:bottom w:val="single" w:sz="1" w:space="0" w:color="CCCCCC"/>
              <w:right w:val="single" w:sz="1" w:space="0" w:color="CCCCCC"/>
            </w:tcBorders>
            <w:shd w:val="clear" w:color="auto" w:fill="FFFFFF"/>
            <w:tcMar>
              <w:top w:w="80" w:type="dxa"/>
              <w:left w:w="120" w:type="dxa"/>
              <w:bottom w:w="80" w:type="dxa"/>
              <w:right w:w="120" w:type="dxa"/>
            </w:tcMar>
          </w:tcPr>
          <w:p w14:paraId="42F3EB4C" w14:textId="77777777" w:rsidR="004044B1" w:rsidRDefault="00000000">
            <w:r>
              <w:rPr>
                <w:b/>
                <w:bCs/>
                <w:sz w:val="19"/>
                <w:szCs w:val="19"/>
              </w:rPr>
              <w:t>Hybrid—majority domestic (defense, heavy industry)</w:t>
            </w:r>
          </w:p>
        </w:tc>
        <w:tc>
          <w:tcPr>
            <w:tcW w:w="1900" w:type="dxa"/>
            <w:tcBorders>
              <w:top w:val="single" w:sz="1" w:space="0" w:color="CCCCCC"/>
              <w:left w:val="single" w:sz="1" w:space="0" w:color="CCCCCC"/>
              <w:bottom w:val="single" w:sz="1" w:space="0" w:color="CCCCCC"/>
              <w:right w:val="single" w:sz="1" w:space="0" w:color="CCCCCC"/>
            </w:tcBorders>
            <w:shd w:val="clear" w:color="auto" w:fill="FFFFFF"/>
            <w:tcMar>
              <w:top w:w="80" w:type="dxa"/>
              <w:left w:w="120" w:type="dxa"/>
              <w:bottom w:w="80" w:type="dxa"/>
              <w:right w:w="120" w:type="dxa"/>
            </w:tcMar>
          </w:tcPr>
          <w:p w14:paraId="229693AF" w14:textId="77777777" w:rsidR="004044B1" w:rsidRDefault="00000000">
            <w:r>
              <w:rPr>
                <w:sz w:val="19"/>
                <w:szCs w:val="19"/>
              </w:rPr>
              <w:t>R&amp;D + majority production</w:t>
            </w:r>
          </w:p>
        </w:tc>
        <w:tc>
          <w:tcPr>
            <w:tcW w:w="1900" w:type="dxa"/>
            <w:tcBorders>
              <w:top w:val="single" w:sz="1" w:space="0" w:color="CCCCCC"/>
              <w:left w:val="single" w:sz="1" w:space="0" w:color="CCCCCC"/>
              <w:bottom w:val="single" w:sz="1" w:space="0" w:color="CCCCCC"/>
              <w:right w:val="single" w:sz="1" w:space="0" w:color="CCCCCC"/>
            </w:tcBorders>
            <w:shd w:val="clear" w:color="auto" w:fill="FFFFFF"/>
            <w:tcMar>
              <w:top w:w="80" w:type="dxa"/>
              <w:left w:w="120" w:type="dxa"/>
              <w:bottom w:w="80" w:type="dxa"/>
              <w:right w:w="120" w:type="dxa"/>
            </w:tcMar>
          </w:tcPr>
          <w:p w14:paraId="05AC6896" w14:textId="77777777" w:rsidR="004044B1" w:rsidRDefault="00000000">
            <w:r>
              <w:rPr>
                <w:sz w:val="19"/>
                <w:szCs w:val="19"/>
              </w:rPr>
              <w:t>20–40% of production</w:t>
            </w:r>
          </w:p>
        </w:tc>
        <w:tc>
          <w:tcPr>
            <w:tcW w:w="1400" w:type="dxa"/>
            <w:tcBorders>
              <w:top w:val="single" w:sz="1" w:space="0" w:color="CCCCCC"/>
              <w:left w:val="single" w:sz="1" w:space="0" w:color="CCCCCC"/>
              <w:bottom w:val="single" w:sz="1" w:space="0" w:color="CCCCCC"/>
              <w:right w:val="single" w:sz="1" w:space="0" w:color="CCCCCC"/>
            </w:tcBorders>
            <w:shd w:val="clear" w:color="auto" w:fill="FFFFFF"/>
            <w:tcMar>
              <w:top w:w="80" w:type="dxa"/>
              <w:left w:w="120" w:type="dxa"/>
              <w:bottom w:w="80" w:type="dxa"/>
              <w:right w:w="120" w:type="dxa"/>
            </w:tcMar>
          </w:tcPr>
          <w:p w14:paraId="4234E4F6" w14:textId="77777777" w:rsidR="004044B1" w:rsidRDefault="00000000">
            <w:r>
              <w:rPr>
                <w:sz w:val="19"/>
                <w:szCs w:val="19"/>
              </w:rPr>
              <w:t>55–75%</w:t>
            </w:r>
          </w:p>
        </w:tc>
        <w:tc>
          <w:tcPr>
            <w:tcW w:w="2560" w:type="dxa"/>
            <w:tcBorders>
              <w:top w:val="single" w:sz="1" w:space="0" w:color="CCCCCC"/>
              <w:left w:val="single" w:sz="1" w:space="0" w:color="CCCCCC"/>
              <w:bottom w:val="single" w:sz="1" w:space="0" w:color="CCCCCC"/>
              <w:right w:val="single" w:sz="1" w:space="0" w:color="CCCCCC"/>
            </w:tcBorders>
            <w:shd w:val="clear" w:color="auto" w:fill="FFFFFF"/>
            <w:tcMar>
              <w:top w:w="80" w:type="dxa"/>
              <w:left w:w="120" w:type="dxa"/>
              <w:bottom w:w="80" w:type="dxa"/>
              <w:right w:w="120" w:type="dxa"/>
            </w:tcMar>
          </w:tcPr>
          <w:p w14:paraId="02407A20" w14:textId="77777777" w:rsidR="004044B1" w:rsidRDefault="00000000">
            <w:r>
              <w:rPr>
                <w:sz w:val="19"/>
                <w:szCs w:val="19"/>
              </w:rPr>
              <w:t>Substantial credit; appropriate targeting</w:t>
            </w:r>
          </w:p>
        </w:tc>
      </w:tr>
      <w:tr w:rsidR="004044B1" w14:paraId="27E987C6" w14:textId="77777777">
        <w:tc>
          <w:tcPr>
            <w:tcW w:w="1600" w:type="dxa"/>
            <w:tcBorders>
              <w:top w:val="single" w:sz="1" w:space="0" w:color="CCCCCC"/>
              <w:left w:val="single" w:sz="1" w:space="0" w:color="CCCCCC"/>
              <w:bottom w:val="single" w:sz="1" w:space="0" w:color="CCCCCC"/>
              <w:right w:val="single" w:sz="1" w:space="0" w:color="CCCCCC"/>
            </w:tcBorders>
            <w:shd w:val="clear" w:color="auto" w:fill="F5F7FA"/>
            <w:tcMar>
              <w:top w:w="80" w:type="dxa"/>
              <w:left w:w="120" w:type="dxa"/>
              <w:bottom w:w="80" w:type="dxa"/>
              <w:right w:w="120" w:type="dxa"/>
            </w:tcMar>
          </w:tcPr>
          <w:p w14:paraId="701CAB6A" w14:textId="77777777" w:rsidR="004044B1" w:rsidRDefault="00000000">
            <w:r>
              <w:rPr>
                <w:b/>
                <w:bCs/>
                <w:sz w:val="19"/>
                <w:szCs w:val="19"/>
              </w:rPr>
              <w:t>Fully integrated (steel, chemicals, food processing)</w:t>
            </w:r>
          </w:p>
        </w:tc>
        <w:tc>
          <w:tcPr>
            <w:tcW w:w="1900" w:type="dxa"/>
            <w:tcBorders>
              <w:top w:val="single" w:sz="1" w:space="0" w:color="CCCCCC"/>
              <w:left w:val="single" w:sz="1" w:space="0" w:color="CCCCCC"/>
              <w:bottom w:val="single" w:sz="1" w:space="0" w:color="CCCCCC"/>
              <w:right w:val="single" w:sz="1" w:space="0" w:color="CCCCCC"/>
            </w:tcBorders>
            <w:shd w:val="clear" w:color="auto" w:fill="F5F7FA"/>
            <w:tcMar>
              <w:top w:w="80" w:type="dxa"/>
              <w:left w:w="120" w:type="dxa"/>
              <w:bottom w:w="80" w:type="dxa"/>
              <w:right w:w="120" w:type="dxa"/>
            </w:tcMar>
          </w:tcPr>
          <w:p w14:paraId="16E90469" w14:textId="77777777" w:rsidR="004044B1" w:rsidRDefault="00000000">
            <w:r>
              <w:rPr>
                <w:sz w:val="19"/>
                <w:szCs w:val="19"/>
              </w:rPr>
              <w:t>100% domestic</w:t>
            </w:r>
          </w:p>
        </w:tc>
        <w:tc>
          <w:tcPr>
            <w:tcW w:w="1900" w:type="dxa"/>
            <w:tcBorders>
              <w:top w:val="single" w:sz="1" w:space="0" w:color="CCCCCC"/>
              <w:left w:val="single" w:sz="1" w:space="0" w:color="CCCCCC"/>
              <w:bottom w:val="single" w:sz="1" w:space="0" w:color="CCCCCC"/>
              <w:right w:val="single" w:sz="1" w:space="0" w:color="CCCCCC"/>
            </w:tcBorders>
            <w:shd w:val="clear" w:color="auto" w:fill="F5F7FA"/>
            <w:tcMar>
              <w:top w:w="80" w:type="dxa"/>
              <w:left w:w="120" w:type="dxa"/>
              <w:bottom w:w="80" w:type="dxa"/>
              <w:right w:w="120" w:type="dxa"/>
            </w:tcMar>
          </w:tcPr>
          <w:p w14:paraId="045AF036" w14:textId="77777777" w:rsidR="004044B1" w:rsidRDefault="00000000">
            <w:r>
              <w:rPr>
                <w:sz w:val="19"/>
                <w:szCs w:val="19"/>
              </w:rPr>
              <w:t>None</w:t>
            </w:r>
          </w:p>
        </w:tc>
        <w:tc>
          <w:tcPr>
            <w:tcW w:w="1400" w:type="dxa"/>
            <w:tcBorders>
              <w:top w:val="single" w:sz="1" w:space="0" w:color="CCCCCC"/>
              <w:left w:val="single" w:sz="1" w:space="0" w:color="CCCCCC"/>
              <w:bottom w:val="single" w:sz="1" w:space="0" w:color="CCCCCC"/>
              <w:right w:val="single" w:sz="1" w:space="0" w:color="CCCCCC"/>
            </w:tcBorders>
            <w:shd w:val="clear" w:color="auto" w:fill="F5F7FA"/>
            <w:tcMar>
              <w:top w:w="80" w:type="dxa"/>
              <w:left w:w="120" w:type="dxa"/>
              <w:bottom w:w="80" w:type="dxa"/>
              <w:right w:w="120" w:type="dxa"/>
            </w:tcMar>
          </w:tcPr>
          <w:p w14:paraId="2FBE06B5" w14:textId="77777777" w:rsidR="004044B1" w:rsidRDefault="00000000">
            <w:r>
              <w:rPr>
                <w:sz w:val="19"/>
                <w:szCs w:val="19"/>
              </w:rPr>
              <w:t>75–90%</w:t>
            </w:r>
          </w:p>
        </w:tc>
        <w:tc>
          <w:tcPr>
            <w:tcW w:w="2560" w:type="dxa"/>
            <w:tcBorders>
              <w:top w:val="single" w:sz="1" w:space="0" w:color="CCCCCC"/>
              <w:left w:val="single" w:sz="1" w:space="0" w:color="CCCCCC"/>
              <w:bottom w:val="single" w:sz="1" w:space="0" w:color="CCCCCC"/>
              <w:right w:val="single" w:sz="1" w:space="0" w:color="CCCCCC"/>
            </w:tcBorders>
            <w:shd w:val="clear" w:color="auto" w:fill="F5F7FA"/>
            <w:tcMar>
              <w:top w:w="80" w:type="dxa"/>
              <w:left w:w="120" w:type="dxa"/>
              <w:bottom w:w="80" w:type="dxa"/>
              <w:right w:w="120" w:type="dxa"/>
            </w:tcMar>
          </w:tcPr>
          <w:p w14:paraId="28142559" w14:textId="77777777" w:rsidR="004044B1" w:rsidRDefault="00000000">
            <w:r>
              <w:rPr>
                <w:sz w:val="19"/>
                <w:szCs w:val="19"/>
              </w:rPr>
              <w:t>Full credit; intended target</w:t>
            </w:r>
          </w:p>
        </w:tc>
      </w:tr>
    </w:tbl>
    <w:p w14:paraId="450A727F" w14:textId="77777777" w:rsidR="004044B1" w:rsidRDefault="004044B1">
      <w:pPr>
        <w:spacing w:before="80" w:after="80"/>
      </w:pPr>
    </w:p>
    <w:p w14:paraId="3CD75B7D" w14:textId="77777777" w:rsidR="004044B1" w:rsidRDefault="00000000">
      <w:pPr>
        <w:spacing w:before="200" w:after="100"/>
      </w:pPr>
      <w:r>
        <w:rPr>
          <w:b/>
          <w:bCs/>
          <w:color w:val="1F3864"/>
          <w:sz w:val="24"/>
          <w:szCs w:val="24"/>
        </w:rPr>
        <w:t>Recommended Approach: Establishment-Level DVA</w:t>
      </w:r>
    </w:p>
    <w:p w14:paraId="2CDD8CB9" w14:textId="77777777" w:rsidR="004044B1" w:rsidRDefault="00000000">
      <w:pPr>
        <w:spacing w:before="80" w:after="120"/>
      </w:pPr>
      <w:r>
        <w:t xml:space="preserve">The cleanest solution for hybrid firms is to compute DVA at the establishment level rather than the enterprise level. Under this approach, a pharmaceutical company with a domestic R&amp;D campus, a domestic pill-finishing facility, and offshore API production would compute separate DVA ratios for each establishment. The R&amp;D campus would qualify at the reduced 2% rate </w:t>
      </w:r>
      <w:r>
        <w:lastRenderedPageBreak/>
        <w:t>(under Option B) or be excluded (under Option A). The domestic pill-finishing facility would qualify at the full 5% rate on its production costs. Offshore production generates no credit.</w:t>
      </w:r>
    </w:p>
    <w:p w14:paraId="4A6C6588" w14:textId="77777777" w:rsidR="004044B1" w:rsidRDefault="00000000">
      <w:pPr>
        <w:spacing w:before="80" w:after="120"/>
      </w:pPr>
      <w:r>
        <w:t>This approach prevents a firm from averaging its high-DVA domestic R&amp;D costs with its low-DVA production costs to inflate its aggregate DVA ratio. It also creates a direct, establishment-specific incentive: the marginal return to opening a new domestic production line is the full 5% credit on that line’s costs, regardless of what the firm does elsewhere.</w:t>
      </w:r>
    </w:p>
    <w:tbl>
      <w:tblPr>
        <w:tblW w:w="936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0" w:type="dxa"/>
          <w:right w:w="10" w:type="dxa"/>
        </w:tblCellMar>
        <w:tblLook w:val="0000" w:firstRow="0" w:lastRow="0" w:firstColumn="0" w:lastColumn="0" w:noHBand="0" w:noVBand="0"/>
      </w:tblPr>
      <w:tblGrid>
        <w:gridCol w:w="9360"/>
      </w:tblGrid>
      <w:tr w:rsidR="004044B1" w14:paraId="33F9112F" w14:textId="77777777">
        <w:tc>
          <w:tcPr>
            <w:tcW w:w="9360" w:type="dxa"/>
            <w:tcBorders>
              <w:left w:val="single" w:sz="12" w:space="0" w:color="2E75B6"/>
            </w:tcBorders>
            <w:shd w:val="clear" w:color="auto" w:fill="F5F8FF"/>
            <w:tcMar>
              <w:top w:w="80" w:type="dxa"/>
              <w:left w:w="240" w:type="dxa"/>
              <w:bottom w:w="80" w:type="dxa"/>
              <w:right w:w="120" w:type="dxa"/>
            </w:tcMar>
          </w:tcPr>
          <w:p w14:paraId="3B7FE175" w14:textId="77777777" w:rsidR="004044B1" w:rsidRDefault="00000000">
            <w:pPr>
              <w:spacing w:before="40" w:after="40"/>
            </w:pPr>
            <w:r>
              <w:rPr>
                <w:i/>
                <w:iCs/>
              </w:rPr>
              <w:t>Proposed statutory language (§38A(d)(4)): “The domestic value-added fraction shall be computed separately for each domestic manufacturing establishment of the taxpayer. For purposes of this paragraph, a ‘domestic manufacturing establishment’ means a single physical location within the United States at which the taxpayer performs physical transformation of tangible personal property. Costs attributable to establishments that do not perform physical transformation shall be allocated to qualifying establishments on a reasonable basis, or excluded at the taxpayer’s election.”</w:t>
            </w:r>
          </w:p>
        </w:tc>
      </w:tr>
    </w:tbl>
    <w:p w14:paraId="7514FD15" w14:textId="77777777" w:rsidR="004044B1" w:rsidRDefault="00000000">
      <w:pPr>
        <w:pStyle w:val="Heading2"/>
      </w:pPr>
      <w:r>
        <w:t>K. Effect on CBA Published Estimates</w:t>
      </w:r>
    </w:p>
    <w:p w14:paraId="413DF3A2" w14:textId="77777777" w:rsidR="004044B1" w:rsidRDefault="004044B1">
      <w:pPr>
        <w:spacing w:before="80" w:after="80"/>
      </w:pPr>
    </w:p>
    <w:tbl>
      <w:tblPr>
        <w:tblW w:w="936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0" w:type="dxa"/>
          <w:right w:w="10" w:type="dxa"/>
        </w:tblCellMar>
        <w:tblLook w:val="0000" w:firstRow="0" w:lastRow="0" w:firstColumn="0" w:lastColumn="0" w:noHBand="0" w:noVBand="0"/>
      </w:tblPr>
      <w:tblGrid>
        <w:gridCol w:w="2700"/>
        <w:gridCol w:w="2220"/>
        <w:gridCol w:w="2220"/>
        <w:gridCol w:w="2220"/>
      </w:tblGrid>
      <w:tr w:rsidR="004044B1" w14:paraId="5931095F" w14:textId="77777777">
        <w:trPr>
          <w:tblHeader/>
        </w:trPr>
        <w:tc>
          <w:tcPr>
            <w:tcW w:w="2700" w:type="dxa"/>
            <w:tcBorders>
              <w:top w:val="single" w:sz="1" w:space="0" w:color="CCCCCC"/>
              <w:left w:val="single" w:sz="1" w:space="0" w:color="CCCCCC"/>
              <w:bottom w:val="single" w:sz="1" w:space="0" w:color="CCCCCC"/>
              <w:right w:val="single" w:sz="1" w:space="0" w:color="CCCCCC"/>
            </w:tcBorders>
            <w:shd w:val="clear" w:color="auto" w:fill="2E75B6"/>
            <w:tcMar>
              <w:top w:w="80" w:type="dxa"/>
              <w:left w:w="120" w:type="dxa"/>
              <w:bottom w:w="80" w:type="dxa"/>
              <w:right w:w="120" w:type="dxa"/>
            </w:tcMar>
          </w:tcPr>
          <w:p w14:paraId="00B86200" w14:textId="77777777" w:rsidR="004044B1" w:rsidRDefault="00000000">
            <w:r>
              <w:rPr>
                <w:b/>
                <w:bCs/>
                <w:color w:val="FFFFFF"/>
                <w:sz w:val="19"/>
                <w:szCs w:val="19"/>
              </w:rPr>
              <w:t>Metric</w:t>
            </w:r>
          </w:p>
        </w:tc>
        <w:tc>
          <w:tcPr>
            <w:tcW w:w="2220" w:type="dxa"/>
            <w:tcBorders>
              <w:top w:val="single" w:sz="1" w:space="0" w:color="CCCCCC"/>
              <w:left w:val="single" w:sz="1" w:space="0" w:color="CCCCCC"/>
              <w:bottom w:val="single" w:sz="1" w:space="0" w:color="CCCCCC"/>
              <w:right w:val="single" w:sz="1" w:space="0" w:color="CCCCCC"/>
            </w:tcBorders>
            <w:shd w:val="clear" w:color="auto" w:fill="2E75B6"/>
            <w:tcMar>
              <w:top w:w="80" w:type="dxa"/>
              <w:left w:w="120" w:type="dxa"/>
              <w:bottom w:w="80" w:type="dxa"/>
              <w:right w:w="120" w:type="dxa"/>
            </w:tcMar>
          </w:tcPr>
          <w:p w14:paraId="3C944CCD" w14:textId="77777777" w:rsidR="004044B1" w:rsidRDefault="00000000">
            <w:r>
              <w:rPr>
                <w:b/>
                <w:bCs/>
                <w:color w:val="FFFFFF"/>
                <w:sz w:val="19"/>
                <w:szCs w:val="19"/>
              </w:rPr>
              <w:t>Current CBA</w:t>
            </w:r>
          </w:p>
        </w:tc>
        <w:tc>
          <w:tcPr>
            <w:tcW w:w="2220" w:type="dxa"/>
            <w:tcBorders>
              <w:top w:val="single" w:sz="1" w:space="0" w:color="CCCCCC"/>
              <w:left w:val="single" w:sz="1" w:space="0" w:color="CCCCCC"/>
              <w:bottom w:val="single" w:sz="1" w:space="0" w:color="CCCCCC"/>
              <w:right w:val="single" w:sz="1" w:space="0" w:color="CCCCCC"/>
            </w:tcBorders>
            <w:shd w:val="clear" w:color="auto" w:fill="2E75B6"/>
            <w:tcMar>
              <w:top w:w="80" w:type="dxa"/>
              <w:left w:w="120" w:type="dxa"/>
              <w:bottom w:w="80" w:type="dxa"/>
              <w:right w:w="120" w:type="dxa"/>
            </w:tcMar>
          </w:tcPr>
          <w:p w14:paraId="20533429" w14:textId="77777777" w:rsidR="004044B1" w:rsidRDefault="00000000">
            <w:r>
              <w:rPr>
                <w:b/>
                <w:bCs/>
                <w:color w:val="FFFFFF"/>
                <w:sz w:val="19"/>
                <w:szCs w:val="19"/>
              </w:rPr>
              <w:t>Option A (Strict)</w:t>
            </w:r>
          </w:p>
        </w:tc>
        <w:tc>
          <w:tcPr>
            <w:tcW w:w="2220" w:type="dxa"/>
            <w:tcBorders>
              <w:top w:val="single" w:sz="1" w:space="0" w:color="CCCCCC"/>
              <w:left w:val="single" w:sz="1" w:space="0" w:color="CCCCCC"/>
              <w:bottom w:val="single" w:sz="1" w:space="0" w:color="CCCCCC"/>
              <w:right w:val="single" w:sz="1" w:space="0" w:color="CCCCCC"/>
            </w:tcBorders>
            <w:shd w:val="clear" w:color="auto" w:fill="2E75B6"/>
            <w:tcMar>
              <w:top w:w="80" w:type="dxa"/>
              <w:left w:w="120" w:type="dxa"/>
              <w:bottom w:w="80" w:type="dxa"/>
              <w:right w:w="120" w:type="dxa"/>
            </w:tcMar>
          </w:tcPr>
          <w:p w14:paraId="3304C61D" w14:textId="77777777" w:rsidR="004044B1" w:rsidRDefault="00000000">
            <w:r>
              <w:rPr>
                <w:b/>
                <w:bCs/>
                <w:color w:val="FFFFFF"/>
                <w:sz w:val="19"/>
                <w:szCs w:val="19"/>
              </w:rPr>
              <w:t>Option B (Tiered, Recommended)</w:t>
            </w:r>
          </w:p>
        </w:tc>
      </w:tr>
      <w:tr w:rsidR="004044B1" w14:paraId="123E117A" w14:textId="77777777">
        <w:tc>
          <w:tcPr>
            <w:tcW w:w="2700" w:type="dxa"/>
            <w:tcBorders>
              <w:top w:val="single" w:sz="1" w:space="0" w:color="CCCCCC"/>
              <w:left w:val="single" w:sz="1" w:space="0" w:color="CCCCCC"/>
              <w:bottom w:val="single" w:sz="1" w:space="0" w:color="CCCCCC"/>
              <w:right w:val="single" w:sz="1" w:space="0" w:color="CCCCCC"/>
            </w:tcBorders>
            <w:shd w:val="clear" w:color="auto" w:fill="FFFFFF"/>
            <w:tcMar>
              <w:top w:w="80" w:type="dxa"/>
              <w:left w:w="120" w:type="dxa"/>
              <w:bottom w:w="80" w:type="dxa"/>
              <w:right w:w="120" w:type="dxa"/>
            </w:tcMar>
          </w:tcPr>
          <w:p w14:paraId="49415C40" w14:textId="77777777" w:rsidR="004044B1" w:rsidRDefault="00000000">
            <w:r>
              <w:rPr>
                <w:b/>
                <w:bCs/>
                <w:sz w:val="19"/>
                <w:szCs w:val="19"/>
              </w:rPr>
              <w:t>MINA 10-Yr Cost</w:t>
            </w:r>
          </w:p>
        </w:tc>
        <w:tc>
          <w:tcPr>
            <w:tcW w:w="2220" w:type="dxa"/>
            <w:tcBorders>
              <w:top w:val="single" w:sz="1" w:space="0" w:color="CCCCCC"/>
              <w:left w:val="single" w:sz="1" w:space="0" w:color="CCCCCC"/>
              <w:bottom w:val="single" w:sz="1" w:space="0" w:color="CCCCCC"/>
              <w:right w:val="single" w:sz="1" w:space="0" w:color="CCCCCC"/>
            </w:tcBorders>
            <w:shd w:val="clear" w:color="auto" w:fill="FFFFFF"/>
            <w:tcMar>
              <w:top w:w="80" w:type="dxa"/>
              <w:left w:w="120" w:type="dxa"/>
              <w:bottom w:w="80" w:type="dxa"/>
              <w:right w:w="120" w:type="dxa"/>
            </w:tcMar>
          </w:tcPr>
          <w:p w14:paraId="6B7CDBD0" w14:textId="77777777" w:rsidR="004044B1" w:rsidRDefault="00000000">
            <w:r>
              <w:rPr>
                <w:sz w:val="19"/>
                <w:szCs w:val="19"/>
              </w:rPr>
              <w:t>$1,028–1,127B</w:t>
            </w:r>
          </w:p>
        </w:tc>
        <w:tc>
          <w:tcPr>
            <w:tcW w:w="2220" w:type="dxa"/>
            <w:tcBorders>
              <w:top w:val="single" w:sz="1" w:space="0" w:color="CCCCCC"/>
              <w:left w:val="single" w:sz="1" w:space="0" w:color="CCCCCC"/>
              <w:bottom w:val="single" w:sz="1" w:space="0" w:color="CCCCCC"/>
              <w:right w:val="single" w:sz="1" w:space="0" w:color="CCCCCC"/>
            </w:tcBorders>
            <w:shd w:val="clear" w:color="auto" w:fill="FFFFFF"/>
            <w:tcMar>
              <w:top w:w="80" w:type="dxa"/>
              <w:left w:w="120" w:type="dxa"/>
              <w:bottom w:w="80" w:type="dxa"/>
              <w:right w:w="120" w:type="dxa"/>
            </w:tcMar>
          </w:tcPr>
          <w:p w14:paraId="3009AF3A" w14:textId="77777777" w:rsidR="004044B1" w:rsidRDefault="00000000">
            <w:r>
              <w:rPr>
                <w:sz w:val="19"/>
                <w:szCs w:val="19"/>
              </w:rPr>
              <w:t>$920–1,010B</w:t>
            </w:r>
          </w:p>
        </w:tc>
        <w:tc>
          <w:tcPr>
            <w:tcW w:w="2220" w:type="dxa"/>
            <w:tcBorders>
              <w:top w:val="single" w:sz="1" w:space="0" w:color="CCCCCC"/>
              <w:left w:val="single" w:sz="1" w:space="0" w:color="CCCCCC"/>
              <w:bottom w:val="single" w:sz="1" w:space="0" w:color="CCCCCC"/>
              <w:right w:val="single" w:sz="1" w:space="0" w:color="CCCCCC"/>
            </w:tcBorders>
            <w:shd w:val="clear" w:color="auto" w:fill="FFFFFF"/>
            <w:tcMar>
              <w:top w:w="80" w:type="dxa"/>
              <w:left w:w="120" w:type="dxa"/>
              <w:bottom w:w="80" w:type="dxa"/>
              <w:right w:w="120" w:type="dxa"/>
            </w:tcMar>
          </w:tcPr>
          <w:p w14:paraId="7E9416DD" w14:textId="77777777" w:rsidR="004044B1" w:rsidRDefault="00000000">
            <w:r>
              <w:rPr>
                <w:sz w:val="19"/>
                <w:szCs w:val="19"/>
              </w:rPr>
              <w:t>$975–1,070B</w:t>
            </w:r>
          </w:p>
        </w:tc>
      </w:tr>
      <w:tr w:rsidR="004044B1" w14:paraId="6505B57B" w14:textId="77777777">
        <w:tc>
          <w:tcPr>
            <w:tcW w:w="2700" w:type="dxa"/>
            <w:tcBorders>
              <w:top w:val="single" w:sz="1" w:space="0" w:color="CCCCCC"/>
              <w:left w:val="single" w:sz="1" w:space="0" w:color="CCCCCC"/>
              <w:bottom w:val="single" w:sz="1" w:space="0" w:color="CCCCCC"/>
              <w:right w:val="single" w:sz="1" w:space="0" w:color="CCCCCC"/>
            </w:tcBorders>
            <w:shd w:val="clear" w:color="auto" w:fill="F5F7FA"/>
            <w:tcMar>
              <w:top w:w="80" w:type="dxa"/>
              <w:left w:w="120" w:type="dxa"/>
              <w:bottom w:w="80" w:type="dxa"/>
              <w:right w:w="120" w:type="dxa"/>
            </w:tcMar>
          </w:tcPr>
          <w:p w14:paraId="72312C17" w14:textId="77777777" w:rsidR="004044B1" w:rsidRDefault="00000000">
            <w:r>
              <w:rPr>
                <w:b/>
                <w:bCs/>
                <w:sz w:val="19"/>
                <w:szCs w:val="19"/>
              </w:rPr>
              <w:t>DO IT NOW 10-Yr Cost</w:t>
            </w:r>
          </w:p>
        </w:tc>
        <w:tc>
          <w:tcPr>
            <w:tcW w:w="2220" w:type="dxa"/>
            <w:tcBorders>
              <w:top w:val="single" w:sz="1" w:space="0" w:color="CCCCCC"/>
              <w:left w:val="single" w:sz="1" w:space="0" w:color="CCCCCC"/>
              <w:bottom w:val="single" w:sz="1" w:space="0" w:color="CCCCCC"/>
              <w:right w:val="single" w:sz="1" w:space="0" w:color="CCCCCC"/>
            </w:tcBorders>
            <w:shd w:val="clear" w:color="auto" w:fill="F5F7FA"/>
            <w:tcMar>
              <w:top w:w="80" w:type="dxa"/>
              <w:left w:w="120" w:type="dxa"/>
              <w:bottom w:w="80" w:type="dxa"/>
              <w:right w:w="120" w:type="dxa"/>
            </w:tcMar>
          </w:tcPr>
          <w:p w14:paraId="63756617" w14:textId="77777777" w:rsidR="004044B1" w:rsidRDefault="00000000">
            <w:r>
              <w:rPr>
                <w:sz w:val="19"/>
                <w:szCs w:val="19"/>
              </w:rPr>
              <w:t>$323–354B</w:t>
            </w:r>
          </w:p>
        </w:tc>
        <w:tc>
          <w:tcPr>
            <w:tcW w:w="2220" w:type="dxa"/>
            <w:tcBorders>
              <w:top w:val="single" w:sz="1" w:space="0" w:color="CCCCCC"/>
              <w:left w:val="single" w:sz="1" w:space="0" w:color="CCCCCC"/>
              <w:bottom w:val="single" w:sz="1" w:space="0" w:color="CCCCCC"/>
              <w:right w:val="single" w:sz="1" w:space="0" w:color="CCCCCC"/>
            </w:tcBorders>
            <w:shd w:val="clear" w:color="auto" w:fill="F5F7FA"/>
            <w:tcMar>
              <w:top w:w="80" w:type="dxa"/>
              <w:left w:w="120" w:type="dxa"/>
              <w:bottom w:w="80" w:type="dxa"/>
              <w:right w:w="120" w:type="dxa"/>
            </w:tcMar>
          </w:tcPr>
          <w:p w14:paraId="29DA643D" w14:textId="77777777" w:rsidR="004044B1" w:rsidRDefault="00000000">
            <w:r>
              <w:rPr>
                <w:sz w:val="19"/>
                <w:szCs w:val="19"/>
              </w:rPr>
              <w:t>$290–320B</w:t>
            </w:r>
          </w:p>
        </w:tc>
        <w:tc>
          <w:tcPr>
            <w:tcW w:w="2220" w:type="dxa"/>
            <w:tcBorders>
              <w:top w:val="single" w:sz="1" w:space="0" w:color="CCCCCC"/>
              <w:left w:val="single" w:sz="1" w:space="0" w:color="CCCCCC"/>
              <w:bottom w:val="single" w:sz="1" w:space="0" w:color="CCCCCC"/>
              <w:right w:val="single" w:sz="1" w:space="0" w:color="CCCCCC"/>
            </w:tcBorders>
            <w:shd w:val="clear" w:color="auto" w:fill="F5F7FA"/>
            <w:tcMar>
              <w:top w:w="80" w:type="dxa"/>
              <w:left w:w="120" w:type="dxa"/>
              <w:bottom w:w="80" w:type="dxa"/>
              <w:right w:w="120" w:type="dxa"/>
            </w:tcMar>
          </w:tcPr>
          <w:p w14:paraId="3A443082" w14:textId="77777777" w:rsidR="004044B1" w:rsidRDefault="00000000">
            <w:r>
              <w:rPr>
                <w:sz w:val="19"/>
                <w:szCs w:val="19"/>
              </w:rPr>
              <w:t>$305–340B</w:t>
            </w:r>
          </w:p>
        </w:tc>
      </w:tr>
      <w:tr w:rsidR="004044B1" w14:paraId="0FE38535" w14:textId="77777777">
        <w:tc>
          <w:tcPr>
            <w:tcW w:w="2700" w:type="dxa"/>
            <w:tcBorders>
              <w:top w:val="single" w:sz="1" w:space="0" w:color="CCCCCC"/>
              <w:left w:val="single" w:sz="1" w:space="0" w:color="CCCCCC"/>
              <w:bottom w:val="single" w:sz="1" w:space="0" w:color="CCCCCC"/>
              <w:right w:val="single" w:sz="1" w:space="0" w:color="CCCCCC"/>
            </w:tcBorders>
            <w:shd w:val="clear" w:color="auto" w:fill="FFFFFF"/>
            <w:tcMar>
              <w:top w:w="80" w:type="dxa"/>
              <w:left w:w="120" w:type="dxa"/>
              <w:bottom w:w="80" w:type="dxa"/>
              <w:right w:w="120" w:type="dxa"/>
            </w:tcMar>
          </w:tcPr>
          <w:p w14:paraId="271009C0" w14:textId="77777777" w:rsidR="004044B1" w:rsidRDefault="00000000">
            <w:r>
              <w:rPr>
                <w:b/>
                <w:bCs/>
                <w:sz w:val="19"/>
                <w:szCs w:val="19"/>
              </w:rPr>
              <w:t>Package Cost</w:t>
            </w:r>
          </w:p>
        </w:tc>
        <w:tc>
          <w:tcPr>
            <w:tcW w:w="2220" w:type="dxa"/>
            <w:tcBorders>
              <w:top w:val="single" w:sz="1" w:space="0" w:color="CCCCCC"/>
              <w:left w:val="single" w:sz="1" w:space="0" w:color="CCCCCC"/>
              <w:bottom w:val="single" w:sz="1" w:space="0" w:color="CCCCCC"/>
              <w:right w:val="single" w:sz="1" w:space="0" w:color="CCCCCC"/>
            </w:tcBorders>
            <w:shd w:val="clear" w:color="auto" w:fill="FFFFFF"/>
            <w:tcMar>
              <w:top w:w="80" w:type="dxa"/>
              <w:left w:w="120" w:type="dxa"/>
              <w:bottom w:w="80" w:type="dxa"/>
              <w:right w:w="120" w:type="dxa"/>
            </w:tcMar>
          </w:tcPr>
          <w:p w14:paraId="2D52CAF7" w14:textId="77777777" w:rsidR="004044B1" w:rsidRDefault="00000000">
            <w:r>
              <w:rPr>
                <w:sz w:val="19"/>
                <w:szCs w:val="19"/>
              </w:rPr>
              <w:t>$1.40–1.57T</w:t>
            </w:r>
          </w:p>
        </w:tc>
        <w:tc>
          <w:tcPr>
            <w:tcW w:w="2220" w:type="dxa"/>
            <w:tcBorders>
              <w:top w:val="single" w:sz="1" w:space="0" w:color="CCCCCC"/>
              <w:left w:val="single" w:sz="1" w:space="0" w:color="CCCCCC"/>
              <w:bottom w:val="single" w:sz="1" w:space="0" w:color="CCCCCC"/>
              <w:right w:val="single" w:sz="1" w:space="0" w:color="CCCCCC"/>
            </w:tcBorders>
            <w:shd w:val="clear" w:color="auto" w:fill="FFFFFF"/>
            <w:tcMar>
              <w:top w:w="80" w:type="dxa"/>
              <w:left w:w="120" w:type="dxa"/>
              <w:bottom w:w="80" w:type="dxa"/>
              <w:right w:w="120" w:type="dxa"/>
            </w:tcMar>
          </w:tcPr>
          <w:p w14:paraId="5C4132C1" w14:textId="77777777" w:rsidR="004044B1" w:rsidRDefault="00000000">
            <w:r>
              <w:rPr>
                <w:sz w:val="19"/>
                <w:szCs w:val="19"/>
              </w:rPr>
              <w:t>$1.26–1.42T</w:t>
            </w:r>
          </w:p>
        </w:tc>
        <w:tc>
          <w:tcPr>
            <w:tcW w:w="2220" w:type="dxa"/>
            <w:tcBorders>
              <w:top w:val="single" w:sz="1" w:space="0" w:color="CCCCCC"/>
              <w:left w:val="single" w:sz="1" w:space="0" w:color="CCCCCC"/>
              <w:bottom w:val="single" w:sz="1" w:space="0" w:color="CCCCCC"/>
              <w:right w:val="single" w:sz="1" w:space="0" w:color="CCCCCC"/>
            </w:tcBorders>
            <w:shd w:val="clear" w:color="auto" w:fill="FFFFFF"/>
            <w:tcMar>
              <w:top w:w="80" w:type="dxa"/>
              <w:left w:w="120" w:type="dxa"/>
              <w:bottom w:w="80" w:type="dxa"/>
              <w:right w:w="120" w:type="dxa"/>
            </w:tcMar>
          </w:tcPr>
          <w:p w14:paraId="4C450BD3" w14:textId="77777777" w:rsidR="004044B1" w:rsidRDefault="00000000">
            <w:r>
              <w:rPr>
                <w:sz w:val="19"/>
                <w:szCs w:val="19"/>
              </w:rPr>
              <w:t>$1.33–1.49T</w:t>
            </w:r>
          </w:p>
        </w:tc>
      </w:tr>
      <w:tr w:rsidR="004044B1" w14:paraId="156FF089" w14:textId="77777777">
        <w:tc>
          <w:tcPr>
            <w:tcW w:w="2700" w:type="dxa"/>
            <w:tcBorders>
              <w:top w:val="single" w:sz="1" w:space="0" w:color="CCCCCC"/>
              <w:left w:val="single" w:sz="1" w:space="0" w:color="CCCCCC"/>
              <w:bottom w:val="single" w:sz="1" w:space="0" w:color="CCCCCC"/>
              <w:right w:val="single" w:sz="1" w:space="0" w:color="CCCCCC"/>
            </w:tcBorders>
            <w:shd w:val="clear" w:color="auto" w:fill="F5F7FA"/>
            <w:tcMar>
              <w:top w:w="80" w:type="dxa"/>
              <w:left w:w="120" w:type="dxa"/>
              <w:bottom w:w="80" w:type="dxa"/>
              <w:right w:w="120" w:type="dxa"/>
            </w:tcMar>
          </w:tcPr>
          <w:p w14:paraId="2679F6C8" w14:textId="77777777" w:rsidR="004044B1" w:rsidRDefault="00000000">
            <w:r>
              <w:rPr>
                <w:b/>
                <w:bCs/>
                <w:sz w:val="19"/>
                <w:szCs w:val="19"/>
              </w:rPr>
              <w:t>GDP Impact (10-Yr)</w:t>
            </w:r>
          </w:p>
        </w:tc>
        <w:tc>
          <w:tcPr>
            <w:tcW w:w="2220" w:type="dxa"/>
            <w:tcBorders>
              <w:top w:val="single" w:sz="1" w:space="0" w:color="CCCCCC"/>
              <w:left w:val="single" w:sz="1" w:space="0" w:color="CCCCCC"/>
              <w:bottom w:val="single" w:sz="1" w:space="0" w:color="CCCCCC"/>
              <w:right w:val="single" w:sz="1" w:space="0" w:color="CCCCCC"/>
            </w:tcBorders>
            <w:shd w:val="clear" w:color="auto" w:fill="F5F7FA"/>
            <w:tcMar>
              <w:top w:w="80" w:type="dxa"/>
              <w:left w:w="120" w:type="dxa"/>
              <w:bottom w:w="80" w:type="dxa"/>
              <w:right w:w="120" w:type="dxa"/>
            </w:tcMar>
          </w:tcPr>
          <w:p w14:paraId="2FFD16CC" w14:textId="77777777" w:rsidR="004044B1" w:rsidRDefault="00000000">
            <w:r>
              <w:rPr>
                <w:sz w:val="19"/>
                <w:szCs w:val="19"/>
              </w:rPr>
              <w:t>$2.3–4.4T</w:t>
            </w:r>
          </w:p>
        </w:tc>
        <w:tc>
          <w:tcPr>
            <w:tcW w:w="2220" w:type="dxa"/>
            <w:tcBorders>
              <w:top w:val="single" w:sz="1" w:space="0" w:color="CCCCCC"/>
              <w:left w:val="single" w:sz="1" w:space="0" w:color="CCCCCC"/>
              <w:bottom w:val="single" w:sz="1" w:space="0" w:color="CCCCCC"/>
              <w:right w:val="single" w:sz="1" w:space="0" w:color="CCCCCC"/>
            </w:tcBorders>
            <w:shd w:val="clear" w:color="auto" w:fill="F5F7FA"/>
            <w:tcMar>
              <w:top w:w="80" w:type="dxa"/>
              <w:left w:w="120" w:type="dxa"/>
              <w:bottom w:w="80" w:type="dxa"/>
              <w:right w:w="120" w:type="dxa"/>
            </w:tcMar>
          </w:tcPr>
          <w:p w14:paraId="1B60562B" w14:textId="77777777" w:rsidR="004044B1" w:rsidRDefault="00000000">
            <w:r>
              <w:rPr>
                <w:sz w:val="19"/>
                <w:szCs w:val="19"/>
              </w:rPr>
              <w:t>$2.1–3.9T</w:t>
            </w:r>
          </w:p>
        </w:tc>
        <w:tc>
          <w:tcPr>
            <w:tcW w:w="2220" w:type="dxa"/>
            <w:tcBorders>
              <w:top w:val="single" w:sz="1" w:space="0" w:color="CCCCCC"/>
              <w:left w:val="single" w:sz="1" w:space="0" w:color="CCCCCC"/>
              <w:bottom w:val="single" w:sz="1" w:space="0" w:color="CCCCCC"/>
              <w:right w:val="single" w:sz="1" w:space="0" w:color="CCCCCC"/>
            </w:tcBorders>
            <w:shd w:val="clear" w:color="auto" w:fill="F5F7FA"/>
            <w:tcMar>
              <w:top w:w="80" w:type="dxa"/>
              <w:left w:w="120" w:type="dxa"/>
              <w:bottom w:w="80" w:type="dxa"/>
              <w:right w:w="120" w:type="dxa"/>
            </w:tcMar>
          </w:tcPr>
          <w:p w14:paraId="59D68317" w14:textId="77777777" w:rsidR="004044B1" w:rsidRDefault="00000000">
            <w:r>
              <w:rPr>
                <w:sz w:val="19"/>
                <w:szCs w:val="19"/>
              </w:rPr>
              <w:t>$2.2–4.1T</w:t>
            </w:r>
          </w:p>
        </w:tc>
      </w:tr>
      <w:tr w:rsidR="004044B1" w14:paraId="59502011" w14:textId="77777777">
        <w:tc>
          <w:tcPr>
            <w:tcW w:w="2700" w:type="dxa"/>
            <w:tcBorders>
              <w:top w:val="single" w:sz="1" w:space="0" w:color="CCCCCC"/>
              <w:left w:val="single" w:sz="1" w:space="0" w:color="CCCCCC"/>
              <w:bottom w:val="single" w:sz="1" w:space="0" w:color="CCCCCC"/>
              <w:right w:val="single" w:sz="1" w:space="0" w:color="CCCCCC"/>
            </w:tcBorders>
            <w:shd w:val="clear" w:color="auto" w:fill="FFFFFF"/>
            <w:tcMar>
              <w:top w:w="80" w:type="dxa"/>
              <w:left w:w="120" w:type="dxa"/>
              <w:bottom w:w="80" w:type="dxa"/>
              <w:right w:w="120" w:type="dxa"/>
            </w:tcMar>
          </w:tcPr>
          <w:p w14:paraId="026B6FD2" w14:textId="77777777" w:rsidR="004044B1" w:rsidRDefault="00000000">
            <w:r>
              <w:rPr>
                <w:b/>
                <w:bCs/>
                <w:sz w:val="19"/>
                <w:szCs w:val="19"/>
              </w:rPr>
              <w:t>ROI</w:t>
            </w:r>
          </w:p>
        </w:tc>
        <w:tc>
          <w:tcPr>
            <w:tcW w:w="2220" w:type="dxa"/>
            <w:tcBorders>
              <w:top w:val="single" w:sz="1" w:space="0" w:color="CCCCCC"/>
              <w:left w:val="single" w:sz="1" w:space="0" w:color="CCCCCC"/>
              <w:bottom w:val="single" w:sz="1" w:space="0" w:color="CCCCCC"/>
              <w:right w:val="single" w:sz="1" w:space="0" w:color="CCCCCC"/>
            </w:tcBorders>
            <w:shd w:val="clear" w:color="auto" w:fill="FFFFFF"/>
            <w:tcMar>
              <w:top w:w="80" w:type="dxa"/>
              <w:left w:w="120" w:type="dxa"/>
              <w:bottom w:w="80" w:type="dxa"/>
              <w:right w:w="120" w:type="dxa"/>
            </w:tcMar>
          </w:tcPr>
          <w:p w14:paraId="6EAD79AB" w14:textId="77777777" w:rsidR="004044B1" w:rsidRDefault="00000000">
            <w:r>
              <w:rPr>
                <w:sz w:val="19"/>
                <w:szCs w:val="19"/>
              </w:rPr>
              <w:t>1.5–3.2×</w:t>
            </w:r>
          </w:p>
        </w:tc>
        <w:tc>
          <w:tcPr>
            <w:tcW w:w="2220" w:type="dxa"/>
            <w:tcBorders>
              <w:top w:val="single" w:sz="1" w:space="0" w:color="CCCCCC"/>
              <w:left w:val="single" w:sz="1" w:space="0" w:color="CCCCCC"/>
              <w:bottom w:val="single" w:sz="1" w:space="0" w:color="CCCCCC"/>
              <w:right w:val="single" w:sz="1" w:space="0" w:color="CCCCCC"/>
            </w:tcBorders>
            <w:shd w:val="clear" w:color="auto" w:fill="FFFFFF"/>
            <w:tcMar>
              <w:top w:w="80" w:type="dxa"/>
              <w:left w:w="120" w:type="dxa"/>
              <w:bottom w:w="80" w:type="dxa"/>
              <w:right w:w="120" w:type="dxa"/>
            </w:tcMar>
          </w:tcPr>
          <w:p w14:paraId="10217FAD" w14:textId="77777777" w:rsidR="004044B1" w:rsidRDefault="00000000">
            <w:r>
              <w:rPr>
                <w:sz w:val="19"/>
                <w:szCs w:val="19"/>
              </w:rPr>
              <w:t>1.5–2.7×</w:t>
            </w:r>
          </w:p>
        </w:tc>
        <w:tc>
          <w:tcPr>
            <w:tcW w:w="2220" w:type="dxa"/>
            <w:tcBorders>
              <w:top w:val="single" w:sz="1" w:space="0" w:color="CCCCCC"/>
              <w:left w:val="single" w:sz="1" w:space="0" w:color="CCCCCC"/>
              <w:bottom w:val="single" w:sz="1" w:space="0" w:color="CCCCCC"/>
              <w:right w:val="single" w:sz="1" w:space="0" w:color="CCCCCC"/>
            </w:tcBorders>
            <w:shd w:val="clear" w:color="auto" w:fill="FFFFFF"/>
            <w:tcMar>
              <w:top w:w="80" w:type="dxa"/>
              <w:left w:w="120" w:type="dxa"/>
              <w:bottom w:w="80" w:type="dxa"/>
              <w:right w:w="120" w:type="dxa"/>
            </w:tcMar>
          </w:tcPr>
          <w:p w14:paraId="702BBF20" w14:textId="77777777" w:rsidR="004044B1" w:rsidRDefault="00000000">
            <w:r>
              <w:rPr>
                <w:sz w:val="19"/>
                <w:szCs w:val="19"/>
              </w:rPr>
              <w:t>1.5–2.8×</w:t>
            </w:r>
          </w:p>
        </w:tc>
      </w:tr>
      <w:tr w:rsidR="004044B1" w14:paraId="606182B3" w14:textId="77777777">
        <w:tc>
          <w:tcPr>
            <w:tcW w:w="2700" w:type="dxa"/>
            <w:tcBorders>
              <w:top w:val="single" w:sz="1" w:space="0" w:color="CCCCCC"/>
              <w:left w:val="single" w:sz="1" w:space="0" w:color="CCCCCC"/>
              <w:bottom w:val="single" w:sz="1" w:space="0" w:color="CCCCCC"/>
              <w:right w:val="single" w:sz="1" w:space="0" w:color="CCCCCC"/>
            </w:tcBorders>
            <w:shd w:val="clear" w:color="auto" w:fill="F5F7FA"/>
            <w:tcMar>
              <w:top w:w="80" w:type="dxa"/>
              <w:left w:w="120" w:type="dxa"/>
              <w:bottom w:w="80" w:type="dxa"/>
              <w:right w:w="120" w:type="dxa"/>
            </w:tcMar>
          </w:tcPr>
          <w:p w14:paraId="71EB0629" w14:textId="77777777" w:rsidR="004044B1" w:rsidRDefault="00000000">
            <w:r>
              <w:rPr>
                <w:b/>
                <w:bCs/>
                <w:sz w:val="19"/>
                <w:szCs w:val="19"/>
              </w:rPr>
              <w:t>Cost Per Job</w:t>
            </w:r>
          </w:p>
        </w:tc>
        <w:tc>
          <w:tcPr>
            <w:tcW w:w="2220" w:type="dxa"/>
            <w:tcBorders>
              <w:top w:val="single" w:sz="1" w:space="0" w:color="CCCCCC"/>
              <w:left w:val="single" w:sz="1" w:space="0" w:color="CCCCCC"/>
              <w:bottom w:val="single" w:sz="1" w:space="0" w:color="CCCCCC"/>
              <w:right w:val="single" w:sz="1" w:space="0" w:color="CCCCCC"/>
            </w:tcBorders>
            <w:shd w:val="clear" w:color="auto" w:fill="F5F7FA"/>
            <w:tcMar>
              <w:top w:w="80" w:type="dxa"/>
              <w:left w:w="120" w:type="dxa"/>
              <w:bottom w:w="80" w:type="dxa"/>
              <w:right w:w="120" w:type="dxa"/>
            </w:tcMar>
          </w:tcPr>
          <w:p w14:paraId="605858DD" w14:textId="77777777" w:rsidR="004044B1" w:rsidRDefault="00000000">
            <w:r>
              <w:rPr>
                <w:sz w:val="19"/>
                <w:szCs w:val="19"/>
              </w:rPr>
              <w:t>$179–382K</w:t>
            </w:r>
          </w:p>
        </w:tc>
        <w:tc>
          <w:tcPr>
            <w:tcW w:w="2220" w:type="dxa"/>
            <w:tcBorders>
              <w:top w:val="single" w:sz="1" w:space="0" w:color="CCCCCC"/>
              <w:left w:val="single" w:sz="1" w:space="0" w:color="CCCCCC"/>
              <w:bottom w:val="single" w:sz="1" w:space="0" w:color="CCCCCC"/>
              <w:right w:val="single" w:sz="1" w:space="0" w:color="CCCCCC"/>
            </w:tcBorders>
            <w:shd w:val="clear" w:color="auto" w:fill="F5F7FA"/>
            <w:tcMar>
              <w:top w:w="80" w:type="dxa"/>
              <w:left w:w="120" w:type="dxa"/>
              <w:bottom w:w="80" w:type="dxa"/>
              <w:right w:w="120" w:type="dxa"/>
            </w:tcMar>
          </w:tcPr>
          <w:p w14:paraId="38560DCC" w14:textId="77777777" w:rsidR="004044B1" w:rsidRDefault="00000000">
            <w:r>
              <w:rPr>
                <w:sz w:val="19"/>
                <w:szCs w:val="19"/>
              </w:rPr>
              <w:t>$162–346K</w:t>
            </w:r>
          </w:p>
        </w:tc>
        <w:tc>
          <w:tcPr>
            <w:tcW w:w="2220" w:type="dxa"/>
            <w:tcBorders>
              <w:top w:val="single" w:sz="1" w:space="0" w:color="CCCCCC"/>
              <w:left w:val="single" w:sz="1" w:space="0" w:color="CCCCCC"/>
              <w:bottom w:val="single" w:sz="1" w:space="0" w:color="CCCCCC"/>
              <w:right w:val="single" w:sz="1" w:space="0" w:color="CCCCCC"/>
            </w:tcBorders>
            <w:shd w:val="clear" w:color="auto" w:fill="F5F7FA"/>
            <w:tcMar>
              <w:top w:w="80" w:type="dxa"/>
              <w:left w:w="120" w:type="dxa"/>
              <w:bottom w:w="80" w:type="dxa"/>
              <w:right w:w="120" w:type="dxa"/>
            </w:tcMar>
          </w:tcPr>
          <w:p w14:paraId="585C1A15" w14:textId="77777777" w:rsidR="004044B1" w:rsidRDefault="00000000">
            <w:r>
              <w:rPr>
                <w:sz w:val="19"/>
                <w:szCs w:val="19"/>
              </w:rPr>
              <w:t>$170–363K</w:t>
            </w:r>
          </w:p>
        </w:tc>
      </w:tr>
    </w:tbl>
    <w:p w14:paraId="17DFFC86" w14:textId="77777777" w:rsidR="004044B1" w:rsidRDefault="004044B1">
      <w:pPr>
        <w:spacing w:before="80" w:after="80"/>
      </w:pPr>
    </w:p>
    <w:p w14:paraId="06E75EF3" w14:textId="77777777" w:rsidR="004044B1" w:rsidRDefault="00000000">
      <w:pPr>
        <w:spacing w:before="80" w:after="120"/>
      </w:pPr>
      <w:r>
        <w:t>Options A and B reduce both costs and benefits. The ROI range narrows slightly because the asymmetric benefit reduction (benefits decline more than costs) compresses the ceiling. The floor ROI remains at approximately 1.5× under all options because both numerator and denominator decline proportionally at the conservative end.</w:t>
      </w:r>
    </w:p>
    <w:p w14:paraId="75324194" w14:textId="77777777" w:rsidR="004044B1" w:rsidRDefault="00000000">
      <w:pPr>
        <w:pStyle w:val="Heading2"/>
      </w:pPr>
      <w:r>
        <w:t>L. Recommendation on FGPs</w:t>
      </w:r>
    </w:p>
    <w:p w14:paraId="240AB88A" w14:textId="77777777" w:rsidR="004044B1" w:rsidRDefault="00000000">
      <w:pPr>
        <w:spacing w:before="80" w:after="120"/>
      </w:pPr>
      <w:r>
        <w:t>Option B (Tiered Credit Rate) combined with establishment-level DVA computation is recommended. This approach: (1) preserves broad eligibility, avoiding a contentious exclusion of semiconductor and pharmaceutical design firms; (2) creates a clear incentive gradient—firms earn more by bringing production onshore (5%) than by keeping only R&amp;D domestic (2%)—establishing a ladder from FGP to hybrid to integrated manufacturing; (3) reduces FGP-related program cost by $50–60B over 10 years without alienating innovation-intensive industries; (4) improves CBO defensibility by demonstrating that the cost model does not apply physical manufacturing multipliers to professional services activity; and (5) sidesteps the unresolved NAICS classification debate entirely by defining eligibility through statutory criteria.</w:t>
      </w:r>
    </w:p>
    <w:p w14:paraId="4A563DA8" w14:textId="77777777" w:rsidR="004044B1" w:rsidRDefault="004044B1">
      <w:pPr>
        <w:spacing w:before="80" w:after="80"/>
      </w:pPr>
    </w:p>
    <w:tbl>
      <w:tblPr>
        <w:tblW w:w="936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0" w:type="dxa"/>
          <w:right w:w="10" w:type="dxa"/>
        </w:tblCellMar>
        <w:tblLook w:val="0000" w:firstRow="0" w:lastRow="0" w:firstColumn="0" w:lastColumn="0" w:noHBand="0" w:noVBand="0"/>
      </w:tblPr>
      <w:tblGrid>
        <w:gridCol w:w="9360"/>
      </w:tblGrid>
      <w:tr w:rsidR="004044B1" w14:paraId="264E4A75" w14:textId="77777777">
        <w:tc>
          <w:tcPr>
            <w:tcW w:w="9360" w:type="dxa"/>
            <w:tcBorders>
              <w:left w:val="single" w:sz="12" w:space="0" w:color="2E75B6"/>
            </w:tcBorders>
            <w:shd w:val="clear" w:color="auto" w:fill="F5F8FF"/>
            <w:tcMar>
              <w:top w:w="80" w:type="dxa"/>
              <w:left w:w="240" w:type="dxa"/>
              <w:bottom w:w="80" w:type="dxa"/>
              <w:right w:w="120" w:type="dxa"/>
            </w:tcMar>
          </w:tcPr>
          <w:p w14:paraId="6988205C" w14:textId="77777777" w:rsidR="004044B1" w:rsidRDefault="00000000">
            <w:pPr>
              <w:spacing w:before="40" w:after="40"/>
            </w:pPr>
            <w:r>
              <w:rPr>
                <w:i/>
                <w:iCs/>
              </w:rPr>
              <w:lastRenderedPageBreak/>
              <w:t>Strategic framing for Congressional staff: “BEA counts Apple’s Cupertino headquarters as ‘manufacturing’ because Apple designs iPhones there. China counts Apple’s Zhengzhou factory as manufacturing because iPhones are physically made there. MINA should reward the factory, not the headquarters—but it shouldn’t punish the headquarters either. The tiered credit structure does exactly this: 5% for the factory, 2% for the design center, and a clear incentive to build the factory in America.”</w:t>
            </w:r>
          </w:p>
        </w:tc>
      </w:tr>
    </w:tbl>
    <w:p w14:paraId="248B2699" w14:textId="77777777" w:rsidR="004044B1" w:rsidRDefault="004044B1">
      <w:pPr>
        <w:spacing w:before="80" w:after="80"/>
      </w:pPr>
    </w:p>
    <w:p w14:paraId="095488FD" w14:textId="77777777" w:rsidR="004044B1" w:rsidRDefault="004044B1">
      <w:pPr>
        <w:pBdr>
          <w:bottom w:val="single" w:sz="4" w:space="1" w:color="2E75B6"/>
        </w:pBdr>
        <w:spacing w:before="200" w:after="200"/>
      </w:pPr>
    </w:p>
    <w:p w14:paraId="0B17F761" w14:textId="77777777" w:rsidR="004044B1" w:rsidRDefault="00000000">
      <w:pPr>
        <w:pStyle w:val="Heading1"/>
      </w:pPr>
      <w:r>
        <w:t>Part II: The DVA Calculation Mechanism: What §168(n) Can and Cannot Do</w:t>
      </w:r>
    </w:p>
    <w:p w14:paraId="3179F0D2" w14:textId="77777777" w:rsidR="004044B1" w:rsidRDefault="00000000">
      <w:pPr>
        <w:pStyle w:val="Heading2"/>
      </w:pPr>
      <w:r>
        <w:t>A. What the DVA Calculation Requires</w:t>
      </w:r>
    </w:p>
    <w:p w14:paraId="2E18850D" w14:textId="77777777" w:rsidR="004044B1" w:rsidRDefault="00000000">
      <w:pPr>
        <w:spacing w:before="80" w:after="120"/>
      </w:pPr>
      <w:r>
        <w:t>The Four-Bill Package’s DVA framework is built on a ratio: domestic value added divided by applicable product revenue. The DVA numerator must capture the total value of domestic economic inputs—labor, materials, capital, overhead—that a manufacturer contributes to the production process within the United States. For this to function as intended, the DVA calculation mechanism requires:</w:t>
      </w:r>
    </w:p>
    <w:p w14:paraId="7DB5189D" w14:textId="77777777" w:rsidR="004044B1" w:rsidRDefault="00000000">
      <w:pPr>
        <w:pStyle w:val="ListParagraph"/>
        <w:numPr>
          <w:ilvl w:val="0"/>
          <w:numId w:val="2"/>
        </w:numPr>
        <w:spacing w:before="60" w:after="60"/>
      </w:pPr>
      <w:r>
        <w:t>A clearly defined numerator that captures all domestic cost categories</w:t>
      </w:r>
    </w:p>
    <w:p w14:paraId="277E3786" w14:textId="77777777" w:rsidR="004044B1" w:rsidRDefault="00000000">
      <w:pPr>
        <w:pStyle w:val="ListParagraph"/>
        <w:numPr>
          <w:ilvl w:val="0"/>
          <w:numId w:val="2"/>
        </w:numPr>
        <w:spacing w:before="60" w:after="60"/>
      </w:pPr>
      <w:r>
        <w:t>A clearly defined denominator (applicable product revenue, including exports)</w:t>
      </w:r>
    </w:p>
    <w:p w14:paraId="3024C627" w14:textId="77777777" w:rsidR="004044B1" w:rsidRDefault="00000000">
      <w:pPr>
        <w:pStyle w:val="ListParagraph"/>
        <w:numPr>
          <w:ilvl w:val="0"/>
          <w:numId w:val="2"/>
        </w:numPr>
        <w:spacing w:before="60" w:after="60"/>
      </w:pPr>
      <w:r>
        <w:t>Audit-ready sourcing: the numerator must be traceable to financial records, invoices, payroll data, and/or tax filings</w:t>
      </w:r>
    </w:p>
    <w:p w14:paraId="0DD2A209" w14:textId="77777777" w:rsidR="004044B1" w:rsidRDefault="00000000">
      <w:pPr>
        <w:pStyle w:val="ListParagraph"/>
        <w:numPr>
          <w:ilvl w:val="0"/>
          <w:numId w:val="2"/>
        </w:numPr>
        <w:spacing w:before="60" w:after="60"/>
      </w:pPr>
      <w:r>
        <w:t>Consistency: the same activity must produce the same DVA result across manufacturers of comparable scale</w:t>
      </w:r>
    </w:p>
    <w:p w14:paraId="649EDAE8" w14:textId="77777777" w:rsidR="004044B1" w:rsidRDefault="00000000">
      <w:pPr>
        <w:pStyle w:val="ListParagraph"/>
        <w:numPr>
          <w:ilvl w:val="0"/>
          <w:numId w:val="2"/>
        </w:numPr>
        <w:spacing w:before="60" w:after="60"/>
      </w:pPr>
      <w:r>
        <w:t>Coverage of the full range of domestic cost types—not just one category</w:t>
      </w:r>
    </w:p>
    <w:p w14:paraId="3D40D37E" w14:textId="77777777" w:rsidR="004044B1" w:rsidRDefault="00000000">
      <w:pPr>
        <w:pStyle w:val="Heading2"/>
      </w:pPr>
      <w:r>
        <w:t>B. What §168(n) Is and Is Not</w:t>
      </w:r>
    </w:p>
    <w:p w14:paraId="7AFE611C" w14:textId="77777777" w:rsidR="004044B1" w:rsidRDefault="00000000">
      <w:pPr>
        <w:spacing w:before="80" w:after="120"/>
      </w:pPr>
      <w:r>
        <w:t>Section 168(n) is a property depreciation provision. It provides a 100% first-year depreciation allowance for nonresidential real property—factory buildings and their structural components—that qualifies as Qualified Production Property. It is not a cost-measurement framework, a value-added calculation methodology, or a comprehensive accounting of domestic manufacturing costs. Section 168(n) captures exactly one category of domestic manufacturing cost: the unadjusted depreciable basis of new domestic manufacturing buildings placed in service after July 4, 2025. It covers nothing else.</w:t>
      </w:r>
    </w:p>
    <w:p w14:paraId="0BE0754C" w14:textId="77777777" w:rsidR="004044B1" w:rsidRDefault="004044B1">
      <w:pPr>
        <w:spacing w:before="80" w:after="80"/>
      </w:pPr>
    </w:p>
    <w:tbl>
      <w:tblPr>
        <w:tblW w:w="936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0" w:type="dxa"/>
          <w:right w:w="10" w:type="dxa"/>
        </w:tblCellMar>
        <w:tblLook w:val="0000" w:firstRow="0" w:lastRow="0" w:firstColumn="0" w:lastColumn="0" w:noHBand="0" w:noVBand="0"/>
      </w:tblPr>
      <w:tblGrid>
        <w:gridCol w:w="3120"/>
        <w:gridCol w:w="3120"/>
        <w:gridCol w:w="3120"/>
      </w:tblGrid>
      <w:tr w:rsidR="004044B1" w14:paraId="47015239" w14:textId="77777777">
        <w:trPr>
          <w:tblHeader/>
        </w:trPr>
        <w:tc>
          <w:tcPr>
            <w:tcW w:w="3120" w:type="dxa"/>
            <w:tcBorders>
              <w:top w:val="single" w:sz="1" w:space="0" w:color="CCCCCC"/>
              <w:left w:val="single" w:sz="1" w:space="0" w:color="CCCCCC"/>
              <w:bottom w:val="single" w:sz="1" w:space="0" w:color="CCCCCC"/>
              <w:right w:val="single" w:sz="1" w:space="0" w:color="CCCCCC"/>
            </w:tcBorders>
            <w:shd w:val="clear" w:color="auto" w:fill="2E75B6"/>
            <w:tcMar>
              <w:top w:w="80" w:type="dxa"/>
              <w:left w:w="120" w:type="dxa"/>
              <w:bottom w:w="80" w:type="dxa"/>
              <w:right w:w="120" w:type="dxa"/>
            </w:tcMar>
          </w:tcPr>
          <w:p w14:paraId="3D009D55" w14:textId="77777777" w:rsidR="004044B1" w:rsidRDefault="00000000">
            <w:r>
              <w:rPr>
                <w:b/>
                <w:bCs/>
                <w:color w:val="FFFFFF"/>
                <w:sz w:val="19"/>
                <w:szCs w:val="19"/>
              </w:rPr>
              <w:t>Cost Category</w:t>
            </w:r>
          </w:p>
        </w:tc>
        <w:tc>
          <w:tcPr>
            <w:tcW w:w="3120" w:type="dxa"/>
            <w:tcBorders>
              <w:top w:val="single" w:sz="1" w:space="0" w:color="CCCCCC"/>
              <w:left w:val="single" w:sz="1" w:space="0" w:color="CCCCCC"/>
              <w:bottom w:val="single" w:sz="1" w:space="0" w:color="CCCCCC"/>
              <w:right w:val="single" w:sz="1" w:space="0" w:color="CCCCCC"/>
            </w:tcBorders>
            <w:shd w:val="clear" w:color="auto" w:fill="2E75B6"/>
            <w:tcMar>
              <w:top w:w="80" w:type="dxa"/>
              <w:left w:w="120" w:type="dxa"/>
              <w:bottom w:w="80" w:type="dxa"/>
              <w:right w:w="120" w:type="dxa"/>
            </w:tcMar>
          </w:tcPr>
          <w:p w14:paraId="5BA08C9C" w14:textId="77777777" w:rsidR="004044B1" w:rsidRDefault="00000000">
            <w:r>
              <w:rPr>
                <w:b/>
                <w:bCs/>
                <w:color w:val="FFFFFF"/>
                <w:sz w:val="19"/>
                <w:szCs w:val="19"/>
              </w:rPr>
              <w:t>Approx. Share of Mfg. Cost</w:t>
            </w:r>
          </w:p>
        </w:tc>
        <w:tc>
          <w:tcPr>
            <w:tcW w:w="3120" w:type="dxa"/>
            <w:tcBorders>
              <w:top w:val="single" w:sz="1" w:space="0" w:color="CCCCCC"/>
              <w:left w:val="single" w:sz="1" w:space="0" w:color="CCCCCC"/>
              <w:bottom w:val="single" w:sz="1" w:space="0" w:color="CCCCCC"/>
              <w:right w:val="single" w:sz="1" w:space="0" w:color="CCCCCC"/>
            </w:tcBorders>
            <w:shd w:val="clear" w:color="auto" w:fill="2E75B6"/>
            <w:tcMar>
              <w:top w:w="80" w:type="dxa"/>
              <w:left w:w="120" w:type="dxa"/>
              <w:bottom w:w="80" w:type="dxa"/>
              <w:right w:w="120" w:type="dxa"/>
            </w:tcMar>
          </w:tcPr>
          <w:p w14:paraId="393F287F" w14:textId="77777777" w:rsidR="004044B1" w:rsidRDefault="00000000">
            <w:r>
              <w:rPr>
                <w:b/>
                <w:bCs/>
                <w:color w:val="FFFFFF"/>
                <w:sz w:val="19"/>
                <w:szCs w:val="19"/>
              </w:rPr>
              <w:t>§168(n) Coverage</w:t>
            </w:r>
          </w:p>
        </w:tc>
      </w:tr>
      <w:tr w:rsidR="004044B1" w14:paraId="2134B9D4" w14:textId="77777777">
        <w:tc>
          <w:tcPr>
            <w:tcW w:w="3120" w:type="dxa"/>
            <w:tcBorders>
              <w:top w:val="single" w:sz="1" w:space="0" w:color="CCCCCC"/>
              <w:left w:val="single" w:sz="1" w:space="0" w:color="CCCCCC"/>
              <w:bottom w:val="single" w:sz="1" w:space="0" w:color="CCCCCC"/>
              <w:right w:val="single" w:sz="1" w:space="0" w:color="CCCCCC"/>
            </w:tcBorders>
            <w:shd w:val="clear" w:color="auto" w:fill="FFFFFF"/>
            <w:tcMar>
              <w:top w:w="80" w:type="dxa"/>
              <w:left w:w="120" w:type="dxa"/>
              <w:bottom w:w="80" w:type="dxa"/>
              <w:right w:w="120" w:type="dxa"/>
            </w:tcMar>
          </w:tcPr>
          <w:p w14:paraId="18BC367E" w14:textId="77777777" w:rsidR="004044B1" w:rsidRDefault="00000000">
            <w:r>
              <w:rPr>
                <w:b/>
                <w:bCs/>
                <w:sz w:val="19"/>
                <w:szCs w:val="19"/>
              </w:rPr>
              <w:t>Labor (wages, benefits)</w:t>
            </w:r>
          </w:p>
        </w:tc>
        <w:tc>
          <w:tcPr>
            <w:tcW w:w="3120" w:type="dxa"/>
            <w:tcBorders>
              <w:top w:val="single" w:sz="1" w:space="0" w:color="CCCCCC"/>
              <w:left w:val="single" w:sz="1" w:space="0" w:color="CCCCCC"/>
              <w:bottom w:val="single" w:sz="1" w:space="0" w:color="CCCCCC"/>
              <w:right w:val="single" w:sz="1" w:space="0" w:color="CCCCCC"/>
            </w:tcBorders>
            <w:shd w:val="clear" w:color="auto" w:fill="FFFFFF"/>
            <w:tcMar>
              <w:top w:w="80" w:type="dxa"/>
              <w:left w:w="120" w:type="dxa"/>
              <w:bottom w:w="80" w:type="dxa"/>
              <w:right w:w="120" w:type="dxa"/>
            </w:tcMar>
          </w:tcPr>
          <w:p w14:paraId="078334D4" w14:textId="77777777" w:rsidR="004044B1" w:rsidRDefault="00000000">
            <w:r>
              <w:rPr>
                <w:sz w:val="19"/>
                <w:szCs w:val="19"/>
              </w:rPr>
              <w:t>15–35% depending on sector</w:t>
            </w:r>
          </w:p>
        </w:tc>
        <w:tc>
          <w:tcPr>
            <w:tcW w:w="3120" w:type="dxa"/>
            <w:tcBorders>
              <w:top w:val="single" w:sz="1" w:space="0" w:color="CCCCCC"/>
              <w:left w:val="single" w:sz="1" w:space="0" w:color="CCCCCC"/>
              <w:bottom w:val="single" w:sz="1" w:space="0" w:color="CCCCCC"/>
              <w:right w:val="single" w:sz="1" w:space="0" w:color="CCCCCC"/>
            </w:tcBorders>
            <w:shd w:val="clear" w:color="auto" w:fill="FFFFFF"/>
            <w:tcMar>
              <w:top w:w="80" w:type="dxa"/>
              <w:left w:w="120" w:type="dxa"/>
              <w:bottom w:w="80" w:type="dxa"/>
              <w:right w:w="120" w:type="dxa"/>
            </w:tcMar>
          </w:tcPr>
          <w:p w14:paraId="4F8E4D35" w14:textId="77777777" w:rsidR="004044B1" w:rsidRDefault="00000000">
            <w:r>
              <w:rPr>
                <w:sz w:val="19"/>
                <w:szCs w:val="19"/>
              </w:rPr>
              <w:t>None. Deducted under §162.</w:t>
            </w:r>
          </w:p>
        </w:tc>
      </w:tr>
      <w:tr w:rsidR="004044B1" w14:paraId="3A3ACCBD" w14:textId="77777777">
        <w:tc>
          <w:tcPr>
            <w:tcW w:w="3120" w:type="dxa"/>
            <w:tcBorders>
              <w:top w:val="single" w:sz="1" w:space="0" w:color="CCCCCC"/>
              <w:left w:val="single" w:sz="1" w:space="0" w:color="CCCCCC"/>
              <w:bottom w:val="single" w:sz="1" w:space="0" w:color="CCCCCC"/>
              <w:right w:val="single" w:sz="1" w:space="0" w:color="CCCCCC"/>
            </w:tcBorders>
            <w:shd w:val="clear" w:color="auto" w:fill="F5F7FA"/>
            <w:tcMar>
              <w:top w:w="80" w:type="dxa"/>
              <w:left w:w="120" w:type="dxa"/>
              <w:bottom w:w="80" w:type="dxa"/>
              <w:right w:w="120" w:type="dxa"/>
            </w:tcMar>
          </w:tcPr>
          <w:p w14:paraId="7EC9D01B" w14:textId="77777777" w:rsidR="004044B1" w:rsidRDefault="00000000">
            <w:r>
              <w:rPr>
                <w:b/>
                <w:bCs/>
                <w:sz w:val="19"/>
                <w:szCs w:val="19"/>
              </w:rPr>
              <w:t>Machinery &amp; Equipment</w:t>
            </w:r>
          </w:p>
        </w:tc>
        <w:tc>
          <w:tcPr>
            <w:tcW w:w="3120" w:type="dxa"/>
            <w:tcBorders>
              <w:top w:val="single" w:sz="1" w:space="0" w:color="CCCCCC"/>
              <w:left w:val="single" w:sz="1" w:space="0" w:color="CCCCCC"/>
              <w:bottom w:val="single" w:sz="1" w:space="0" w:color="CCCCCC"/>
              <w:right w:val="single" w:sz="1" w:space="0" w:color="CCCCCC"/>
            </w:tcBorders>
            <w:shd w:val="clear" w:color="auto" w:fill="F5F7FA"/>
            <w:tcMar>
              <w:top w:w="80" w:type="dxa"/>
              <w:left w:w="120" w:type="dxa"/>
              <w:bottom w:w="80" w:type="dxa"/>
              <w:right w:w="120" w:type="dxa"/>
            </w:tcMar>
          </w:tcPr>
          <w:p w14:paraId="1F4190B3" w14:textId="77777777" w:rsidR="004044B1" w:rsidRDefault="00000000">
            <w:r>
              <w:rPr>
                <w:sz w:val="19"/>
                <w:szCs w:val="19"/>
              </w:rPr>
              <w:t>20–45% of capital investment</w:t>
            </w:r>
          </w:p>
        </w:tc>
        <w:tc>
          <w:tcPr>
            <w:tcW w:w="3120" w:type="dxa"/>
            <w:tcBorders>
              <w:top w:val="single" w:sz="1" w:space="0" w:color="CCCCCC"/>
              <w:left w:val="single" w:sz="1" w:space="0" w:color="CCCCCC"/>
              <w:bottom w:val="single" w:sz="1" w:space="0" w:color="CCCCCC"/>
              <w:right w:val="single" w:sz="1" w:space="0" w:color="CCCCCC"/>
            </w:tcBorders>
            <w:shd w:val="clear" w:color="auto" w:fill="F5F7FA"/>
            <w:tcMar>
              <w:top w:w="80" w:type="dxa"/>
              <w:left w:w="120" w:type="dxa"/>
              <w:bottom w:w="80" w:type="dxa"/>
              <w:right w:w="120" w:type="dxa"/>
            </w:tcMar>
          </w:tcPr>
          <w:p w14:paraId="3158E44B" w14:textId="77777777" w:rsidR="004044B1" w:rsidRDefault="00000000">
            <w:r>
              <w:rPr>
                <w:sz w:val="19"/>
                <w:szCs w:val="19"/>
              </w:rPr>
              <w:t>None. §168(k) personal property, not §168(n).</w:t>
            </w:r>
          </w:p>
        </w:tc>
      </w:tr>
      <w:tr w:rsidR="004044B1" w14:paraId="604F5D4A" w14:textId="77777777">
        <w:tc>
          <w:tcPr>
            <w:tcW w:w="3120" w:type="dxa"/>
            <w:tcBorders>
              <w:top w:val="single" w:sz="1" w:space="0" w:color="CCCCCC"/>
              <w:left w:val="single" w:sz="1" w:space="0" w:color="CCCCCC"/>
              <w:bottom w:val="single" w:sz="1" w:space="0" w:color="CCCCCC"/>
              <w:right w:val="single" w:sz="1" w:space="0" w:color="CCCCCC"/>
            </w:tcBorders>
            <w:shd w:val="clear" w:color="auto" w:fill="FFFFFF"/>
            <w:tcMar>
              <w:top w:w="80" w:type="dxa"/>
              <w:left w:w="120" w:type="dxa"/>
              <w:bottom w:w="80" w:type="dxa"/>
              <w:right w:w="120" w:type="dxa"/>
            </w:tcMar>
          </w:tcPr>
          <w:p w14:paraId="7CCD510A" w14:textId="77777777" w:rsidR="004044B1" w:rsidRDefault="00000000">
            <w:r>
              <w:rPr>
                <w:b/>
                <w:bCs/>
                <w:sz w:val="19"/>
                <w:szCs w:val="19"/>
              </w:rPr>
              <w:t>Domestic Raw Materials</w:t>
            </w:r>
          </w:p>
        </w:tc>
        <w:tc>
          <w:tcPr>
            <w:tcW w:w="3120" w:type="dxa"/>
            <w:tcBorders>
              <w:top w:val="single" w:sz="1" w:space="0" w:color="CCCCCC"/>
              <w:left w:val="single" w:sz="1" w:space="0" w:color="CCCCCC"/>
              <w:bottom w:val="single" w:sz="1" w:space="0" w:color="CCCCCC"/>
              <w:right w:val="single" w:sz="1" w:space="0" w:color="CCCCCC"/>
            </w:tcBorders>
            <w:shd w:val="clear" w:color="auto" w:fill="FFFFFF"/>
            <w:tcMar>
              <w:top w:w="80" w:type="dxa"/>
              <w:left w:w="120" w:type="dxa"/>
              <w:bottom w:w="80" w:type="dxa"/>
              <w:right w:w="120" w:type="dxa"/>
            </w:tcMar>
          </w:tcPr>
          <w:p w14:paraId="6BAAD96D" w14:textId="77777777" w:rsidR="004044B1" w:rsidRDefault="00000000">
            <w:r>
              <w:rPr>
                <w:sz w:val="19"/>
                <w:szCs w:val="19"/>
              </w:rPr>
              <w:t>10–40% of COGS</w:t>
            </w:r>
          </w:p>
        </w:tc>
        <w:tc>
          <w:tcPr>
            <w:tcW w:w="3120" w:type="dxa"/>
            <w:tcBorders>
              <w:top w:val="single" w:sz="1" w:space="0" w:color="CCCCCC"/>
              <w:left w:val="single" w:sz="1" w:space="0" w:color="CCCCCC"/>
              <w:bottom w:val="single" w:sz="1" w:space="0" w:color="CCCCCC"/>
              <w:right w:val="single" w:sz="1" w:space="0" w:color="CCCCCC"/>
            </w:tcBorders>
            <w:shd w:val="clear" w:color="auto" w:fill="FFFFFF"/>
            <w:tcMar>
              <w:top w:w="80" w:type="dxa"/>
              <w:left w:w="120" w:type="dxa"/>
              <w:bottom w:w="80" w:type="dxa"/>
              <w:right w:w="120" w:type="dxa"/>
            </w:tcMar>
          </w:tcPr>
          <w:p w14:paraId="146420EA" w14:textId="77777777" w:rsidR="004044B1" w:rsidRDefault="00000000">
            <w:r>
              <w:rPr>
                <w:sz w:val="19"/>
                <w:szCs w:val="19"/>
              </w:rPr>
              <w:t>None. Deducted as COGS under §471/§162.</w:t>
            </w:r>
          </w:p>
        </w:tc>
      </w:tr>
      <w:tr w:rsidR="004044B1" w14:paraId="23C27883" w14:textId="77777777">
        <w:tc>
          <w:tcPr>
            <w:tcW w:w="3120" w:type="dxa"/>
            <w:tcBorders>
              <w:top w:val="single" w:sz="1" w:space="0" w:color="CCCCCC"/>
              <w:left w:val="single" w:sz="1" w:space="0" w:color="CCCCCC"/>
              <w:bottom w:val="single" w:sz="1" w:space="0" w:color="CCCCCC"/>
              <w:right w:val="single" w:sz="1" w:space="0" w:color="CCCCCC"/>
            </w:tcBorders>
            <w:shd w:val="clear" w:color="auto" w:fill="F5F7FA"/>
            <w:tcMar>
              <w:top w:w="80" w:type="dxa"/>
              <w:left w:w="120" w:type="dxa"/>
              <w:bottom w:w="80" w:type="dxa"/>
              <w:right w:w="120" w:type="dxa"/>
            </w:tcMar>
          </w:tcPr>
          <w:p w14:paraId="5FBAC722" w14:textId="77777777" w:rsidR="004044B1" w:rsidRDefault="00000000">
            <w:r>
              <w:rPr>
                <w:b/>
                <w:bCs/>
                <w:sz w:val="19"/>
                <w:szCs w:val="19"/>
              </w:rPr>
              <w:lastRenderedPageBreak/>
              <w:t>Building/Facility</w:t>
            </w:r>
          </w:p>
        </w:tc>
        <w:tc>
          <w:tcPr>
            <w:tcW w:w="3120" w:type="dxa"/>
            <w:tcBorders>
              <w:top w:val="single" w:sz="1" w:space="0" w:color="CCCCCC"/>
              <w:left w:val="single" w:sz="1" w:space="0" w:color="CCCCCC"/>
              <w:bottom w:val="single" w:sz="1" w:space="0" w:color="CCCCCC"/>
              <w:right w:val="single" w:sz="1" w:space="0" w:color="CCCCCC"/>
            </w:tcBorders>
            <w:shd w:val="clear" w:color="auto" w:fill="F5F7FA"/>
            <w:tcMar>
              <w:top w:w="80" w:type="dxa"/>
              <w:left w:w="120" w:type="dxa"/>
              <w:bottom w:w="80" w:type="dxa"/>
              <w:right w:w="120" w:type="dxa"/>
            </w:tcMar>
          </w:tcPr>
          <w:p w14:paraId="1B7648BB" w14:textId="77777777" w:rsidR="004044B1" w:rsidRDefault="00000000">
            <w:r>
              <w:rPr>
                <w:sz w:val="19"/>
                <w:szCs w:val="19"/>
              </w:rPr>
              <w:t>5–15% of capital investment</w:t>
            </w:r>
          </w:p>
        </w:tc>
        <w:tc>
          <w:tcPr>
            <w:tcW w:w="3120" w:type="dxa"/>
            <w:tcBorders>
              <w:top w:val="single" w:sz="1" w:space="0" w:color="CCCCCC"/>
              <w:left w:val="single" w:sz="1" w:space="0" w:color="CCCCCC"/>
              <w:bottom w:val="single" w:sz="1" w:space="0" w:color="CCCCCC"/>
              <w:right w:val="single" w:sz="1" w:space="0" w:color="CCCCCC"/>
            </w:tcBorders>
            <w:shd w:val="clear" w:color="auto" w:fill="F5F7FA"/>
            <w:tcMar>
              <w:top w:w="80" w:type="dxa"/>
              <w:left w:w="120" w:type="dxa"/>
              <w:bottom w:w="80" w:type="dxa"/>
              <w:right w:w="120" w:type="dxa"/>
            </w:tcMar>
          </w:tcPr>
          <w:p w14:paraId="23D0FE8F" w14:textId="77777777" w:rsidR="004044B1" w:rsidRDefault="00000000">
            <w:r>
              <w:rPr>
                <w:sz w:val="19"/>
                <w:szCs w:val="19"/>
              </w:rPr>
              <w:t>Yes, if new construction post-Jan. 19, 2025 and election made.</w:t>
            </w:r>
          </w:p>
        </w:tc>
      </w:tr>
      <w:tr w:rsidR="004044B1" w14:paraId="4D0A49C3" w14:textId="77777777">
        <w:tc>
          <w:tcPr>
            <w:tcW w:w="3120" w:type="dxa"/>
            <w:tcBorders>
              <w:top w:val="single" w:sz="1" w:space="0" w:color="CCCCCC"/>
              <w:left w:val="single" w:sz="1" w:space="0" w:color="CCCCCC"/>
              <w:bottom w:val="single" w:sz="1" w:space="0" w:color="CCCCCC"/>
              <w:right w:val="single" w:sz="1" w:space="0" w:color="CCCCCC"/>
            </w:tcBorders>
            <w:shd w:val="clear" w:color="auto" w:fill="FFFFFF"/>
            <w:tcMar>
              <w:top w:w="80" w:type="dxa"/>
              <w:left w:w="120" w:type="dxa"/>
              <w:bottom w:w="80" w:type="dxa"/>
              <w:right w:w="120" w:type="dxa"/>
            </w:tcMar>
          </w:tcPr>
          <w:p w14:paraId="7695F4C8" w14:textId="77777777" w:rsidR="004044B1" w:rsidRDefault="00000000">
            <w:r>
              <w:rPr>
                <w:b/>
                <w:bCs/>
                <w:sz w:val="19"/>
                <w:szCs w:val="19"/>
              </w:rPr>
              <w:t>Energy &amp; Utilities</w:t>
            </w:r>
          </w:p>
        </w:tc>
        <w:tc>
          <w:tcPr>
            <w:tcW w:w="3120" w:type="dxa"/>
            <w:tcBorders>
              <w:top w:val="single" w:sz="1" w:space="0" w:color="CCCCCC"/>
              <w:left w:val="single" w:sz="1" w:space="0" w:color="CCCCCC"/>
              <w:bottom w:val="single" w:sz="1" w:space="0" w:color="CCCCCC"/>
              <w:right w:val="single" w:sz="1" w:space="0" w:color="CCCCCC"/>
            </w:tcBorders>
            <w:shd w:val="clear" w:color="auto" w:fill="FFFFFF"/>
            <w:tcMar>
              <w:top w:w="80" w:type="dxa"/>
              <w:left w:w="120" w:type="dxa"/>
              <w:bottom w:w="80" w:type="dxa"/>
              <w:right w:w="120" w:type="dxa"/>
            </w:tcMar>
          </w:tcPr>
          <w:p w14:paraId="71DC8986" w14:textId="77777777" w:rsidR="004044B1" w:rsidRDefault="00000000">
            <w:r>
              <w:rPr>
                <w:sz w:val="19"/>
                <w:szCs w:val="19"/>
              </w:rPr>
              <w:t>2–10% depending on sector</w:t>
            </w:r>
          </w:p>
        </w:tc>
        <w:tc>
          <w:tcPr>
            <w:tcW w:w="3120" w:type="dxa"/>
            <w:tcBorders>
              <w:top w:val="single" w:sz="1" w:space="0" w:color="CCCCCC"/>
              <w:left w:val="single" w:sz="1" w:space="0" w:color="CCCCCC"/>
              <w:bottom w:val="single" w:sz="1" w:space="0" w:color="CCCCCC"/>
              <w:right w:val="single" w:sz="1" w:space="0" w:color="CCCCCC"/>
            </w:tcBorders>
            <w:shd w:val="clear" w:color="auto" w:fill="FFFFFF"/>
            <w:tcMar>
              <w:top w:w="80" w:type="dxa"/>
              <w:left w:w="120" w:type="dxa"/>
              <w:bottom w:w="80" w:type="dxa"/>
              <w:right w:w="120" w:type="dxa"/>
            </w:tcMar>
          </w:tcPr>
          <w:p w14:paraId="3494D709" w14:textId="77777777" w:rsidR="004044B1" w:rsidRDefault="00000000">
            <w:r>
              <w:rPr>
                <w:sz w:val="19"/>
                <w:szCs w:val="19"/>
              </w:rPr>
              <w:t>None. Operating cost under §162.</w:t>
            </w:r>
          </w:p>
        </w:tc>
      </w:tr>
      <w:tr w:rsidR="004044B1" w14:paraId="1C3A8C28" w14:textId="77777777">
        <w:tc>
          <w:tcPr>
            <w:tcW w:w="3120" w:type="dxa"/>
            <w:tcBorders>
              <w:top w:val="single" w:sz="1" w:space="0" w:color="CCCCCC"/>
              <w:left w:val="single" w:sz="1" w:space="0" w:color="CCCCCC"/>
              <w:bottom w:val="single" w:sz="1" w:space="0" w:color="CCCCCC"/>
              <w:right w:val="single" w:sz="1" w:space="0" w:color="CCCCCC"/>
            </w:tcBorders>
            <w:shd w:val="clear" w:color="auto" w:fill="F5F7FA"/>
            <w:tcMar>
              <w:top w:w="80" w:type="dxa"/>
              <w:left w:w="120" w:type="dxa"/>
              <w:bottom w:w="80" w:type="dxa"/>
              <w:right w:w="120" w:type="dxa"/>
            </w:tcMar>
          </w:tcPr>
          <w:p w14:paraId="1EBCA159" w14:textId="77777777" w:rsidR="004044B1" w:rsidRDefault="00000000">
            <w:r>
              <w:rPr>
                <w:b/>
                <w:bCs/>
                <w:sz w:val="19"/>
                <w:szCs w:val="19"/>
              </w:rPr>
              <w:t>IP / R&amp;D Amortization</w:t>
            </w:r>
          </w:p>
        </w:tc>
        <w:tc>
          <w:tcPr>
            <w:tcW w:w="3120" w:type="dxa"/>
            <w:tcBorders>
              <w:top w:val="single" w:sz="1" w:space="0" w:color="CCCCCC"/>
              <w:left w:val="single" w:sz="1" w:space="0" w:color="CCCCCC"/>
              <w:bottom w:val="single" w:sz="1" w:space="0" w:color="CCCCCC"/>
              <w:right w:val="single" w:sz="1" w:space="0" w:color="CCCCCC"/>
            </w:tcBorders>
            <w:shd w:val="clear" w:color="auto" w:fill="F5F7FA"/>
            <w:tcMar>
              <w:top w:w="80" w:type="dxa"/>
              <w:left w:w="120" w:type="dxa"/>
              <w:bottom w:w="80" w:type="dxa"/>
              <w:right w:w="120" w:type="dxa"/>
            </w:tcMar>
          </w:tcPr>
          <w:p w14:paraId="45868F33" w14:textId="77777777" w:rsidR="004044B1" w:rsidRDefault="00000000">
            <w:r>
              <w:rPr>
                <w:sz w:val="19"/>
                <w:szCs w:val="19"/>
              </w:rPr>
              <w:t>Varies; significant in pharma, semis</w:t>
            </w:r>
          </w:p>
        </w:tc>
        <w:tc>
          <w:tcPr>
            <w:tcW w:w="3120" w:type="dxa"/>
            <w:tcBorders>
              <w:top w:val="single" w:sz="1" w:space="0" w:color="CCCCCC"/>
              <w:left w:val="single" w:sz="1" w:space="0" w:color="CCCCCC"/>
              <w:bottom w:val="single" w:sz="1" w:space="0" w:color="CCCCCC"/>
              <w:right w:val="single" w:sz="1" w:space="0" w:color="CCCCCC"/>
            </w:tcBorders>
            <w:shd w:val="clear" w:color="auto" w:fill="F5F7FA"/>
            <w:tcMar>
              <w:top w:w="80" w:type="dxa"/>
              <w:left w:w="120" w:type="dxa"/>
              <w:bottom w:w="80" w:type="dxa"/>
              <w:right w:w="120" w:type="dxa"/>
            </w:tcMar>
          </w:tcPr>
          <w:p w14:paraId="56307663" w14:textId="77777777" w:rsidR="004044B1" w:rsidRDefault="00000000">
            <w:r>
              <w:rPr>
                <w:sz w:val="19"/>
                <w:szCs w:val="19"/>
              </w:rPr>
              <w:t>None. Governed by §§174, 197; facility space excluded as ineligible.</w:t>
            </w:r>
          </w:p>
        </w:tc>
      </w:tr>
      <w:tr w:rsidR="004044B1" w14:paraId="1A1D73C3" w14:textId="77777777">
        <w:tc>
          <w:tcPr>
            <w:tcW w:w="3120" w:type="dxa"/>
            <w:tcBorders>
              <w:top w:val="single" w:sz="1" w:space="0" w:color="CCCCCC"/>
              <w:left w:val="single" w:sz="1" w:space="0" w:color="CCCCCC"/>
              <w:bottom w:val="single" w:sz="1" w:space="0" w:color="CCCCCC"/>
              <w:right w:val="single" w:sz="1" w:space="0" w:color="CCCCCC"/>
            </w:tcBorders>
            <w:shd w:val="clear" w:color="auto" w:fill="FFFFFF"/>
            <w:tcMar>
              <w:top w:w="80" w:type="dxa"/>
              <w:left w:w="120" w:type="dxa"/>
              <w:bottom w:w="80" w:type="dxa"/>
              <w:right w:w="120" w:type="dxa"/>
            </w:tcMar>
          </w:tcPr>
          <w:p w14:paraId="0D1FAC5B" w14:textId="77777777" w:rsidR="004044B1" w:rsidRDefault="00000000">
            <w:r>
              <w:rPr>
                <w:b/>
                <w:bCs/>
                <w:sz w:val="19"/>
                <w:szCs w:val="19"/>
              </w:rPr>
              <w:t>Overhead &amp; SG&amp;A</w:t>
            </w:r>
          </w:p>
        </w:tc>
        <w:tc>
          <w:tcPr>
            <w:tcW w:w="3120" w:type="dxa"/>
            <w:tcBorders>
              <w:top w:val="single" w:sz="1" w:space="0" w:color="CCCCCC"/>
              <w:left w:val="single" w:sz="1" w:space="0" w:color="CCCCCC"/>
              <w:bottom w:val="single" w:sz="1" w:space="0" w:color="CCCCCC"/>
              <w:right w:val="single" w:sz="1" w:space="0" w:color="CCCCCC"/>
            </w:tcBorders>
            <w:shd w:val="clear" w:color="auto" w:fill="FFFFFF"/>
            <w:tcMar>
              <w:top w:w="80" w:type="dxa"/>
              <w:left w:w="120" w:type="dxa"/>
              <w:bottom w:w="80" w:type="dxa"/>
              <w:right w:w="120" w:type="dxa"/>
            </w:tcMar>
          </w:tcPr>
          <w:p w14:paraId="1323E006" w14:textId="77777777" w:rsidR="004044B1" w:rsidRDefault="00000000">
            <w:r>
              <w:rPr>
                <w:sz w:val="19"/>
                <w:szCs w:val="19"/>
              </w:rPr>
              <w:t>5–15%</w:t>
            </w:r>
          </w:p>
        </w:tc>
        <w:tc>
          <w:tcPr>
            <w:tcW w:w="3120" w:type="dxa"/>
            <w:tcBorders>
              <w:top w:val="single" w:sz="1" w:space="0" w:color="CCCCCC"/>
              <w:left w:val="single" w:sz="1" w:space="0" w:color="CCCCCC"/>
              <w:bottom w:val="single" w:sz="1" w:space="0" w:color="CCCCCC"/>
              <w:right w:val="single" w:sz="1" w:space="0" w:color="CCCCCC"/>
            </w:tcBorders>
            <w:shd w:val="clear" w:color="auto" w:fill="FFFFFF"/>
            <w:tcMar>
              <w:top w:w="80" w:type="dxa"/>
              <w:left w:w="120" w:type="dxa"/>
              <w:bottom w:w="80" w:type="dxa"/>
              <w:right w:w="120" w:type="dxa"/>
            </w:tcMar>
          </w:tcPr>
          <w:p w14:paraId="62560C29" w14:textId="77777777" w:rsidR="004044B1" w:rsidRDefault="00000000">
            <w:r>
              <w:rPr>
                <w:sz w:val="19"/>
                <w:szCs w:val="19"/>
              </w:rPr>
              <w:t>None; specifically excluded (offices, admin services).</w:t>
            </w:r>
          </w:p>
        </w:tc>
      </w:tr>
      <w:tr w:rsidR="004044B1" w14:paraId="3D28E34C" w14:textId="77777777">
        <w:tc>
          <w:tcPr>
            <w:tcW w:w="3120" w:type="dxa"/>
            <w:tcBorders>
              <w:top w:val="single" w:sz="1" w:space="0" w:color="CCCCCC"/>
              <w:left w:val="single" w:sz="1" w:space="0" w:color="CCCCCC"/>
              <w:bottom w:val="single" w:sz="1" w:space="0" w:color="CCCCCC"/>
              <w:right w:val="single" w:sz="1" w:space="0" w:color="CCCCCC"/>
            </w:tcBorders>
            <w:shd w:val="clear" w:color="auto" w:fill="F5F7FA"/>
            <w:tcMar>
              <w:top w:w="80" w:type="dxa"/>
              <w:left w:w="120" w:type="dxa"/>
              <w:bottom w:w="80" w:type="dxa"/>
              <w:right w:w="120" w:type="dxa"/>
            </w:tcMar>
          </w:tcPr>
          <w:p w14:paraId="76EEC4C5" w14:textId="77777777" w:rsidR="004044B1" w:rsidRDefault="00000000">
            <w:r>
              <w:rPr>
                <w:b/>
                <w:bCs/>
                <w:sz w:val="19"/>
                <w:szCs w:val="19"/>
              </w:rPr>
              <w:t>Domestic Component Purchases</w:t>
            </w:r>
          </w:p>
        </w:tc>
        <w:tc>
          <w:tcPr>
            <w:tcW w:w="3120" w:type="dxa"/>
            <w:tcBorders>
              <w:top w:val="single" w:sz="1" w:space="0" w:color="CCCCCC"/>
              <w:left w:val="single" w:sz="1" w:space="0" w:color="CCCCCC"/>
              <w:bottom w:val="single" w:sz="1" w:space="0" w:color="CCCCCC"/>
              <w:right w:val="single" w:sz="1" w:space="0" w:color="CCCCCC"/>
            </w:tcBorders>
            <w:shd w:val="clear" w:color="auto" w:fill="F5F7FA"/>
            <w:tcMar>
              <w:top w:w="80" w:type="dxa"/>
              <w:left w:w="120" w:type="dxa"/>
              <w:bottom w:w="80" w:type="dxa"/>
              <w:right w:w="120" w:type="dxa"/>
            </w:tcMar>
          </w:tcPr>
          <w:p w14:paraId="40FFBDF7" w14:textId="77777777" w:rsidR="004044B1" w:rsidRDefault="00000000">
            <w:r>
              <w:rPr>
                <w:sz w:val="19"/>
                <w:szCs w:val="19"/>
              </w:rPr>
              <w:t>Varies by vertical integration</w:t>
            </w:r>
          </w:p>
        </w:tc>
        <w:tc>
          <w:tcPr>
            <w:tcW w:w="3120" w:type="dxa"/>
            <w:tcBorders>
              <w:top w:val="single" w:sz="1" w:space="0" w:color="CCCCCC"/>
              <w:left w:val="single" w:sz="1" w:space="0" w:color="CCCCCC"/>
              <w:bottom w:val="single" w:sz="1" w:space="0" w:color="CCCCCC"/>
              <w:right w:val="single" w:sz="1" w:space="0" w:color="CCCCCC"/>
            </w:tcBorders>
            <w:shd w:val="clear" w:color="auto" w:fill="F5F7FA"/>
            <w:tcMar>
              <w:top w:w="80" w:type="dxa"/>
              <w:left w:w="120" w:type="dxa"/>
              <w:bottom w:w="80" w:type="dxa"/>
              <w:right w:w="120" w:type="dxa"/>
            </w:tcMar>
          </w:tcPr>
          <w:p w14:paraId="2E278513" w14:textId="77777777" w:rsidR="004044B1" w:rsidRDefault="00000000">
            <w:r>
              <w:rPr>
                <w:sz w:val="19"/>
                <w:szCs w:val="19"/>
              </w:rPr>
              <w:t>None. COGS/§471.</w:t>
            </w:r>
          </w:p>
        </w:tc>
      </w:tr>
    </w:tbl>
    <w:p w14:paraId="64A4B9B1" w14:textId="77777777" w:rsidR="004044B1" w:rsidRDefault="004044B1">
      <w:pPr>
        <w:spacing w:before="80" w:after="80"/>
      </w:pPr>
    </w:p>
    <w:p w14:paraId="1E74A866" w14:textId="77777777" w:rsidR="004044B1" w:rsidRDefault="00000000">
      <w:pPr>
        <w:spacing w:before="80" w:after="120"/>
      </w:pPr>
      <w:r>
        <w:t>For a representative advanced manufacturer, §168(n) would capture 5–15% of total capital investment and none of the operating cost base. For a semiconductor fab, where equipment constitutes approximately 70–80% of capital expenditure and the building 10–15%, §168(n) reaches roughly one-eighth of total capital deployed. Labor—typically the largest single component of domestic value added—is entirely outside §168(n)’s scope.</w:t>
      </w:r>
    </w:p>
    <w:p w14:paraId="7C6D1683" w14:textId="77777777" w:rsidR="004044B1" w:rsidRDefault="00000000">
      <w:pPr>
        <w:pStyle w:val="Heading2"/>
      </w:pPr>
      <w:r>
        <w:t>C. The Election Problem</w:t>
      </w:r>
    </w:p>
    <w:p w14:paraId="0005880B" w14:textId="77777777" w:rsidR="004044B1" w:rsidRDefault="00000000">
      <w:pPr>
        <w:spacing w:before="80" w:after="120"/>
      </w:pPr>
      <w:r>
        <w:t>Section 168(n) is an elective provision. A taxpayer must affirmatively elect to designate property as QPP on its tax return for the year the property is placed in service. Two manufacturers with identical factories, workforces, and output would generate different DVA results based solely on whether they made an administrative election. This is a fundamental disqualification of §168(n) as a DVA measurement mechanism. DVA must measure actual domestic economic activity, not administrative elections.</w:t>
      </w:r>
    </w:p>
    <w:p w14:paraId="6F40C969" w14:textId="77777777" w:rsidR="004044B1" w:rsidRDefault="00000000">
      <w:pPr>
        <w:pStyle w:val="Heading2"/>
      </w:pPr>
      <w:r>
        <w:t>D. The Vintage Problem</w:t>
      </w:r>
    </w:p>
    <w:p w14:paraId="237BC2EC" w14:textId="77777777" w:rsidR="004044B1" w:rsidRDefault="00000000">
      <w:pPr>
        <w:spacing w:before="80" w:after="120"/>
      </w:pPr>
      <w:r>
        <w:t>Section 168(n) covers only property the construction of which begins after January 19, 2025, and that is placed in service before January 1, 2031. The entire installed base of US domestic manufacturing capacity as of early 2025 is entirely excluded. A manufacturer operating a 30-year-old domestic facility with 5,000 domestic workers contributes more DVA than a newly constructed facility with 500 workers, but would show zero §168(n) basis. The framework would systematically undercount DVA for established manufacturers and overweight new entrants.</w:t>
      </w:r>
    </w:p>
    <w:p w14:paraId="5DF1B013" w14:textId="77777777" w:rsidR="004044B1" w:rsidRDefault="00000000">
      <w:pPr>
        <w:pStyle w:val="Heading2"/>
      </w:pPr>
      <w:r>
        <w:t>E. What §168(n) Can and Cannot Do for DVA Purposes</w:t>
      </w:r>
    </w:p>
    <w:p w14:paraId="1BFCA8AA" w14:textId="77777777" w:rsidR="004044B1" w:rsidRDefault="00000000">
      <w:pPr>
        <w:pStyle w:val="ListParagraph"/>
        <w:numPr>
          <w:ilvl w:val="0"/>
          <w:numId w:val="2"/>
        </w:numPr>
        <w:spacing w:before="60" w:after="60"/>
      </w:pPr>
      <w:r>
        <w:rPr>
          <w:b/>
          <w:bCs/>
        </w:rPr>
        <w:t xml:space="preserve">Gateway test (appropriate use): </w:t>
      </w:r>
      <w:r>
        <w:t>Use §168(n)’s functional definitions of manufacturing, production, and refining—including the substantial transformation requirement—to determine whether a taxpayer’s activity qualifies as domestic manufacturing for DVA purposes, as a complement to the NAICS 31–33 safe harbor.</w:t>
      </w:r>
    </w:p>
    <w:p w14:paraId="46DF3A7A" w14:textId="77777777" w:rsidR="004044B1" w:rsidRDefault="00000000">
      <w:pPr>
        <w:pStyle w:val="ListParagraph"/>
        <w:numPr>
          <w:ilvl w:val="0"/>
          <w:numId w:val="2"/>
        </w:numPr>
        <w:spacing w:before="60" w:after="60"/>
      </w:pPr>
      <w:r>
        <w:rPr>
          <w:b/>
          <w:bCs/>
        </w:rPr>
        <w:t xml:space="preserve">DVA calculation (not appropriate): </w:t>
      </w:r>
      <w:r>
        <w:t>Do not use §168(n) elected basis, QPP designation amounts, or eligible property determinations as inputs into the DVA ratio numerator. The DVA numerator must be calculated through the existing subtraction methodology.</w:t>
      </w:r>
    </w:p>
    <w:p w14:paraId="7CD3476A" w14:textId="77777777" w:rsidR="004044B1" w:rsidRDefault="00000000">
      <w:pPr>
        <w:pStyle w:val="ListParagraph"/>
        <w:numPr>
          <w:ilvl w:val="0"/>
          <w:numId w:val="2"/>
        </w:numPr>
        <w:spacing w:before="60" w:after="60"/>
      </w:pPr>
      <w:r>
        <w:rPr>
          <w:b/>
          <w:bCs/>
        </w:rPr>
        <w:t xml:space="preserve">Corroborating indicator (limited use): </w:t>
      </w:r>
      <w:r>
        <w:t>The existence of QPP elections in a given facility could serve as corroborating evidence that a taxpayer is conducting genuine domestic manufacturing, supporting DVA audit integrity.</w:t>
      </w:r>
    </w:p>
    <w:p w14:paraId="50679954" w14:textId="77777777" w:rsidR="004044B1" w:rsidRDefault="004044B1">
      <w:pPr>
        <w:spacing w:before="80" w:after="80"/>
      </w:pPr>
    </w:p>
    <w:tbl>
      <w:tblPr>
        <w:tblW w:w="936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0" w:type="dxa"/>
          <w:right w:w="10" w:type="dxa"/>
        </w:tblCellMar>
        <w:tblLook w:val="0000" w:firstRow="0" w:lastRow="0" w:firstColumn="0" w:lastColumn="0" w:noHBand="0" w:noVBand="0"/>
      </w:tblPr>
      <w:tblGrid>
        <w:gridCol w:w="9360"/>
      </w:tblGrid>
      <w:tr w:rsidR="004044B1" w14:paraId="0A1D02E6" w14:textId="77777777">
        <w:tc>
          <w:tcPr>
            <w:tcW w:w="9360" w:type="dxa"/>
            <w:tcBorders>
              <w:top w:val="single" w:sz="1" w:space="0" w:color="CCCCCC"/>
              <w:left w:val="single" w:sz="1" w:space="0" w:color="CCCCCC"/>
              <w:bottom w:val="single" w:sz="1" w:space="0" w:color="CCCCCC"/>
              <w:right w:val="single" w:sz="1" w:space="0" w:color="CCCCCC"/>
            </w:tcBorders>
            <w:shd w:val="clear" w:color="auto" w:fill="FFF8E7"/>
            <w:tcMar>
              <w:top w:w="80" w:type="dxa"/>
              <w:left w:w="120" w:type="dxa"/>
              <w:bottom w:w="80" w:type="dxa"/>
              <w:right w:w="120" w:type="dxa"/>
            </w:tcMar>
          </w:tcPr>
          <w:p w14:paraId="3172140B" w14:textId="77777777" w:rsidR="004044B1" w:rsidRDefault="00000000">
            <w:pPr>
              <w:spacing w:before="40" w:after="40"/>
            </w:pPr>
            <w:r>
              <w:rPr>
                <w:b/>
                <w:bCs/>
              </w:rPr>
              <w:t>Structural Clarity Point:</w:t>
            </w:r>
          </w:p>
          <w:p w14:paraId="0077AC63" w14:textId="77777777" w:rsidR="004044B1" w:rsidRDefault="00000000">
            <w:pPr>
              <w:spacing w:before="40" w:after="40"/>
            </w:pPr>
            <w:r>
              <w:rPr>
                <w:i/>
                <w:iCs/>
              </w:rPr>
              <w:t>§168(n) answers the question “is this manufacturing?” The DVA formula answers the question “how much domestic value is being created?” These are different questions requiring different tools. Conflating them would produce a DVA framework that is both over-inclusive (new buildings with no workers) and dramatically under-inclusive (all labor, all equipment, all existing facilities).</w:t>
            </w:r>
          </w:p>
        </w:tc>
      </w:tr>
    </w:tbl>
    <w:p w14:paraId="1604D620" w14:textId="77777777" w:rsidR="004044B1" w:rsidRDefault="004044B1">
      <w:pPr>
        <w:spacing w:before="80" w:after="80"/>
      </w:pPr>
    </w:p>
    <w:p w14:paraId="52973AD1" w14:textId="77777777" w:rsidR="004044B1" w:rsidRDefault="004044B1">
      <w:pPr>
        <w:pBdr>
          <w:bottom w:val="single" w:sz="4" w:space="1" w:color="2E75B6"/>
        </w:pBdr>
        <w:spacing w:before="200" w:after="200"/>
      </w:pPr>
    </w:p>
    <w:p w14:paraId="0EB83411" w14:textId="77777777" w:rsidR="004044B1" w:rsidRDefault="00000000">
      <w:pPr>
        <w:pStyle w:val="Heading1"/>
      </w:pPr>
      <w:r>
        <w:t>Part III: How §168(n) Translates (and Fails to Translate) into Labor and Other DVA Costs</w:t>
      </w:r>
    </w:p>
    <w:p w14:paraId="4BB21AA9" w14:textId="77777777" w:rsidR="004044B1" w:rsidRDefault="00000000">
      <w:pPr>
        <w:pStyle w:val="Heading2"/>
      </w:pPr>
      <w:r>
        <w:t>A. The Conceptual Gap</w:t>
      </w:r>
    </w:p>
    <w:p w14:paraId="0AB59EDD" w14:textId="77777777" w:rsidR="004044B1" w:rsidRDefault="00000000">
      <w:pPr>
        <w:spacing w:before="80" w:after="120"/>
      </w:pPr>
      <w:r>
        <w:t>Domestic Value Added, as an economic concept, is the sum of all domestic factor inputs: labor compensation, domestic capital consumption, domestic energy and materials, and overhead attributable to US operations. Section 168(n) reaches exactly one of these categories—the building component of capital consumption—and only for a narrow vintage of new construction. The gap between what §168(n) captures and what DVA measures is not a technical drafting issue; it is a categorical mismatch between a property tax provision and an economic value measurement framework.</w:t>
      </w:r>
    </w:p>
    <w:p w14:paraId="749C331D" w14:textId="77777777" w:rsidR="004044B1" w:rsidRDefault="00000000">
      <w:pPr>
        <w:pStyle w:val="Heading2"/>
      </w:pPr>
      <w:r>
        <w:t>B. Labor: The Largest and Most Important Gap</w:t>
      </w:r>
    </w:p>
    <w:p w14:paraId="2761CD88" w14:textId="77777777" w:rsidR="004044B1" w:rsidRDefault="00000000">
      <w:pPr>
        <w:spacing w:before="80" w:after="120"/>
      </w:pPr>
      <w:r>
        <w:t>Labor compensation is typically the largest single component of domestic value added in manufacturing, representing 15–35% of manufacturing cost depending on capital intensity, and a far higher share of the value-added component specifically. For high-wage advanced manufacturing sectors—semiconductors, aerospace, pharmaceuticals, precision instruments—the labor and benefits component of domestically-generated value is dominant.</w:t>
      </w:r>
    </w:p>
    <w:p w14:paraId="6E16A6C1" w14:textId="77777777" w:rsidR="004044B1" w:rsidRDefault="00000000">
      <w:pPr>
        <w:spacing w:before="80" w:after="120"/>
      </w:pPr>
      <w:r>
        <w:t>Section 168(n) has no mechanism whatsoever to capture labor costs. Wages and benefits are deducted under §162 as ordinary business expenses. A capital-light manufacturer—such as a food processor using leased space and labor-intensive production—could have substantial domestic labor content but zero §168(n) eligible property. The DVA framework correctly captures labor through the subtraction methodology: labor costs are domestic costs that are not subtracted from revenue, so they remain in the DVA numerator. §168(n) adds nothing to this calculation.</w:t>
      </w:r>
    </w:p>
    <w:p w14:paraId="76083DD6" w14:textId="77777777" w:rsidR="004044B1" w:rsidRDefault="00000000">
      <w:pPr>
        <w:pStyle w:val="Heading2"/>
      </w:pPr>
      <w:r>
        <w:t>C. Machinery and Equipment: The Largest Capital Gap</w:t>
      </w:r>
    </w:p>
    <w:p w14:paraId="35392105" w14:textId="77777777" w:rsidR="004044B1" w:rsidRDefault="00000000">
      <w:pPr>
        <w:spacing w:before="80" w:after="120"/>
      </w:pPr>
      <w:r>
        <w:t>In most advanced manufacturing sectors, equipment and machinery constitute the majority of capital investment.</w:t>
      </w:r>
    </w:p>
    <w:p w14:paraId="6BB49468" w14:textId="77777777" w:rsidR="004044B1" w:rsidRDefault="004044B1">
      <w:pPr>
        <w:spacing w:before="80" w:after="80"/>
      </w:pPr>
    </w:p>
    <w:tbl>
      <w:tblPr>
        <w:tblW w:w="936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0" w:type="dxa"/>
          <w:right w:w="10" w:type="dxa"/>
        </w:tblCellMar>
        <w:tblLook w:val="0000" w:firstRow="0" w:lastRow="0" w:firstColumn="0" w:lastColumn="0" w:noHBand="0" w:noVBand="0"/>
      </w:tblPr>
      <w:tblGrid>
        <w:gridCol w:w="3120"/>
        <w:gridCol w:w="3120"/>
        <w:gridCol w:w="3120"/>
      </w:tblGrid>
      <w:tr w:rsidR="004044B1" w14:paraId="5987A8C8" w14:textId="77777777">
        <w:trPr>
          <w:tblHeader/>
        </w:trPr>
        <w:tc>
          <w:tcPr>
            <w:tcW w:w="3120" w:type="dxa"/>
            <w:tcBorders>
              <w:top w:val="single" w:sz="1" w:space="0" w:color="CCCCCC"/>
              <w:left w:val="single" w:sz="1" w:space="0" w:color="CCCCCC"/>
              <w:bottom w:val="single" w:sz="1" w:space="0" w:color="CCCCCC"/>
              <w:right w:val="single" w:sz="1" w:space="0" w:color="CCCCCC"/>
            </w:tcBorders>
            <w:shd w:val="clear" w:color="auto" w:fill="2E75B6"/>
            <w:tcMar>
              <w:top w:w="80" w:type="dxa"/>
              <w:left w:w="120" w:type="dxa"/>
              <w:bottom w:w="80" w:type="dxa"/>
              <w:right w:w="120" w:type="dxa"/>
            </w:tcMar>
          </w:tcPr>
          <w:p w14:paraId="09AE4096" w14:textId="77777777" w:rsidR="004044B1" w:rsidRDefault="00000000">
            <w:r>
              <w:rPr>
                <w:b/>
                <w:bCs/>
                <w:color w:val="FFFFFF"/>
                <w:sz w:val="19"/>
                <w:szCs w:val="19"/>
              </w:rPr>
              <w:t>Sector</w:t>
            </w:r>
          </w:p>
        </w:tc>
        <w:tc>
          <w:tcPr>
            <w:tcW w:w="3120" w:type="dxa"/>
            <w:tcBorders>
              <w:top w:val="single" w:sz="1" w:space="0" w:color="CCCCCC"/>
              <w:left w:val="single" w:sz="1" w:space="0" w:color="CCCCCC"/>
              <w:bottom w:val="single" w:sz="1" w:space="0" w:color="CCCCCC"/>
              <w:right w:val="single" w:sz="1" w:space="0" w:color="CCCCCC"/>
            </w:tcBorders>
            <w:shd w:val="clear" w:color="auto" w:fill="2E75B6"/>
            <w:tcMar>
              <w:top w:w="80" w:type="dxa"/>
              <w:left w:w="120" w:type="dxa"/>
              <w:bottom w:w="80" w:type="dxa"/>
              <w:right w:w="120" w:type="dxa"/>
            </w:tcMar>
          </w:tcPr>
          <w:p w14:paraId="7CF0760F" w14:textId="77777777" w:rsidR="004044B1" w:rsidRDefault="00000000">
            <w:r>
              <w:rPr>
                <w:b/>
                <w:bCs/>
                <w:color w:val="FFFFFF"/>
                <w:sz w:val="19"/>
                <w:szCs w:val="19"/>
              </w:rPr>
              <w:t>Approx. Equipment Share of CapEx</w:t>
            </w:r>
          </w:p>
        </w:tc>
        <w:tc>
          <w:tcPr>
            <w:tcW w:w="3120" w:type="dxa"/>
            <w:tcBorders>
              <w:top w:val="single" w:sz="1" w:space="0" w:color="CCCCCC"/>
              <w:left w:val="single" w:sz="1" w:space="0" w:color="CCCCCC"/>
              <w:bottom w:val="single" w:sz="1" w:space="0" w:color="CCCCCC"/>
              <w:right w:val="single" w:sz="1" w:space="0" w:color="CCCCCC"/>
            </w:tcBorders>
            <w:shd w:val="clear" w:color="auto" w:fill="2E75B6"/>
            <w:tcMar>
              <w:top w:w="80" w:type="dxa"/>
              <w:left w:w="120" w:type="dxa"/>
              <w:bottom w:w="80" w:type="dxa"/>
              <w:right w:w="120" w:type="dxa"/>
            </w:tcMar>
          </w:tcPr>
          <w:p w14:paraId="2FEE06CD" w14:textId="77777777" w:rsidR="004044B1" w:rsidRDefault="00000000">
            <w:r>
              <w:rPr>
                <w:b/>
                <w:bCs/>
                <w:color w:val="FFFFFF"/>
                <w:sz w:val="19"/>
                <w:szCs w:val="19"/>
              </w:rPr>
              <w:t>§168(n) Building Share of CapEx</w:t>
            </w:r>
          </w:p>
        </w:tc>
      </w:tr>
      <w:tr w:rsidR="004044B1" w14:paraId="67405625" w14:textId="77777777">
        <w:tc>
          <w:tcPr>
            <w:tcW w:w="3120" w:type="dxa"/>
            <w:tcBorders>
              <w:top w:val="single" w:sz="1" w:space="0" w:color="CCCCCC"/>
              <w:left w:val="single" w:sz="1" w:space="0" w:color="CCCCCC"/>
              <w:bottom w:val="single" w:sz="1" w:space="0" w:color="CCCCCC"/>
              <w:right w:val="single" w:sz="1" w:space="0" w:color="CCCCCC"/>
            </w:tcBorders>
            <w:shd w:val="clear" w:color="auto" w:fill="FFFFFF"/>
            <w:tcMar>
              <w:top w:w="80" w:type="dxa"/>
              <w:left w:w="120" w:type="dxa"/>
              <w:bottom w:w="80" w:type="dxa"/>
              <w:right w:w="120" w:type="dxa"/>
            </w:tcMar>
          </w:tcPr>
          <w:p w14:paraId="4462F758" w14:textId="77777777" w:rsidR="004044B1" w:rsidRDefault="00000000">
            <w:r>
              <w:rPr>
                <w:b/>
                <w:bCs/>
                <w:sz w:val="19"/>
                <w:szCs w:val="19"/>
              </w:rPr>
              <w:t>Semiconductor fabrication</w:t>
            </w:r>
          </w:p>
        </w:tc>
        <w:tc>
          <w:tcPr>
            <w:tcW w:w="3120" w:type="dxa"/>
            <w:tcBorders>
              <w:top w:val="single" w:sz="1" w:space="0" w:color="CCCCCC"/>
              <w:left w:val="single" w:sz="1" w:space="0" w:color="CCCCCC"/>
              <w:bottom w:val="single" w:sz="1" w:space="0" w:color="CCCCCC"/>
              <w:right w:val="single" w:sz="1" w:space="0" w:color="CCCCCC"/>
            </w:tcBorders>
            <w:shd w:val="clear" w:color="auto" w:fill="FFFFFF"/>
            <w:tcMar>
              <w:top w:w="80" w:type="dxa"/>
              <w:left w:w="120" w:type="dxa"/>
              <w:bottom w:w="80" w:type="dxa"/>
              <w:right w:w="120" w:type="dxa"/>
            </w:tcMar>
          </w:tcPr>
          <w:p w14:paraId="23B7BA05" w14:textId="77777777" w:rsidR="004044B1" w:rsidRDefault="00000000">
            <w:r>
              <w:rPr>
                <w:sz w:val="19"/>
                <w:szCs w:val="19"/>
              </w:rPr>
              <w:t>70–80%</w:t>
            </w:r>
          </w:p>
        </w:tc>
        <w:tc>
          <w:tcPr>
            <w:tcW w:w="3120" w:type="dxa"/>
            <w:tcBorders>
              <w:top w:val="single" w:sz="1" w:space="0" w:color="CCCCCC"/>
              <w:left w:val="single" w:sz="1" w:space="0" w:color="CCCCCC"/>
              <w:bottom w:val="single" w:sz="1" w:space="0" w:color="CCCCCC"/>
              <w:right w:val="single" w:sz="1" w:space="0" w:color="CCCCCC"/>
            </w:tcBorders>
            <w:shd w:val="clear" w:color="auto" w:fill="FFFFFF"/>
            <w:tcMar>
              <w:top w:w="80" w:type="dxa"/>
              <w:left w:w="120" w:type="dxa"/>
              <w:bottom w:w="80" w:type="dxa"/>
              <w:right w:w="120" w:type="dxa"/>
            </w:tcMar>
          </w:tcPr>
          <w:p w14:paraId="5A681D7E" w14:textId="77777777" w:rsidR="004044B1" w:rsidRDefault="00000000">
            <w:r>
              <w:rPr>
                <w:sz w:val="19"/>
                <w:szCs w:val="19"/>
              </w:rPr>
              <w:t>10–15%</w:t>
            </w:r>
          </w:p>
        </w:tc>
      </w:tr>
      <w:tr w:rsidR="004044B1" w14:paraId="708C5A37" w14:textId="77777777">
        <w:tc>
          <w:tcPr>
            <w:tcW w:w="3120" w:type="dxa"/>
            <w:tcBorders>
              <w:top w:val="single" w:sz="1" w:space="0" w:color="CCCCCC"/>
              <w:left w:val="single" w:sz="1" w:space="0" w:color="CCCCCC"/>
              <w:bottom w:val="single" w:sz="1" w:space="0" w:color="CCCCCC"/>
              <w:right w:val="single" w:sz="1" w:space="0" w:color="CCCCCC"/>
            </w:tcBorders>
            <w:shd w:val="clear" w:color="auto" w:fill="F5F7FA"/>
            <w:tcMar>
              <w:top w:w="80" w:type="dxa"/>
              <w:left w:w="120" w:type="dxa"/>
              <w:bottom w:w="80" w:type="dxa"/>
              <w:right w:w="120" w:type="dxa"/>
            </w:tcMar>
          </w:tcPr>
          <w:p w14:paraId="2A35AE72" w14:textId="77777777" w:rsidR="004044B1" w:rsidRDefault="00000000">
            <w:r>
              <w:rPr>
                <w:b/>
                <w:bCs/>
                <w:sz w:val="19"/>
                <w:szCs w:val="19"/>
              </w:rPr>
              <w:lastRenderedPageBreak/>
              <w:t>Pharmaceutical manufacturing</w:t>
            </w:r>
          </w:p>
        </w:tc>
        <w:tc>
          <w:tcPr>
            <w:tcW w:w="3120" w:type="dxa"/>
            <w:tcBorders>
              <w:top w:val="single" w:sz="1" w:space="0" w:color="CCCCCC"/>
              <w:left w:val="single" w:sz="1" w:space="0" w:color="CCCCCC"/>
              <w:bottom w:val="single" w:sz="1" w:space="0" w:color="CCCCCC"/>
              <w:right w:val="single" w:sz="1" w:space="0" w:color="CCCCCC"/>
            </w:tcBorders>
            <w:shd w:val="clear" w:color="auto" w:fill="F5F7FA"/>
            <w:tcMar>
              <w:top w:w="80" w:type="dxa"/>
              <w:left w:w="120" w:type="dxa"/>
              <w:bottom w:w="80" w:type="dxa"/>
              <w:right w:w="120" w:type="dxa"/>
            </w:tcMar>
          </w:tcPr>
          <w:p w14:paraId="68721F8E" w14:textId="77777777" w:rsidR="004044B1" w:rsidRDefault="00000000">
            <w:r>
              <w:rPr>
                <w:sz w:val="19"/>
                <w:szCs w:val="19"/>
              </w:rPr>
              <w:t>55–65%</w:t>
            </w:r>
          </w:p>
        </w:tc>
        <w:tc>
          <w:tcPr>
            <w:tcW w:w="3120" w:type="dxa"/>
            <w:tcBorders>
              <w:top w:val="single" w:sz="1" w:space="0" w:color="CCCCCC"/>
              <w:left w:val="single" w:sz="1" w:space="0" w:color="CCCCCC"/>
              <w:bottom w:val="single" w:sz="1" w:space="0" w:color="CCCCCC"/>
              <w:right w:val="single" w:sz="1" w:space="0" w:color="CCCCCC"/>
            </w:tcBorders>
            <w:shd w:val="clear" w:color="auto" w:fill="F5F7FA"/>
            <w:tcMar>
              <w:top w:w="80" w:type="dxa"/>
              <w:left w:w="120" w:type="dxa"/>
              <w:bottom w:w="80" w:type="dxa"/>
              <w:right w:w="120" w:type="dxa"/>
            </w:tcMar>
          </w:tcPr>
          <w:p w14:paraId="7D318A1C" w14:textId="77777777" w:rsidR="004044B1" w:rsidRDefault="00000000">
            <w:r>
              <w:rPr>
                <w:sz w:val="19"/>
                <w:szCs w:val="19"/>
              </w:rPr>
              <w:t>15–25%</w:t>
            </w:r>
          </w:p>
        </w:tc>
      </w:tr>
      <w:tr w:rsidR="004044B1" w14:paraId="2B6C29F3" w14:textId="77777777">
        <w:tc>
          <w:tcPr>
            <w:tcW w:w="3120" w:type="dxa"/>
            <w:tcBorders>
              <w:top w:val="single" w:sz="1" w:space="0" w:color="CCCCCC"/>
              <w:left w:val="single" w:sz="1" w:space="0" w:color="CCCCCC"/>
              <w:bottom w:val="single" w:sz="1" w:space="0" w:color="CCCCCC"/>
              <w:right w:val="single" w:sz="1" w:space="0" w:color="CCCCCC"/>
            </w:tcBorders>
            <w:shd w:val="clear" w:color="auto" w:fill="FFFFFF"/>
            <w:tcMar>
              <w:top w:w="80" w:type="dxa"/>
              <w:left w:w="120" w:type="dxa"/>
              <w:bottom w:w="80" w:type="dxa"/>
              <w:right w:w="120" w:type="dxa"/>
            </w:tcMar>
          </w:tcPr>
          <w:p w14:paraId="536DEE89" w14:textId="77777777" w:rsidR="004044B1" w:rsidRDefault="00000000">
            <w:r>
              <w:rPr>
                <w:b/>
                <w:bCs/>
                <w:sz w:val="19"/>
                <w:szCs w:val="19"/>
              </w:rPr>
              <w:t>Automotive assembly</w:t>
            </w:r>
          </w:p>
        </w:tc>
        <w:tc>
          <w:tcPr>
            <w:tcW w:w="3120" w:type="dxa"/>
            <w:tcBorders>
              <w:top w:val="single" w:sz="1" w:space="0" w:color="CCCCCC"/>
              <w:left w:val="single" w:sz="1" w:space="0" w:color="CCCCCC"/>
              <w:bottom w:val="single" w:sz="1" w:space="0" w:color="CCCCCC"/>
              <w:right w:val="single" w:sz="1" w:space="0" w:color="CCCCCC"/>
            </w:tcBorders>
            <w:shd w:val="clear" w:color="auto" w:fill="FFFFFF"/>
            <w:tcMar>
              <w:top w:w="80" w:type="dxa"/>
              <w:left w:w="120" w:type="dxa"/>
              <w:bottom w:w="80" w:type="dxa"/>
              <w:right w:w="120" w:type="dxa"/>
            </w:tcMar>
          </w:tcPr>
          <w:p w14:paraId="3B64CFAB" w14:textId="77777777" w:rsidR="004044B1" w:rsidRDefault="00000000">
            <w:r>
              <w:rPr>
                <w:sz w:val="19"/>
                <w:szCs w:val="19"/>
              </w:rPr>
              <w:t>50–60%</w:t>
            </w:r>
          </w:p>
        </w:tc>
        <w:tc>
          <w:tcPr>
            <w:tcW w:w="3120" w:type="dxa"/>
            <w:tcBorders>
              <w:top w:val="single" w:sz="1" w:space="0" w:color="CCCCCC"/>
              <w:left w:val="single" w:sz="1" w:space="0" w:color="CCCCCC"/>
              <w:bottom w:val="single" w:sz="1" w:space="0" w:color="CCCCCC"/>
              <w:right w:val="single" w:sz="1" w:space="0" w:color="CCCCCC"/>
            </w:tcBorders>
            <w:shd w:val="clear" w:color="auto" w:fill="FFFFFF"/>
            <w:tcMar>
              <w:top w:w="80" w:type="dxa"/>
              <w:left w:w="120" w:type="dxa"/>
              <w:bottom w:w="80" w:type="dxa"/>
              <w:right w:w="120" w:type="dxa"/>
            </w:tcMar>
          </w:tcPr>
          <w:p w14:paraId="257F9B0E" w14:textId="77777777" w:rsidR="004044B1" w:rsidRDefault="00000000">
            <w:r>
              <w:rPr>
                <w:sz w:val="19"/>
                <w:szCs w:val="19"/>
              </w:rPr>
              <w:t>20–30%</w:t>
            </w:r>
          </w:p>
        </w:tc>
      </w:tr>
      <w:tr w:rsidR="004044B1" w14:paraId="455225FA" w14:textId="77777777">
        <w:tc>
          <w:tcPr>
            <w:tcW w:w="3120" w:type="dxa"/>
            <w:tcBorders>
              <w:top w:val="single" w:sz="1" w:space="0" w:color="CCCCCC"/>
              <w:left w:val="single" w:sz="1" w:space="0" w:color="CCCCCC"/>
              <w:bottom w:val="single" w:sz="1" w:space="0" w:color="CCCCCC"/>
              <w:right w:val="single" w:sz="1" w:space="0" w:color="CCCCCC"/>
            </w:tcBorders>
            <w:shd w:val="clear" w:color="auto" w:fill="F5F7FA"/>
            <w:tcMar>
              <w:top w:w="80" w:type="dxa"/>
              <w:left w:w="120" w:type="dxa"/>
              <w:bottom w:w="80" w:type="dxa"/>
              <w:right w:w="120" w:type="dxa"/>
            </w:tcMar>
          </w:tcPr>
          <w:p w14:paraId="6F921C27" w14:textId="77777777" w:rsidR="004044B1" w:rsidRDefault="00000000">
            <w:r>
              <w:rPr>
                <w:b/>
                <w:bCs/>
                <w:sz w:val="19"/>
                <w:szCs w:val="19"/>
              </w:rPr>
              <w:t>Aerospace components</w:t>
            </w:r>
          </w:p>
        </w:tc>
        <w:tc>
          <w:tcPr>
            <w:tcW w:w="3120" w:type="dxa"/>
            <w:tcBorders>
              <w:top w:val="single" w:sz="1" w:space="0" w:color="CCCCCC"/>
              <w:left w:val="single" w:sz="1" w:space="0" w:color="CCCCCC"/>
              <w:bottom w:val="single" w:sz="1" w:space="0" w:color="CCCCCC"/>
              <w:right w:val="single" w:sz="1" w:space="0" w:color="CCCCCC"/>
            </w:tcBorders>
            <w:shd w:val="clear" w:color="auto" w:fill="F5F7FA"/>
            <w:tcMar>
              <w:top w:w="80" w:type="dxa"/>
              <w:left w:w="120" w:type="dxa"/>
              <w:bottom w:w="80" w:type="dxa"/>
              <w:right w:w="120" w:type="dxa"/>
            </w:tcMar>
          </w:tcPr>
          <w:p w14:paraId="534EEBF1" w14:textId="77777777" w:rsidR="004044B1" w:rsidRDefault="00000000">
            <w:r>
              <w:rPr>
                <w:sz w:val="19"/>
                <w:szCs w:val="19"/>
              </w:rPr>
              <w:t>45–55%</w:t>
            </w:r>
          </w:p>
        </w:tc>
        <w:tc>
          <w:tcPr>
            <w:tcW w:w="3120" w:type="dxa"/>
            <w:tcBorders>
              <w:top w:val="single" w:sz="1" w:space="0" w:color="CCCCCC"/>
              <w:left w:val="single" w:sz="1" w:space="0" w:color="CCCCCC"/>
              <w:bottom w:val="single" w:sz="1" w:space="0" w:color="CCCCCC"/>
              <w:right w:val="single" w:sz="1" w:space="0" w:color="CCCCCC"/>
            </w:tcBorders>
            <w:shd w:val="clear" w:color="auto" w:fill="F5F7FA"/>
            <w:tcMar>
              <w:top w:w="80" w:type="dxa"/>
              <w:left w:w="120" w:type="dxa"/>
              <w:bottom w:w="80" w:type="dxa"/>
              <w:right w:w="120" w:type="dxa"/>
            </w:tcMar>
          </w:tcPr>
          <w:p w14:paraId="15BE6C6C" w14:textId="77777777" w:rsidR="004044B1" w:rsidRDefault="00000000">
            <w:r>
              <w:rPr>
                <w:sz w:val="19"/>
                <w:szCs w:val="19"/>
              </w:rPr>
              <w:t>20–30%</w:t>
            </w:r>
          </w:p>
        </w:tc>
      </w:tr>
      <w:tr w:rsidR="004044B1" w14:paraId="076C3615" w14:textId="77777777">
        <w:tc>
          <w:tcPr>
            <w:tcW w:w="3120" w:type="dxa"/>
            <w:tcBorders>
              <w:top w:val="single" w:sz="1" w:space="0" w:color="CCCCCC"/>
              <w:left w:val="single" w:sz="1" w:space="0" w:color="CCCCCC"/>
              <w:bottom w:val="single" w:sz="1" w:space="0" w:color="CCCCCC"/>
              <w:right w:val="single" w:sz="1" w:space="0" w:color="CCCCCC"/>
            </w:tcBorders>
            <w:shd w:val="clear" w:color="auto" w:fill="FFFFFF"/>
            <w:tcMar>
              <w:top w:w="80" w:type="dxa"/>
              <w:left w:w="120" w:type="dxa"/>
              <w:bottom w:w="80" w:type="dxa"/>
              <w:right w:w="120" w:type="dxa"/>
            </w:tcMar>
          </w:tcPr>
          <w:p w14:paraId="7B87D13E" w14:textId="77777777" w:rsidR="004044B1" w:rsidRDefault="00000000">
            <w:r>
              <w:rPr>
                <w:b/>
                <w:bCs/>
                <w:sz w:val="19"/>
                <w:szCs w:val="19"/>
              </w:rPr>
              <w:t>Chemical / petrochemical</w:t>
            </w:r>
          </w:p>
        </w:tc>
        <w:tc>
          <w:tcPr>
            <w:tcW w:w="3120" w:type="dxa"/>
            <w:tcBorders>
              <w:top w:val="single" w:sz="1" w:space="0" w:color="CCCCCC"/>
              <w:left w:val="single" w:sz="1" w:space="0" w:color="CCCCCC"/>
              <w:bottom w:val="single" w:sz="1" w:space="0" w:color="CCCCCC"/>
              <w:right w:val="single" w:sz="1" w:space="0" w:color="CCCCCC"/>
            </w:tcBorders>
            <w:shd w:val="clear" w:color="auto" w:fill="FFFFFF"/>
            <w:tcMar>
              <w:top w:w="80" w:type="dxa"/>
              <w:left w:w="120" w:type="dxa"/>
              <w:bottom w:w="80" w:type="dxa"/>
              <w:right w:w="120" w:type="dxa"/>
            </w:tcMar>
          </w:tcPr>
          <w:p w14:paraId="2473272B" w14:textId="77777777" w:rsidR="004044B1" w:rsidRDefault="00000000">
            <w:r>
              <w:rPr>
                <w:sz w:val="19"/>
                <w:szCs w:val="19"/>
              </w:rPr>
              <w:t>60–70%</w:t>
            </w:r>
          </w:p>
        </w:tc>
        <w:tc>
          <w:tcPr>
            <w:tcW w:w="3120" w:type="dxa"/>
            <w:tcBorders>
              <w:top w:val="single" w:sz="1" w:space="0" w:color="CCCCCC"/>
              <w:left w:val="single" w:sz="1" w:space="0" w:color="CCCCCC"/>
              <w:bottom w:val="single" w:sz="1" w:space="0" w:color="CCCCCC"/>
              <w:right w:val="single" w:sz="1" w:space="0" w:color="CCCCCC"/>
            </w:tcBorders>
            <w:shd w:val="clear" w:color="auto" w:fill="FFFFFF"/>
            <w:tcMar>
              <w:top w:w="80" w:type="dxa"/>
              <w:left w:w="120" w:type="dxa"/>
              <w:bottom w:w="80" w:type="dxa"/>
              <w:right w:w="120" w:type="dxa"/>
            </w:tcMar>
          </w:tcPr>
          <w:p w14:paraId="70B268D2" w14:textId="77777777" w:rsidR="004044B1" w:rsidRDefault="00000000">
            <w:r>
              <w:rPr>
                <w:sz w:val="19"/>
                <w:szCs w:val="19"/>
              </w:rPr>
              <w:t>10–20%</w:t>
            </w:r>
          </w:p>
        </w:tc>
      </w:tr>
      <w:tr w:rsidR="004044B1" w14:paraId="4312B746" w14:textId="77777777">
        <w:tc>
          <w:tcPr>
            <w:tcW w:w="3120" w:type="dxa"/>
            <w:tcBorders>
              <w:top w:val="single" w:sz="1" w:space="0" w:color="CCCCCC"/>
              <w:left w:val="single" w:sz="1" w:space="0" w:color="CCCCCC"/>
              <w:bottom w:val="single" w:sz="1" w:space="0" w:color="CCCCCC"/>
              <w:right w:val="single" w:sz="1" w:space="0" w:color="CCCCCC"/>
            </w:tcBorders>
            <w:shd w:val="clear" w:color="auto" w:fill="F5F7FA"/>
            <w:tcMar>
              <w:top w:w="80" w:type="dxa"/>
              <w:left w:w="120" w:type="dxa"/>
              <w:bottom w:w="80" w:type="dxa"/>
              <w:right w:w="120" w:type="dxa"/>
            </w:tcMar>
          </w:tcPr>
          <w:p w14:paraId="5D63656C" w14:textId="77777777" w:rsidR="004044B1" w:rsidRDefault="00000000">
            <w:r>
              <w:rPr>
                <w:b/>
                <w:bCs/>
                <w:sz w:val="19"/>
                <w:szCs w:val="19"/>
              </w:rPr>
              <w:t>Food &amp; beverage processing</w:t>
            </w:r>
          </w:p>
        </w:tc>
        <w:tc>
          <w:tcPr>
            <w:tcW w:w="3120" w:type="dxa"/>
            <w:tcBorders>
              <w:top w:val="single" w:sz="1" w:space="0" w:color="CCCCCC"/>
              <w:left w:val="single" w:sz="1" w:space="0" w:color="CCCCCC"/>
              <w:bottom w:val="single" w:sz="1" w:space="0" w:color="CCCCCC"/>
              <w:right w:val="single" w:sz="1" w:space="0" w:color="CCCCCC"/>
            </w:tcBorders>
            <w:shd w:val="clear" w:color="auto" w:fill="F5F7FA"/>
            <w:tcMar>
              <w:top w:w="80" w:type="dxa"/>
              <w:left w:w="120" w:type="dxa"/>
              <w:bottom w:w="80" w:type="dxa"/>
              <w:right w:w="120" w:type="dxa"/>
            </w:tcMar>
          </w:tcPr>
          <w:p w14:paraId="4936B700" w14:textId="77777777" w:rsidR="004044B1" w:rsidRDefault="00000000">
            <w:r>
              <w:rPr>
                <w:sz w:val="19"/>
                <w:szCs w:val="19"/>
              </w:rPr>
              <w:t>40–50%</w:t>
            </w:r>
          </w:p>
        </w:tc>
        <w:tc>
          <w:tcPr>
            <w:tcW w:w="3120" w:type="dxa"/>
            <w:tcBorders>
              <w:top w:val="single" w:sz="1" w:space="0" w:color="CCCCCC"/>
              <w:left w:val="single" w:sz="1" w:space="0" w:color="CCCCCC"/>
              <w:bottom w:val="single" w:sz="1" w:space="0" w:color="CCCCCC"/>
              <w:right w:val="single" w:sz="1" w:space="0" w:color="CCCCCC"/>
            </w:tcBorders>
            <w:shd w:val="clear" w:color="auto" w:fill="F5F7FA"/>
            <w:tcMar>
              <w:top w:w="80" w:type="dxa"/>
              <w:left w:w="120" w:type="dxa"/>
              <w:bottom w:w="80" w:type="dxa"/>
              <w:right w:w="120" w:type="dxa"/>
            </w:tcMar>
          </w:tcPr>
          <w:p w14:paraId="531761E0" w14:textId="77777777" w:rsidR="004044B1" w:rsidRDefault="00000000">
            <w:r>
              <w:rPr>
                <w:sz w:val="19"/>
                <w:szCs w:val="19"/>
              </w:rPr>
              <w:t>25–35%</w:t>
            </w:r>
          </w:p>
        </w:tc>
      </w:tr>
    </w:tbl>
    <w:p w14:paraId="400DDDA8" w14:textId="77777777" w:rsidR="004044B1" w:rsidRDefault="004044B1">
      <w:pPr>
        <w:spacing w:before="80" w:after="80"/>
      </w:pPr>
    </w:p>
    <w:p w14:paraId="6EFD5F14" w14:textId="77777777" w:rsidR="004044B1" w:rsidRDefault="00000000">
      <w:pPr>
        <w:spacing w:before="80" w:after="120"/>
      </w:pPr>
      <w:r>
        <w:t>Machinery and equipment are classified as MACRS personal property—typically 5-year or 7-year recovery period assets under §168—and may qualify for bonus depreciation under §168(k). They are not nonresidential real property and cannot be QPP under §168(n). The DVA framework’s subtraction methodology captures domestic equipment content correctly: equipment purchased from domestic suppliers does not appear as a foreign input deduction.</w:t>
      </w:r>
    </w:p>
    <w:p w14:paraId="0935756F" w14:textId="77777777" w:rsidR="004044B1" w:rsidRDefault="00000000">
      <w:pPr>
        <w:pStyle w:val="Heading2"/>
      </w:pPr>
      <w:r>
        <w:t>D. Domestic Raw Materials and Components</w:t>
      </w:r>
    </w:p>
    <w:p w14:paraId="62E6DDD7" w14:textId="77777777" w:rsidR="004044B1" w:rsidRDefault="00000000">
      <w:pPr>
        <w:spacing w:before="80" w:after="120"/>
      </w:pPr>
      <w:r>
        <w:t>The DVA ratio’s core purpose is to distinguish manufacturers that source materials domestically from those that import them. The subtraction methodology accomplishes this directly: foreign-sourced inputs are deducted from the DVA numerator; domestic-sourced inputs are not. Section 168(n) has no ability to make this distinction. A factory using 100% imported components conducts the same QPA as one using 100% domestic components—both qualify for QPP; only the DVA formula distinguishes them.</w:t>
      </w:r>
    </w:p>
    <w:p w14:paraId="4DD97BFD" w14:textId="77777777" w:rsidR="004044B1" w:rsidRDefault="00000000">
      <w:pPr>
        <w:pStyle w:val="Heading2"/>
      </w:pPr>
      <w:r>
        <w:t>E. The Ineligible Space Exclusion as a DVA Distortion</w:t>
      </w:r>
    </w:p>
    <w:p w14:paraId="2B766E8E" w14:textId="77777777" w:rsidR="004044B1" w:rsidRDefault="00000000">
      <w:pPr>
        <w:spacing w:before="80" w:after="120"/>
      </w:pPr>
      <w:r>
        <w:t>Notice 2026-16 §4.07 explicitly excludes from QPP-eligible space: offices, administrative services, software development, engineering activities, and research activities. This means a manufacturing facility’s engineering staff, quality engineers, process engineers, and plant managers—typically the highest-compensated production-adjacent workers—work in space that §168(n) treats as ineligible. If facility characteristics were used as a proxy for DVA, these workers’ contributions would be systematically undercounted. The DVA framework’s subtraction methodology avoids this distortion by treating all domestic labor as DVA-positive regardless of job function.</w:t>
      </w:r>
    </w:p>
    <w:p w14:paraId="797C08A9" w14:textId="77777777" w:rsidR="004044B1" w:rsidRDefault="00000000">
      <w:pPr>
        <w:pStyle w:val="Heading2"/>
      </w:pPr>
      <w:r>
        <w:t>F. Summary: What Each Framework Captures for DVA Purposes</w:t>
      </w:r>
    </w:p>
    <w:p w14:paraId="26653BC0" w14:textId="77777777" w:rsidR="004044B1" w:rsidRDefault="004044B1">
      <w:pPr>
        <w:spacing w:before="80" w:after="80"/>
      </w:pPr>
    </w:p>
    <w:tbl>
      <w:tblPr>
        <w:tblW w:w="936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0" w:type="dxa"/>
          <w:right w:w="10" w:type="dxa"/>
        </w:tblCellMar>
        <w:tblLook w:val="0000" w:firstRow="0" w:lastRow="0" w:firstColumn="0" w:lastColumn="0" w:noHBand="0" w:noVBand="0"/>
      </w:tblPr>
      <w:tblGrid>
        <w:gridCol w:w="3120"/>
        <w:gridCol w:w="3120"/>
        <w:gridCol w:w="3120"/>
      </w:tblGrid>
      <w:tr w:rsidR="004044B1" w14:paraId="5C22848C" w14:textId="77777777">
        <w:trPr>
          <w:tblHeader/>
        </w:trPr>
        <w:tc>
          <w:tcPr>
            <w:tcW w:w="3120" w:type="dxa"/>
            <w:tcBorders>
              <w:top w:val="single" w:sz="1" w:space="0" w:color="CCCCCC"/>
              <w:left w:val="single" w:sz="1" w:space="0" w:color="CCCCCC"/>
              <w:bottom w:val="single" w:sz="1" w:space="0" w:color="CCCCCC"/>
              <w:right w:val="single" w:sz="1" w:space="0" w:color="CCCCCC"/>
            </w:tcBorders>
            <w:shd w:val="clear" w:color="auto" w:fill="2E75B6"/>
            <w:tcMar>
              <w:top w:w="80" w:type="dxa"/>
              <w:left w:w="120" w:type="dxa"/>
              <w:bottom w:w="80" w:type="dxa"/>
              <w:right w:w="120" w:type="dxa"/>
            </w:tcMar>
          </w:tcPr>
          <w:p w14:paraId="14B1EE13" w14:textId="77777777" w:rsidR="004044B1" w:rsidRDefault="00000000">
            <w:r>
              <w:rPr>
                <w:b/>
                <w:bCs/>
                <w:color w:val="FFFFFF"/>
                <w:sz w:val="19"/>
                <w:szCs w:val="19"/>
              </w:rPr>
              <w:t>DVA Component</w:t>
            </w:r>
          </w:p>
        </w:tc>
        <w:tc>
          <w:tcPr>
            <w:tcW w:w="3120" w:type="dxa"/>
            <w:tcBorders>
              <w:top w:val="single" w:sz="1" w:space="0" w:color="CCCCCC"/>
              <w:left w:val="single" w:sz="1" w:space="0" w:color="CCCCCC"/>
              <w:bottom w:val="single" w:sz="1" w:space="0" w:color="CCCCCC"/>
              <w:right w:val="single" w:sz="1" w:space="0" w:color="CCCCCC"/>
            </w:tcBorders>
            <w:shd w:val="clear" w:color="auto" w:fill="2E75B6"/>
            <w:tcMar>
              <w:top w:w="80" w:type="dxa"/>
              <w:left w:w="120" w:type="dxa"/>
              <w:bottom w:w="80" w:type="dxa"/>
              <w:right w:w="120" w:type="dxa"/>
            </w:tcMar>
          </w:tcPr>
          <w:p w14:paraId="090700A9" w14:textId="77777777" w:rsidR="004044B1" w:rsidRDefault="00000000">
            <w:r>
              <w:rPr>
                <w:b/>
                <w:bCs/>
                <w:color w:val="FFFFFF"/>
                <w:sz w:val="19"/>
                <w:szCs w:val="19"/>
              </w:rPr>
              <w:t>NAICS 31–33 + Subtraction Method</w:t>
            </w:r>
          </w:p>
        </w:tc>
        <w:tc>
          <w:tcPr>
            <w:tcW w:w="3120" w:type="dxa"/>
            <w:tcBorders>
              <w:top w:val="single" w:sz="1" w:space="0" w:color="CCCCCC"/>
              <w:left w:val="single" w:sz="1" w:space="0" w:color="CCCCCC"/>
              <w:bottom w:val="single" w:sz="1" w:space="0" w:color="CCCCCC"/>
              <w:right w:val="single" w:sz="1" w:space="0" w:color="CCCCCC"/>
            </w:tcBorders>
            <w:shd w:val="clear" w:color="auto" w:fill="2E75B6"/>
            <w:tcMar>
              <w:top w:w="80" w:type="dxa"/>
              <w:left w:w="120" w:type="dxa"/>
              <w:bottom w:w="80" w:type="dxa"/>
              <w:right w:w="120" w:type="dxa"/>
            </w:tcMar>
          </w:tcPr>
          <w:p w14:paraId="6CB0F7E2" w14:textId="77777777" w:rsidR="004044B1" w:rsidRDefault="00000000">
            <w:r>
              <w:rPr>
                <w:b/>
                <w:bCs/>
                <w:color w:val="FFFFFF"/>
                <w:sz w:val="19"/>
                <w:szCs w:val="19"/>
              </w:rPr>
              <w:t>§168(n) Alone</w:t>
            </w:r>
          </w:p>
        </w:tc>
      </w:tr>
      <w:tr w:rsidR="004044B1" w14:paraId="38F8D02B" w14:textId="77777777">
        <w:tc>
          <w:tcPr>
            <w:tcW w:w="3120" w:type="dxa"/>
            <w:tcBorders>
              <w:top w:val="single" w:sz="1" w:space="0" w:color="CCCCCC"/>
              <w:left w:val="single" w:sz="1" w:space="0" w:color="CCCCCC"/>
              <w:bottom w:val="single" w:sz="1" w:space="0" w:color="CCCCCC"/>
              <w:right w:val="single" w:sz="1" w:space="0" w:color="CCCCCC"/>
            </w:tcBorders>
            <w:shd w:val="clear" w:color="auto" w:fill="FFFFFF"/>
            <w:tcMar>
              <w:top w:w="80" w:type="dxa"/>
              <w:left w:w="120" w:type="dxa"/>
              <w:bottom w:w="80" w:type="dxa"/>
              <w:right w:w="120" w:type="dxa"/>
            </w:tcMar>
          </w:tcPr>
          <w:p w14:paraId="3343DAD5" w14:textId="77777777" w:rsidR="004044B1" w:rsidRDefault="00000000">
            <w:r>
              <w:rPr>
                <w:b/>
                <w:bCs/>
                <w:sz w:val="19"/>
                <w:szCs w:val="19"/>
              </w:rPr>
              <w:t>Domestic labor (all workers)</w:t>
            </w:r>
          </w:p>
        </w:tc>
        <w:tc>
          <w:tcPr>
            <w:tcW w:w="3120" w:type="dxa"/>
            <w:tcBorders>
              <w:top w:val="single" w:sz="1" w:space="0" w:color="CCCCCC"/>
              <w:left w:val="single" w:sz="1" w:space="0" w:color="CCCCCC"/>
              <w:bottom w:val="single" w:sz="1" w:space="0" w:color="CCCCCC"/>
              <w:right w:val="single" w:sz="1" w:space="0" w:color="CCCCCC"/>
            </w:tcBorders>
            <w:shd w:val="clear" w:color="auto" w:fill="FFFFFF"/>
            <w:tcMar>
              <w:top w:w="80" w:type="dxa"/>
              <w:left w:w="120" w:type="dxa"/>
              <w:bottom w:w="80" w:type="dxa"/>
              <w:right w:w="120" w:type="dxa"/>
            </w:tcMar>
          </w:tcPr>
          <w:p w14:paraId="4D2EED67" w14:textId="77777777" w:rsidR="004044B1" w:rsidRDefault="00000000">
            <w:r>
              <w:rPr>
                <w:sz w:val="19"/>
                <w:szCs w:val="19"/>
              </w:rPr>
              <w:t>Fully captured (not subtracted)</w:t>
            </w:r>
          </w:p>
        </w:tc>
        <w:tc>
          <w:tcPr>
            <w:tcW w:w="3120" w:type="dxa"/>
            <w:tcBorders>
              <w:top w:val="single" w:sz="1" w:space="0" w:color="CCCCCC"/>
              <w:left w:val="single" w:sz="1" w:space="0" w:color="CCCCCC"/>
              <w:bottom w:val="single" w:sz="1" w:space="0" w:color="CCCCCC"/>
              <w:right w:val="single" w:sz="1" w:space="0" w:color="CCCCCC"/>
            </w:tcBorders>
            <w:shd w:val="clear" w:color="auto" w:fill="FFFFFF"/>
            <w:tcMar>
              <w:top w:w="80" w:type="dxa"/>
              <w:left w:w="120" w:type="dxa"/>
              <w:bottom w:w="80" w:type="dxa"/>
              <w:right w:w="120" w:type="dxa"/>
            </w:tcMar>
          </w:tcPr>
          <w:p w14:paraId="1C5661F6" w14:textId="77777777" w:rsidR="004044B1" w:rsidRDefault="00000000">
            <w:r>
              <w:rPr>
                <w:sz w:val="19"/>
                <w:szCs w:val="19"/>
              </w:rPr>
              <w:t>Not captured</w:t>
            </w:r>
          </w:p>
        </w:tc>
      </w:tr>
      <w:tr w:rsidR="004044B1" w14:paraId="72C0587A" w14:textId="77777777">
        <w:tc>
          <w:tcPr>
            <w:tcW w:w="3120" w:type="dxa"/>
            <w:tcBorders>
              <w:top w:val="single" w:sz="1" w:space="0" w:color="CCCCCC"/>
              <w:left w:val="single" w:sz="1" w:space="0" w:color="CCCCCC"/>
              <w:bottom w:val="single" w:sz="1" w:space="0" w:color="CCCCCC"/>
              <w:right w:val="single" w:sz="1" w:space="0" w:color="CCCCCC"/>
            </w:tcBorders>
            <w:shd w:val="clear" w:color="auto" w:fill="F5F7FA"/>
            <w:tcMar>
              <w:top w:w="80" w:type="dxa"/>
              <w:left w:w="120" w:type="dxa"/>
              <w:bottom w:w="80" w:type="dxa"/>
              <w:right w:w="120" w:type="dxa"/>
            </w:tcMar>
          </w:tcPr>
          <w:p w14:paraId="3C56C522" w14:textId="77777777" w:rsidR="004044B1" w:rsidRDefault="00000000">
            <w:r>
              <w:rPr>
                <w:b/>
                <w:bCs/>
                <w:sz w:val="19"/>
                <w:szCs w:val="19"/>
              </w:rPr>
              <w:t>Domestic equipment / machinery</w:t>
            </w:r>
          </w:p>
        </w:tc>
        <w:tc>
          <w:tcPr>
            <w:tcW w:w="3120" w:type="dxa"/>
            <w:tcBorders>
              <w:top w:val="single" w:sz="1" w:space="0" w:color="CCCCCC"/>
              <w:left w:val="single" w:sz="1" w:space="0" w:color="CCCCCC"/>
              <w:bottom w:val="single" w:sz="1" w:space="0" w:color="CCCCCC"/>
              <w:right w:val="single" w:sz="1" w:space="0" w:color="CCCCCC"/>
            </w:tcBorders>
            <w:shd w:val="clear" w:color="auto" w:fill="F5F7FA"/>
            <w:tcMar>
              <w:top w:w="80" w:type="dxa"/>
              <w:left w:w="120" w:type="dxa"/>
              <w:bottom w:w="80" w:type="dxa"/>
              <w:right w:w="120" w:type="dxa"/>
            </w:tcMar>
          </w:tcPr>
          <w:p w14:paraId="67D57613" w14:textId="77777777" w:rsidR="004044B1" w:rsidRDefault="00000000">
            <w:r>
              <w:rPr>
                <w:sz w:val="19"/>
                <w:szCs w:val="19"/>
              </w:rPr>
              <w:t>Captured (not subtracted if domestic)</w:t>
            </w:r>
          </w:p>
        </w:tc>
        <w:tc>
          <w:tcPr>
            <w:tcW w:w="3120" w:type="dxa"/>
            <w:tcBorders>
              <w:top w:val="single" w:sz="1" w:space="0" w:color="CCCCCC"/>
              <w:left w:val="single" w:sz="1" w:space="0" w:color="CCCCCC"/>
              <w:bottom w:val="single" w:sz="1" w:space="0" w:color="CCCCCC"/>
              <w:right w:val="single" w:sz="1" w:space="0" w:color="CCCCCC"/>
            </w:tcBorders>
            <w:shd w:val="clear" w:color="auto" w:fill="F5F7FA"/>
            <w:tcMar>
              <w:top w:w="80" w:type="dxa"/>
              <w:left w:w="120" w:type="dxa"/>
              <w:bottom w:w="80" w:type="dxa"/>
              <w:right w:w="120" w:type="dxa"/>
            </w:tcMar>
          </w:tcPr>
          <w:p w14:paraId="031FB71C" w14:textId="77777777" w:rsidR="004044B1" w:rsidRDefault="00000000">
            <w:r>
              <w:rPr>
                <w:sz w:val="19"/>
                <w:szCs w:val="19"/>
              </w:rPr>
              <w:t>Not captured (§168(k) asset)</w:t>
            </w:r>
          </w:p>
        </w:tc>
      </w:tr>
      <w:tr w:rsidR="004044B1" w14:paraId="19FB4970" w14:textId="77777777">
        <w:tc>
          <w:tcPr>
            <w:tcW w:w="3120" w:type="dxa"/>
            <w:tcBorders>
              <w:top w:val="single" w:sz="1" w:space="0" w:color="CCCCCC"/>
              <w:left w:val="single" w:sz="1" w:space="0" w:color="CCCCCC"/>
              <w:bottom w:val="single" w:sz="1" w:space="0" w:color="CCCCCC"/>
              <w:right w:val="single" w:sz="1" w:space="0" w:color="CCCCCC"/>
            </w:tcBorders>
            <w:shd w:val="clear" w:color="auto" w:fill="FFFFFF"/>
            <w:tcMar>
              <w:top w:w="80" w:type="dxa"/>
              <w:left w:w="120" w:type="dxa"/>
              <w:bottom w:w="80" w:type="dxa"/>
              <w:right w:w="120" w:type="dxa"/>
            </w:tcMar>
          </w:tcPr>
          <w:p w14:paraId="580F4013" w14:textId="77777777" w:rsidR="004044B1" w:rsidRDefault="00000000">
            <w:r>
              <w:rPr>
                <w:b/>
                <w:bCs/>
                <w:sz w:val="19"/>
                <w:szCs w:val="19"/>
              </w:rPr>
              <w:t>Domestic raw materials</w:t>
            </w:r>
          </w:p>
        </w:tc>
        <w:tc>
          <w:tcPr>
            <w:tcW w:w="3120" w:type="dxa"/>
            <w:tcBorders>
              <w:top w:val="single" w:sz="1" w:space="0" w:color="CCCCCC"/>
              <w:left w:val="single" w:sz="1" w:space="0" w:color="CCCCCC"/>
              <w:bottom w:val="single" w:sz="1" w:space="0" w:color="CCCCCC"/>
              <w:right w:val="single" w:sz="1" w:space="0" w:color="CCCCCC"/>
            </w:tcBorders>
            <w:shd w:val="clear" w:color="auto" w:fill="FFFFFF"/>
            <w:tcMar>
              <w:top w:w="80" w:type="dxa"/>
              <w:left w:w="120" w:type="dxa"/>
              <w:bottom w:w="80" w:type="dxa"/>
              <w:right w:w="120" w:type="dxa"/>
            </w:tcMar>
          </w:tcPr>
          <w:p w14:paraId="5C19FE21" w14:textId="77777777" w:rsidR="004044B1" w:rsidRDefault="00000000">
            <w:r>
              <w:rPr>
                <w:sz w:val="19"/>
                <w:szCs w:val="19"/>
              </w:rPr>
              <w:t>Captured (not subtracted if domestic)</w:t>
            </w:r>
          </w:p>
        </w:tc>
        <w:tc>
          <w:tcPr>
            <w:tcW w:w="3120" w:type="dxa"/>
            <w:tcBorders>
              <w:top w:val="single" w:sz="1" w:space="0" w:color="CCCCCC"/>
              <w:left w:val="single" w:sz="1" w:space="0" w:color="CCCCCC"/>
              <w:bottom w:val="single" w:sz="1" w:space="0" w:color="CCCCCC"/>
              <w:right w:val="single" w:sz="1" w:space="0" w:color="CCCCCC"/>
            </w:tcBorders>
            <w:shd w:val="clear" w:color="auto" w:fill="FFFFFF"/>
            <w:tcMar>
              <w:top w:w="80" w:type="dxa"/>
              <w:left w:w="120" w:type="dxa"/>
              <w:bottom w:w="80" w:type="dxa"/>
              <w:right w:w="120" w:type="dxa"/>
            </w:tcMar>
          </w:tcPr>
          <w:p w14:paraId="6C372109" w14:textId="77777777" w:rsidR="004044B1" w:rsidRDefault="00000000">
            <w:r>
              <w:rPr>
                <w:sz w:val="19"/>
                <w:szCs w:val="19"/>
              </w:rPr>
              <w:t>Not captured</w:t>
            </w:r>
          </w:p>
        </w:tc>
      </w:tr>
      <w:tr w:rsidR="004044B1" w14:paraId="5BEA847B" w14:textId="77777777">
        <w:tc>
          <w:tcPr>
            <w:tcW w:w="3120" w:type="dxa"/>
            <w:tcBorders>
              <w:top w:val="single" w:sz="1" w:space="0" w:color="CCCCCC"/>
              <w:left w:val="single" w:sz="1" w:space="0" w:color="CCCCCC"/>
              <w:bottom w:val="single" w:sz="1" w:space="0" w:color="CCCCCC"/>
              <w:right w:val="single" w:sz="1" w:space="0" w:color="CCCCCC"/>
            </w:tcBorders>
            <w:shd w:val="clear" w:color="auto" w:fill="F5F7FA"/>
            <w:tcMar>
              <w:top w:w="80" w:type="dxa"/>
              <w:left w:w="120" w:type="dxa"/>
              <w:bottom w:w="80" w:type="dxa"/>
              <w:right w:w="120" w:type="dxa"/>
            </w:tcMar>
          </w:tcPr>
          <w:p w14:paraId="583D0835" w14:textId="77777777" w:rsidR="004044B1" w:rsidRDefault="00000000">
            <w:r>
              <w:rPr>
                <w:b/>
                <w:bCs/>
                <w:sz w:val="19"/>
                <w:szCs w:val="19"/>
              </w:rPr>
              <w:t>Manufacturing building basis</w:t>
            </w:r>
          </w:p>
        </w:tc>
        <w:tc>
          <w:tcPr>
            <w:tcW w:w="3120" w:type="dxa"/>
            <w:tcBorders>
              <w:top w:val="single" w:sz="1" w:space="0" w:color="CCCCCC"/>
              <w:left w:val="single" w:sz="1" w:space="0" w:color="CCCCCC"/>
              <w:bottom w:val="single" w:sz="1" w:space="0" w:color="CCCCCC"/>
              <w:right w:val="single" w:sz="1" w:space="0" w:color="CCCCCC"/>
            </w:tcBorders>
            <w:shd w:val="clear" w:color="auto" w:fill="F5F7FA"/>
            <w:tcMar>
              <w:top w:w="80" w:type="dxa"/>
              <w:left w:w="120" w:type="dxa"/>
              <w:bottom w:w="80" w:type="dxa"/>
              <w:right w:w="120" w:type="dxa"/>
            </w:tcMar>
          </w:tcPr>
          <w:p w14:paraId="3870ADC6" w14:textId="77777777" w:rsidR="004044B1" w:rsidRDefault="00000000">
            <w:r>
              <w:rPr>
                <w:sz w:val="19"/>
                <w:szCs w:val="19"/>
              </w:rPr>
              <w:t>Not separately tracked</w:t>
            </w:r>
          </w:p>
        </w:tc>
        <w:tc>
          <w:tcPr>
            <w:tcW w:w="3120" w:type="dxa"/>
            <w:tcBorders>
              <w:top w:val="single" w:sz="1" w:space="0" w:color="CCCCCC"/>
              <w:left w:val="single" w:sz="1" w:space="0" w:color="CCCCCC"/>
              <w:bottom w:val="single" w:sz="1" w:space="0" w:color="CCCCCC"/>
              <w:right w:val="single" w:sz="1" w:space="0" w:color="CCCCCC"/>
            </w:tcBorders>
            <w:shd w:val="clear" w:color="auto" w:fill="F5F7FA"/>
            <w:tcMar>
              <w:top w:w="80" w:type="dxa"/>
              <w:left w:w="120" w:type="dxa"/>
              <w:bottom w:w="80" w:type="dxa"/>
              <w:right w:w="120" w:type="dxa"/>
            </w:tcMar>
          </w:tcPr>
          <w:p w14:paraId="55C75A92" w14:textId="77777777" w:rsidR="004044B1" w:rsidRDefault="00000000">
            <w:r>
              <w:rPr>
                <w:sz w:val="19"/>
                <w:szCs w:val="19"/>
              </w:rPr>
              <w:t>Captured (new construction only, elective)</w:t>
            </w:r>
          </w:p>
        </w:tc>
      </w:tr>
      <w:tr w:rsidR="004044B1" w14:paraId="490EBA9F" w14:textId="77777777">
        <w:tc>
          <w:tcPr>
            <w:tcW w:w="3120" w:type="dxa"/>
            <w:tcBorders>
              <w:top w:val="single" w:sz="1" w:space="0" w:color="CCCCCC"/>
              <w:left w:val="single" w:sz="1" w:space="0" w:color="CCCCCC"/>
              <w:bottom w:val="single" w:sz="1" w:space="0" w:color="CCCCCC"/>
              <w:right w:val="single" w:sz="1" w:space="0" w:color="CCCCCC"/>
            </w:tcBorders>
            <w:shd w:val="clear" w:color="auto" w:fill="FFFFFF"/>
            <w:tcMar>
              <w:top w:w="80" w:type="dxa"/>
              <w:left w:w="120" w:type="dxa"/>
              <w:bottom w:w="80" w:type="dxa"/>
              <w:right w:w="120" w:type="dxa"/>
            </w:tcMar>
          </w:tcPr>
          <w:p w14:paraId="4EE93CAC" w14:textId="77777777" w:rsidR="004044B1" w:rsidRDefault="00000000">
            <w:r>
              <w:rPr>
                <w:b/>
                <w:bCs/>
                <w:sz w:val="19"/>
                <w:szCs w:val="19"/>
              </w:rPr>
              <w:lastRenderedPageBreak/>
              <w:t>FGP domestic IP / design value</w:t>
            </w:r>
          </w:p>
        </w:tc>
        <w:tc>
          <w:tcPr>
            <w:tcW w:w="3120" w:type="dxa"/>
            <w:tcBorders>
              <w:top w:val="single" w:sz="1" w:space="0" w:color="CCCCCC"/>
              <w:left w:val="single" w:sz="1" w:space="0" w:color="CCCCCC"/>
              <w:bottom w:val="single" w:sz="1" w:space="0" w:color="CCCCCC"/>
              <w:right w:val="single" w:sz="1" w:space="0" w:color="CCCCCC"/>
            </w:tcBorders>
            <w:shd w:val="clear" w:color="auto" w:fill="FFFFFF"/>
            <w:tcMar>
              <w:top w:w="80" w:type="dxa"/>
              <w:left w:w="120" w:type="dxa"/>
              <w:bottom w:w="80" w:type="dxa"/>
              <w:right w:w="120" w:type="dxa"/>
            </w:tcMar>
          </w:tcPr>
          <w:p w14:paraId="64C97217" w14:textId="77777777" w:rsidR="004044B1" w:rsidRDefault="00000000">
            <w:r>
              <w:rPr>
                <w:sz w:val="19"/>
                <w:szCs w:val="19"/>
              </w:rPr>
              <w:t>Captured (NAICS 31–33 qualified)</w:t>
            </w:r>
          </w:p>
        </w:tc>
        <w:tc>
          <w:tcPr>
            <w:tcW w:w="3120" w:type="dxa"/>
            <w:tcBorders>
              <w:top w:val="single" w:sz="1" w:space="0" w:color="CCCCCC"/>
              <w:left w:val="single" w:sz="1" w:space="0" w:color="CCCCCC"/>
              <w:bottom w:val="single" w:sz="1" w:space="0" w:color="CCCCCC"/>
              <w:right w:val="single" w:sz="1" w:space="0" w:color="CCCCCC"/>
            </w:tcBorders>
            <w:shd w:val="clear" w:color="auto" w:fill="FFFFFF"/>
            <w:tcMar>
              <w:top w:w="80" w:type="dxa"/>
              <w:left w:w="120" w:type="dxa"/>
              <w:bottom w:w="80" w:type="dxa"/>
              <w:right w:w="120" w:type="dxa"/>
            </w:tcMar>
          </w:tcPr>
          <w:p w14:paraId="1F2AD3DE" w14:textId="77777777" w:rsidR="004044B1" w:rsidRDefault="00000000">
            <w:r>
              <w:rPr>
                <w:sz w:val="19"/>
                <w:szCs w:val="19"/>
              </w:rPr>
              <w:t>Not captured (ineligible space)</w:t>
            </w:r>
          </w:p>
        </w:tc>
      </w:tr>
      <w:tr w:rsidR="004044B1" w14:paraId="1BDED852" w14:textId="77777777">
        <w:tc>
          <w:tcPr>
            <w:tcW w:w="3120" w:type="dxa"/>
            <w:tcBorders>
              <w:top w:val="single" w:sz="1" w:space="0" w:color="CCCCCC"/>
              <w:left w:val="single" w:sz="1" w:space="0" w:color="CCCCCC"/>
              <w:bottom w:val="single" w:sz="1" w:space="0" w:color="CCCCCC"/>
              <w:right w:val="single" w:sz="1" w:space="0" w:color="CCCCCC"/>
            </w:tcBorders>
            <w:shd w:val="clear" w:color="auto" w:fill="F5F7FA"/>
            <w:tcMar>
              <w:top w:w="80" w:type="dxa"/>
              <w:left w:w="120" w:type="dxa"/>
              <w:bottom w:w="80" w:type="dxa"/>
              <w:right w:w="120" w:type="dxa"/>
            </w:tcMar>
          </w:tcPr>
          <w:p w14:paraId="551A50D5" w14:textId="77777777" w:rsidR="004044B1" w:rsidRDefault="00000000">
            <w:r>
              <w:rPr>
                <w:b/>
                <w:bCs/>
                <w:sz w:val="19"/>
                <w:szCs w:val="19"/>
              </w:rPr>
              <w:t>Existing facility value</w:t>
            </w:r>
          </w:p>
        </w:tc>
        <w:tc>
          <w:tcPr>
            <w:tcW w:w="3120" w:type="dxa"/>
            <w:tcBorders>
              <w:top w:val="single" w:sz="1" w:space="0" w:color="CCCCCC"/>
              <w:left w:val="single" w:sz="1" w:space="0" w:color="CCCCCC"/>
              <w:bottom w:val="single" w:sz="1" w:space="0" w:color="CCCCCC"/>
              <w:right w:val="single" w:sz="1" w:space="0" w:color="CCCCCC"/>
            </w:tcBorders>
            <w:shd w:val="clear" w:color="auto" w:fill="F5F7FA"/>
            <w:tcMar>
              <w:top w:w="80" w:type="dxa"/>
              <w:left w:w="120" w:type="dxa"/>
              <w:bottom w:w="80" w:type="dxa"/>
              <w:right w:w="120" w:type="dxa"/>
            </w:tcMar>
          </w:tcPr>
          <w:p w14:paraId="6D9BEADF" w14:textId="77777777" w:rsidR="004044B1" w:rsidRDefault="00000000">
            <w:r>
              <w:rPr>
                <w:sz w:val="19"/>
                <w:szCs w:val="19"/>
              </w:rPr>
              <w:t>Fully captured</w:t>
            </w:r>
          </w:p>
        </w:tc>
        <w:tc>
          <w:tcPr>
            <w:tcW w:w="3120" w:type="dxa"/>
            <w:tcBorders>
              <w:top w:val="single" w:sz="1" w:space="0" w:color="CCCCCC"/>
              <w:left w:val="single" w:sz="1" w:space="0" w:color="CCCCCC"/>
              <w:bottom w:val="single" w:sz="1" w:space="0" w:color="CCCCCC"/>
              <w:right w:val="single" w:sz="1" w:space="0" w:color="CCCCCC"/>
            </w:tcBorders>
            <w:shd w:val="clear" w:color="auto" w:fill="F5F7FA"/>
            <w:tcMar>
              <w:top w:w="80" w:type="dxa"/>
              <w:left w:w="120" w:type="dxa"/>
              <w:bottom w:w="80" w:type="dxa"/>
              <w:right w:w="120" w:type="dxa"/>
            </w:tcMar>
          </w:tcPr>
          <w:p w14:paraId="118E51A5" w14:textId="77777777" w:rsidR="004044B1" w:rsidRDefault="00000000">
            <w:r>
              <w:rPr>
                <w:sz w:val="19"/>
                <w:szCs w:val="19"/>
              </w:rPr>
              <w:t>Not captured (pre-2025 vintage)</w:t>
            </w:r>
          </w:p>
        </w:tc>
      </w:tr>
      <w:tr w:rsidR="004044B1" w14:paraId="5C6E1EB8" w14:textId="77777777">
        <w:tc>
          <w:tcPr>
            <w:tcW w:w="3120" w:type="dxa"/>
            <w:tcBorders>
              <w:top w:val="single" w:sz="1" w:space="0" w:color="CCCCCC"/>
              <w:left w:val="single" w:sz="1" w:space="0" w:color="CCCCCC"/>
              <w:bottom w:val="single" w:sz="1" w:space="0" w:color="CCCCCC"/>
              <w:right w:val="single" w:sz="1" w:space="0" w:color="CCCCCC"/>
            </w:tcBorders>
            <w:shd w:val="clear" w:color="auto" w:fill="FFFFFF"/>
            <w:tcMar>
              <w:top w:w="80" w:type="dxa"/>
              <w:left w:w="120" w:type="dxa"/>
              <w:bottom w:w="80" w:type="dxa"/>
              <w:right w:w="120" w:type="dxa"/>
            </w:tcMar>
          </w:tcPr>
          <w:p w14:paraId="4F1D902A" w14:textId="77777777" w:rsidR="004044B1" w:rsidRDefault="00000000">
            <w:r>
              <w:rPr>
                <w:b/>
                <w:bCs/>
                <w:sz w:val="19"/>
                <w:szCs w:val="19"/>
              </w:rPr>
              <w:t>Energy / utilities</w:t>
            </w:r>
          </w:p>
        </w:tc>
        <w:tc>
          <w:tcPr>
            <w:tcW w:w="3120" w:type="dxa"/>
            <w:tcBorders>
              <w:top w:val="single" w:sz="1" w:space="0" w:color="CCCCCC"/>
              <w:left w:val="single" w:sz="1" w:space="0" w:color="CCCCCC"/>
              <w:bottom w:val="single" w:sz="1" w:space="0" w:color="CCCCCC"/>
              <w:right w:val="single" w:sz="1" w:space="0" w:color="CCCCCC"/>
            </w:tcBorders>
            <w:shd w:val="clear" w:color="auto" w:fill="FFFFFF"/>
            <w:tcMar>
              <w:top w:w="80" w:type="dxa"/>
              <w:left w:w="120" w:type="dxa"/>
              <w:bottom w:w="80" w:type="dxa"/>
              <w:right w:w="120" w:type="dxa"/>
            </w:tcMar>
          </w:tcPr>
          <w:p w14:paraId="3C3074F3" w14:textId="77777777" w:rsidR="004044B1" w:rsidRDefault="00000000">
            <w:r>
              <w:rPr>
                <w:sz w:val="19"/>
                <w:szCs w:val="19"/>
              </w:rPr>
              <w:t>Captured if domestic supplier</w:t>
            </w:r>
          </w:p>
        </w:tc>
        <w:tc>
          <w:tcPr>
            <w:tcW w:w="3120" w:type="dxa"/>
            <w:tcBorders>
              <w:top w:val="single" w:sz="1" w:space="0" w:color="CCCCCC"/>
              <w:left w:val="single" w:sz="1" w:space="0" w:color="CCCCCC"/>
              <w:bottom w:val="single" w:sz="1" w:space="0" w:color="CCCCCC"/>
              <w:right w:val="single" w:sz="1" w:space="0" w:color="CCCCCC"/>
            </w:tcBorders>
            <w:shd w:val="clear" w:color="auto" w:fill="FFFFFF"/>
            <w:tcMar>
              <w:top w:w="80" w:type="dxa"/>
              <w:left w:w="120" w:type="dxa"/>
              <w:bottom w:w="80" w:type="dxa"/>
              <w:right w:w="120" w:type="dxa"/>
            </w:tcMar>
          </w:tcPr>
          <w:p w14:paraId="2A035204" w14:textId="77777777" w:rsidR="004044B1" w:rsidRDefault="00000000">
            <w:r>
              <w:rPr>
                <w:sz w:val="19"/>
                <w:szCs w:val="19"/>
              </w:rPr>
              <w:t>Not captured</w:t>
            </w:r>
          </w:p>
        </w:tc>
      </w:tr>
      <w:tr w:rsidR="004044B1" w14:paraId="37864761" w14:textId="77777777">
        <w:tc>
          <w:tcPr>
            <w:tcW w:w="3120" w:type="dxa"/>
            <w:tcBorders>
              <w:top w:val="single" w:sz="1" w:space="0" w:color="CCCCCC"/>
              <w:left w:val="single" w:sz="1" w:space="0" w:color="CCCCCC"/>
              <w:bottom w:val="single" w:sz="1" w:space="0" w:color="CCCCCC"/>
              <w:right w:val="single" w:sz="1" w:space="0" w:color="CCCCCC"/>
            </w:tcBorders>
            <w:shd w:val="clear" w:color="auto" w:fill="F5F7FA"/>
            <w:tcMar>
              <w:top w:w="80" w:type="dxa"/>
              <w:left w:w="120" w:type="dxa"/>
              <w:bottom w:w="80" w:type="dxa"/>
              <w:right w:w="120" w:type="dxa"/>
            </w:tcMar>
          </w:tcPr>
          <w:p w14:paraId="079D6CB0" w14:textId="77777777" w:rsidR="004044B1" w:rsidRDefault="00000000">
            <w:r>
              <w:rPr>
                <w:b/>
                <w:bCs/>
                <w:sz w:val="19"/>
                <w:szCs w:val="19"/>
              </w:rPr>
              <w:t>Engineering / overhead</w:t>
            </w:r>
          </w:p>
        </w:tc>
        <w:tc>
          <w:tcPr>
            <w:tcW w:w="3120" w:type="dxa"/>
            <w:tcBorders>
              <w:top w:val="single" w:sz="1" w:space="0" w:color="CCCCCC"/>
              <w:left w:val="single" w:sz="1" w:space="0" w:color="CCCCCC"/>
              <w:bottom w:val="single" w:sz="1" w:space="0" w:color="CCCCCC"/>
              <w:right w:val="single" w:sz="1" w:space="0" w:color="CCCCCC"/>
            </w:tcBorders>
            <w:shd w:val="clear" w:color="auto" w:fill="F5F7FA"/>
            <w:tcMar>
              <w:top w:w="80" w:type="dxa"/>
              <w:left w:w="120" w:type="dxa"/>
              <w:bottom w:w="80" w:type="dxa"/>
              <w:right w:w="120" w:type="dxa"/>
            </w:tcMar>
          </w:tcPr>
          <w:p w14:paraId="3D5F485F" w14:textId="77777777" w:rsidR="004044B1" w:rsidRDefault="00000000">
            <w:r>
              <w:rPr>
                <w:sz w:val="19"/>
                <w:szCs w:val="19"/>
              </w:rPr>
              <w:t>Captured</w:t>
            </w:r>
          </w:p>
        </w:tc>
        <w:tc>
          <w:tcPr>
            <w:tcW w:w="3120" w:type="dxa"/>
            <w:tcBorders>
              <w:top w:val="single" w:sz="1" w:space="0" w:color="CCCCCC"/>
              <w:left w:val="single" w:sz="1" w:space="0" w:color="CCCCCC"/>
              <w:bottom w:val="single" w:sz="1" w:space="0" w:color="CCCCCC"/>
              <w:right w:val="single" w:sz="1" w:space="0" w:color="CCCCCC"/>
            </w:tcBorders>
            <w:shd w:val="clear" w:color="auto" w:fill="F5F7FA"/>
            <w:tcMar>
              <w:top w:w="80" w:type="dxa"/>
              <w:left w:w="120" w:type="dxa"/>
              <w:bottom w:w="80" w:type="dxa"/>
              <w:right w:w="120" w:type="dxa"/>
            </w:tcMar>
          </w:tcPr>
          <w:p w14:paraId="0B683357" w14:textId="77777777" w:rsidR="004044B1" w:rsidRDefault="00000000">
            <w:r>
              <w:rPr>
                <w:sz w:val="19"/>
                <w:szCs w:val="19"/>
              </w:rPr>
              <w:t>Not captured (ineligible)</w:t>
            </w:r>
          </w:p>
        </w:tc>
      </w:tr>
    </w:tbl>
    <w:p w14:paraId="356D259D" w14:textId="77777777" w:rsidR="004044B1" w:rsidRDefault="004044B1">
      <w:pPr>
        <w:spacing w:before="80" w:after="80"/>
      </w:pPr>
    </w:p>
    <w:p w14:paraId="3748B58D" w14:textId="77777777" w:rsidR="004044B1" w:rsidRDefault="00000000">
      <w:pPr>
        <w:pStyle w:val="Heading2"/>
      </w:pPr>
      <w:r>
        <w:t>G. Conclusion on DVA Measurement</w:t>
      </w:r>
    </w:p>
    <w:p w14:paraId="7B69C0EE" w14:textId="77777777" w:rsidR="004044B1" w:rsidRDefault="00000000">
      <w:pPr>
        <w:spacing w:before="80" w:after="120"/>
      </w:pPr>
      <w:r>
        <w:t>Section 168(n) is structurally incapable of serving as the measurement mechanism for DVA. It captures a single, narrow, elective, vintage-limited slice of domestic manufacturing cost—new building construction—while omitting labor, equipment, materials, and all existing domestic manufacturing capacity. Using §168(n) basis as a DVA numerator would produce results that are systematically distorted across manufacturers, industries, and asset vintages, and would create perverse incentives to overinvest in depreciable building structures relative to equipment, labor, or domestic supply chain development.</w:t>
      </w:r>
    </w:p>
    <w:p w14:paraId="231B5B15" w14:textId="77777777" w:rsidR="004044B1" w:rsidRDefault="00000000">
      <w:pPr>
        <w:spacing w:before="80" w:after="120"/>
      </w:pPr>
      <w:r>
        <w:t>The appropriate use of §168(n) is as a definitional reference for activity qualification, not as a measurement tool. The DVA ratio should continue to be calculated through the subtraction methodology using applicable product revenue and verifiable foreign input costs. The two frameworks—§168(n) for activity classification and the DVA formula for value measurement—are complementary and coherent when kept in their respective roles.</w:t>
      </w:r>
    </w:p>
    <w:p w14:paraId="6B81E867" w14:textId="77777777" w:rsidR="004044B1" w:rsidRDefault="004044B1">
      <w:pPr>
        <w:spacing w:before="80" w:after="80"/>
      </w:pPr>
    </w:p>
    <w:p w14:paraId="71BDA4F6" w14:textId="77777777" w:rsidR="004044B1" w:rsidRDefault="004044B1">
      <w:pPr>
        <w:pBdr>
          <w:bottom w:val="single" w:sz="4" w:space="1" w:color="2E75B6"/>
        </w:pBdr>
        <w:spacing w:before="200" w:after="200"/>
      </w:pPr>
    </w:p>
    <w:p w14:paraId="136E60A4" w14:textId="77777777" w:rsidR="004044B1" w:rsidRDefault="00000000">
      <w:pPr>
        <w:pStyle w:val="Heading1"/>
      </w:pPr>
      <w:r>
        <w:t>Part IV: Summary of Findings</w:t>
      </w:r>
    </w:p>
    <w:p w14:paraId="0C7E1D04" w14:textId="77777777" w:rsidR="004044B1" w:rsidRDefault="004044B1">
      <w:pPr>
        <w:spacing w:before="80" w:after="80"/>
      </w:pPr>
    </w:p>
    <w:tbl>
      <w:tblPr>
        <w:tblW w:w="936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0" w:type="dxa"/>
          <w:right w:w="10" w:type="dxa"/>
        </w:tblCellMar>
        <w:tblLook w:val="0000" w:firstRow="0" w:lastRow="0" w:firstColumn="0" w:lastColumn="0" w:noHBand="0" w:noVBand="0"/>
      </w:tblPr>
      <w:tblGrid>
        <w:gridCol w:w="2800"/>
        <w:gridCol w:w="6560"/>
      </w:tblGrid>
      <w:tr w:rsidR="004044B1" w14:paraId="41BEF3B4" w14:textId="77777777">
        <w:trPr>
          <w:tblHeader/>
        </w:trPr>
        <w:tc>
          <w:tcPr>
            <w:tcW w:w="2800" w:type="dxa"/>
            <w:tcBorders>
              <w:top w:val="single" w:sz="1" w:space="0" w:color="CCCCCC"/>
              <w:left w:val="single" w:sz="1" w:space="0" w:color="CCCCCC"/>
              <w:bottom w:val="single" w:sz="1" w:space="0" w:color="CCCCCC"/>
              <w:right w:val="single" w:sz="1" w:space="0" w:color="CCCCCC"/>
            </w:tcBorders>
            <w:shd w:val="clear" w:color="auto" w:fill="1F3864"/>
            <w:tcMar>
              <w:top w:w="80" w:type="dxa"/>
              <w:left w:w="120" w:type="dxa"/>
              <w:bottom w:w="80" w:type="dxa"/>
              <w:right w:w="120" w:type="dxa"/>
            </w:tcMar>
          </w:tcPr>
          <w:p w14:paraId="5D2BE716" w14:textId="77777777" w:rsidR="004044B1" w:rsidRDefault="00000000">
            <w:r>
              <w:rPr>
                <w:b/>
                <w:bCs/>
                <w:color w:val="FFFFFF"/>
                <w:sz w:val="19"/>
                <w:szCs w:val="19"/>
              </w:rPr>
              <w:t>Issue</w:t>
            </w:r>
          </w:p>
        </w:tc>
        <w:tc>
          <w:tcPr>
            <w:tcW w:w="6560" w:type="dxa"/>
            <w:tcBorders>
              <w:top w:val="single" w:sz="1" w:space="0" w:color="CCCCCC"/>
              <w:left w:val="single" w:sz="1" w:space="0" w:color="CCCCCC"/>
              <w:bottom w:val="single" w:sz="1" w:space="0" w:color="CCCCCC"/>
              <w:right w:val="single" w:sz="1" w:space="0" w:color="CCCCCC"/>
            </w:tcBorders>
            <w:shd w:val="clear" w:color="auto" w:fill="1F3864"/>
            <w:tcMar>
              <w:top w:w="80" w:type="dxa"/>
              <w:left w:w="120" w:type="dxa"/>
              <w:bottom w:w="80" w:type="dxa"/>
              <w:right w:w="120" w:type="dxa"/>
            </w:tcMar>
          </w:tcPr>
          <w:p w14:paraId="784D1F84" w14:textId="77777777" w:rsidR="004044B1" w:rsidRDefault="00000000">
            <w:r>
              <w:rPr>
                <w:b/>
                <w:bCs/>
                <w:color w:val="FFFFFF"/>
                <w:sz w:val="19"/>
                <w:szCs w:val="19"/>
              </w:rPr>
              <w:t>Finding</w:t>
            </w:r>
          </w:p>
        </w:tc>
      </w:tr>
      <w:tr w:rsidR="004044B1" w14:paraId="6949A3EA" w14:textId="77777777">
        <w:tc>
          <w:tcPr>
            <w:tcW w:w="2800" w:type="dxa"/>
            <w:tcBorders>
              <w:top w:val="single" w:sz="1" w:space="0" w:color="CCCCCC"/>
              <w:left w:val="single" w:sz="1" w:space="0" w:color="CCCCCC"/>
              <w:bottom w:val="single" w:sz="1" w:space="0" w:color="CCCCCC"/>
              <w:right w:val="single" w:sz="1" w:space="0" w:color="CCCCCC"/>
            </w:tcBorders>
            <w:shd w:val="clear" w:color="auto" w:fill="FFFFFF"/>
            <w:tcMar>
              <w:top w:w="80" w:type="dxa"/>
              <w:left w:w="120" w:type="dxa"/>
              <w:bottom w:w="80" w:type="dxa"/>
              <w:right w:w="120" w:type="dxa"/>
            </w:tcMar>
          </w:tcPr>
          <w:p w14:paraId="559817AE" w14:textId="77777777" w:rsidR="004044B1" w:rsidRDefault="00000000">
            <w:r>
              <w:rPr>
                <w:sz w:val="19"/>
                <w:szCs w:val="19"/>
              </w:rPr>
              <w:t>FGPs: NAICS 31–33</w:t>
            </w:r>
          </w:p>
        </w:tc>
        <w:tc>
          <w:tcPr>
            <w:tcW w:w="6560" w:type="dxa"/>
            <w:tcBorders>
              <w:top w:val="single" w:sz="1" w:space="0" w:color="CCCCCC"/>
              <w:left w:val="single" w:sz="1" w:space="0" w:color="CCCCCC"/>
              <w:bottom w:val="single" w:sz="1" w:space="0" w:color="CCCCCC"/>
              <w:right w:val="single" w:sz="1" w:space="0" w:color="CCCCCC"/>
            </w:tcBorders>
            <w:shd w:val="clear" w:color="auto" w:fill="FFFFFF"/>
            <w:tcMar>
              <w:top w:w="80" w:type="dxa"/>
              <w:left w:w="120" w:type="dxa"/>
              <w:bottom w:w="80" w:type="dxa"/>
              <w:right w:w="120" w:type="dxa"/>
            </w:tcMar>
          </w:tcPr>
          <w:p w14:paraId="46D15F81" w14:textId="77777777" w:rsidR="004044B1" w:rsidRDefault="00000000">
            <w:r>
              <w:rPr>
                <w:sz w:val="19"/>
                <w:szCs w:val="19"/>
              </w:rPr>
              <w:t>Functionally captures FGPs through economic ownership classification. The DVA ratio then measures actual domestic contribution, naturally limiting incentives for pure FGPs at low DVA ratios. The 2017 NAICS reclassification was formally proposed but never implemented; FGP NAICS coding remains inconsistent across agencies.</w:t>
            </w:r>
          </w:p>
        </w:tc>
      </w:tr>
      <w:tr w:rsidR="004044B1" w14:paraId="7FF4AECE" w14:textId="77777777">
        <w:tc>
          <w:tcPr>
            <w:tcW w:w="2800" w:type="dxa"/>
            <w:tcBorders>
              <w:top w:val="single" w:sz="1" w:space="0" w:color="CCCCCC"/>
              <w:left w:val="single" w:sz="1" w:space="0" w:color="CCCCCC"/>
              <w:bottom w:val="single" w:sz="1" w:space="0" w:color="CCCCCC"/>
              <w:right w:val="single" w:sz="1" w:space="0" w:color="CCCCCC"/>
            </w:tcBorders>
            <w:shd w:val="clear" w:color="auto" w:fill="F5F7FA"/>
            <w:tcMar>
              <w:top w:w="80" w:type="dxa"/>
              <w:left w:w="120" w:type="dxa"/>
              <w:bottom w:w="80" w:type="dxa"/>
              <w:right w:w="120" w:type="dxa"/>
            </w:tcMar>
          </w:tcPr>
          <w:p w14:paraId="49222FDC" w14:textId="77777777" w:rsidR="004044B1" w:rsidRDefault="00000000">
            <w:r>
              <w:rPr>
                <w:sz w:val="19"/>
                <w:szCs w:val="19"/>
              </w:rPr>
              <w:t>FGPs: §168(n)</w:t>
            </w:r>
          </w:p>
        </w:tc>
        <w:tc>
          <w:tcPr>
            <w:tcW w:w="6560" w:type="dxa"/>
            <w:tcBorders>
              <w:top w:val="single" w:sz="1" w:space="0" w:color="CCCCCC"/>
              <w:left w:val="single" w:sz="1" w:space="0" w:color="CCCCCC"/>
              <w:bottom w:val="single" w:sz="1" w:space="0" w:color="CCCCCC"/>
              <w:right w:val="single" w:sz="1" w:space="0" w:color="CCCCCC"/>
            </w:tcBorders>
            <w:shd w:val="clear" w:color="auto" w:fill="F5F7FA"/>
            <w:tcMar>
              <w:top w:w="80" w:type="dxa"/>
              <w:left w:w="120" w:type="dxa"/>
              <w:bottom w:w="80" w:type="dxa"/>
              <w:right w:w="120" w:type="dxa"/>
            </w:tcMar>
          </w:tcPr>
          <w:p w14:paraId="3F92DB52" w14:textId="77777777" w:rsidR="004044B1" w:rsidRDefault="00000000">
            <w:r>
              <w:rPr>
                <w:sz w:val="19"/>
                <w:szCs w:val="19"/>
              </w:rPr>
              <w:t>Systematically excludes FGPs. No QPP (no factory owned), fails QPA test (no substantial transformation in their own hands), and principal activities (design, IP, engineering) are ineligible space under Notice 2026-16 §4.07.</w:t>
            </w:r>
          </w:p>
        </w:tc>
      </w:tr>
      <w:tr w:rsidR="004044B1" w14:paraId="20046647" w14:textId="77777777">
        <w:tc>
          <w:tcPr>
            <w:tcW w:w="2800" w:type="dxa"/>
            <w:tcBorders>
              <w:top w:val="single" w:sz="1" w:space="0" w:color="CCCCCC"/>
              <w:left w:val="single" w:sz="1" w:space="0" w:color="CCCCCC"/>
              <w:bottom w:val="single" w:sz="1" w:space="0" w:color="CCCCCC"/>
              <w:right w:val="single" w:sz="1" w:space="0" w:color="CCCCCC"/>
            </w:tcBorders>
            <w:shd w:val="clear" w:color="auto" w:fill="FFFFFF"/>
            <w:tcMar>
              <w:top w:w="80" w:type="dxa"/>
              <w:left w:w="120" w:type="dxa"/>
              <w:bottom w:w="80" w:type="dxa"/>
              <w:right w:w="120" w:type="dxa"/>
            </w:tcMar>
          </w:tcPr>
          <w:p w14:paraId="68E302C1" w14:textId="77777777" w:rsidR="004044B1" w:rsidRDefault="00000000">
            <w:r>
              <w:rPr>
                <w:sz w:val="19"/>
                <w:szCs w:val="19"/>
              </w:rPr>
              <w:t>FGP Statistical Distortion</w:t>
            </w:r>
          </w:p>
        </w:tc>
        <w:tc>
          <w:tcPr>
            <w:tcW w:w="6560" w:type="dxa"/>
            <w:tcBorders>
              <w:top w:val="single" w:sz="1" w:space="0" w:color="CCCCCC"/>
              <w:left w:val="single" w:sz="1" w:space="0" w:color="CCCCCC"/>
              <w:bottom w:val="single" w:sz="1" w:space="0" w:color="CCCCCC"/>
              <w:right w:val="single" w:sz="1" w:space="0" w:color="CCCCCC"/>
            </w:tcBorders>
            <w:shd w:val="clear" w:color="auto" w:fill="FFFFFF"/>
            <w:tcMar>
              <w:top w:w="80" w:type="dxa"/>
              <w:left w:w="120" w:type="dxa"/>
              <w:bottom w:w="80" w:type="dxa"/>
              <w:right w:w="120" w:type="dxa"/>
            </w:tcMar>
          </w:tcPr>
          <w:p w14:paraId="67ED91EF" w14:textId="77777777" w:rsidR="004044B1" w:rsidRDefault="00000000">
            <w:r>
              <w:rPr>
                <w:sz w:val="19"/>
                <w:szCs w:val="19"/>
              </w:rPr>
              <w:t>$350–430B of the $2.9T BEA manufacturing GVA figure represents FGP activity. If classified on a physical-production basis like China, US manufacturing GVA would be $1.7–2.0T. The gap quantifies the reshoring imperative.</w:t>
            </w:r>
          </w:p>
        </w:tc>
      </w:tr>
      <w:tr w:rsidR="004044B1" w14:paraId="16FED976" w14:textId="77777777">
        <w:tc>
          <w:tcPr>
            <w:tcW w:w="2800" w:type="dxa"/>
            <w:tcBorders>
              <w:top w:val="single" w:sz="1" w:space="0" w:color="CCCCCC"/>
              <w:left w:val="single" w:sz="1" w:space="0" w:color="CCCCCC"/>
              <w:bottom w:val="single" w:sz="1" w:space="0" w:color="CCCCCC"/>
              <w:right w:val="single" w:sz="1" w:space="0" w:color="CCCCCC"/>
            </w:tcBorders>
            <w:shd w:val="clear" w:color="auto" w:fill="F5F7FA"/>
            <w:tcMar>
              <w:top w:w="80" w:type="dxa"/>
              <w:left w:w="120" w:type="dxa"/>
              <w:bottom w:w="80" w:type="dxa"/>
              <w:right w:w="120" w:type="dxa"/>
            </w:tcMar>
          </w:tcPr>
          <w:p w14:paraId="63D46D36" w14:textId="77777777" w:rsidR="004044B1" w:rsidRDefault="00000000">
            <w:r>
              <w:rPr>
                <w:sz w:val="19"/>
                <w:szCs w:val="19"/>
              </w:rPr>
              <w:t>Recommended FGP Treatment</w:t>
            </w:r>
          </w:p>
        </w:tc>
        <w:tc>
          <w:tcPr>
            <w:tcW w:w="6560" w:type="dxa"/>
            <w:tcBorders>
              <w:top w:val="single" w:sz="1" w:space="0" w:color="CCCCCC"/>
              <w:left w:val="single" w:sz="1" w:space="0" w:color="CCCCCC"/>
              <w:bottom w:val="single" w:sz="1" w:space="0" w:color="CCCCCC"/>
              <w:right w:val="single" w:sz="1" w:space="0" w:color="CCCCCC"/>
            </w:tcBorders>
            <w:shd w:val="clear" w:color="auto" w:fill="F5F7FA"/>
            <w:tcMar>
              <w:top w:w="80" w:type="dxa"/>
              <w:left w:w="120" w:type="dxa"/>
              <w:bottom w:w="80" w:type="dxa"/>
              <w:right w:w="120" w:type="dxa"/>
            </w:tcMar>
          </w:tcPr>
          <w:p w14:paraId="676E8C07" w14:textId="77777777" w:rsidR="004044B1" w:rsidRDefault="00000000">
            <w:r>
              <w:rPr>
                <w:sz w:val="19"/>
                <w:szCs w:val="19"/>
              </w:rPr>
              <w:t xml:space="preserve">Option B (tiered rate: 5% for physical production, 2% for non-production-linked R&amp;D/design, 0% for SG&amp;A) combined with establishment-level DVA computation. Reduces 10-year package cost by ~$70–90B while </w:t>
            </w:r>
            <w:r>
              <w:rPr>
                <w:sz w:val="19"/>
                <w:szCs w:val="19"/>
              </w:rPr>
              <w:lastRenderedPageBreak/>
              <w:t>preserving incentives for domestic IP activity and creating a reshoring ladder.</w:t>
            </w:r>
          </w:p>
        </w:tc>
      </w:tr>
      <w:tr w:rsidR="004044B1" w14:paraId="179A15F8" w14:textId="77777777">
        <w:tc>
          <w:tcPr>
            <w:tcW w:w="2800" w:type="dxa"/>
            <w:tcBorders>
              <w:top w:val="single" w:sz="1" w:space="0" w:color="CCCCCC"/>
              <w:left w:val="single" w:sz="1" w:space="0" w:color="CCCCCC"/>
              <w:bottom w:val="single" w:sz="1" w:space="0" w:color="CCCCCC"/>
              <w:right w:val="single" w:sz="1" w:space="0" w:color="CCCCCC"/>
            </w:tcBorders>
            <w:shd w:val="clear" w:color="auto" w:fill="FFFFFF"/>
            <w:tcMar>
              <w:top w:w="80" w:type="dxa"/>
              <w:left w:w="120" w:type="dxa"/>
              <w:bottom w:w="80" w:type="dxa"/>
              <w:right w:w="120" w:type="dxa"/>
            </w:tcMar>
          </w:tcPr>
          <w:p w14:paraId="49E95371" w14:textId="77777777" w:rsidR="004044B1" w:rsidRDefault="00000000">
            <w:r>
              <w:rPr>
                <w:sz w:val="19"/>
                <w:szCs w:val="19"/>
              </w:rPr>
              <w:lastRenderedPageBreak/>
              <w:t>DVA Mechanism: §168(n)</w:t>
            </w:r>
          </w:p>
        </w:tc>
        <w:tc>
          <w:tcPr>
            <w:tcW w:w="6560" w:type="dxa"/>
            <w:tcBorders>
              <w:top w:val="single" w:sz="1" w:space="0" w:color="CCCCCC"/>
              <w:left w:val="single" w:sz="1" w:space="0" w:color="CCCCCC"/>
              <w:bottom w:val="single" w:sz="1" w:space="0" w:color="CCCCCC"/>
              <w:right w:val="single" w:sz="1" w:space="0" w:color="CCCCCC"/>
            </w:tcBorders>
            <w:shd w:val="clear" w:color="auto" w:fill="FFFFFF"/>
            <w:tcMar>
              <w:top w:w="80" w:type="dxa"/>
              <w:left w:w="120" w:type="dxa"/>
              <w:bottom w:w="80" w:type="dxa"/>
              <w:right w:w="120" w:type="dxa"/>
            </w:tcMar>
          </w:tcPr>
          <w:p w14:paraId="1732EC25" w14:textId="77777777" w:rsidR="004044B1" w:rsidRDefault="00000000">
            <w:r>
              <w:rPr>
                <w:sz w:val="19"/>
                <w:szCs w:val="19"/>
              </w:rPr>
              <w:t>Cannot serve as the DVA calculation mechanism. Covers only new building basis (elective, post-2025), representing 5–15% of capital investment in most sectors and zero share of labor, equipment, materials, and existing facilities.</w:t>
            </w:r>
          </w:p>
        </w:tc>
      </w:tr>
      <w:tr w:rsidR="004044B1" w14:paraId="1284D364" w14:textId="77777777">
        <w:tc>
          <w:tcPr>
            <w:tcW w:w="2800" w:type="dxa"/>
            <w:tcBorders>
              <w:top w:val="single" w:sz="1" w:space="0" w:color="CCCCCC"/>
              <w:left w:val="single" w:sz="1" w:space="0" w:color="CCCCCC"/>
              <w:bottom w:val="single" w:sz="1" w:space="0" w:color="CCCCCC"/>
              <w:right w:val="single" w:sz="1" w:space="0" w:color="CCCCCC"/>
            </w:tcBorders>
            <w:shd w:val="clear" w:color="auto" w:fill="F5F7FA"/>
            <w:tcMar>
              <w:top w:w="80" w:type="dxa"/>
              <w:left w:w="120" w:type="dxa"/>
              <w:bottom w:w="80" w:type="dxa"/>
              <w:right w:w="120" w:type="dxa"/>
            </w:tcMar>
          </w:tcPr>
          <w:p w14:paraId="0D498C5C" w14:textId="77777777" w:rsidR="004044B1" w:rsidRDefault="00000000">
            <w:r>
              <w:rPr>
                <w:sz w:val="19"/>
                <w:szCs w:val="19"/>
              </w:rPr>
              <w:t>Labor in §168(n)</w:t>
            </w:r>
          </w:p>
        </w:tc>
        <w:tc>
          <w:tcPr>
            <w:tcW w:w="6560" w:type="dxa"/>
            <w:tcBorders>
              <w:top w:val="single" w:sz="1" w:space="0" w:color="CCCCCC"/>
              <w:left w:val="single" w:sz="1" w:space="0" w:color="CCCCCC"/>
              <w:bottom w:val="single" w:sz="1" w:space="0" w:color="CCCCCC"/>
              <w:right w:val="single" w:sz="1" w:space="0" w:color="CCCCCC"/>
            </w:tcBorders>
            <w:shd w:val="clear" w:color="auto" w:fill="F5F7FA"/>
            <w:tcMar>
              <w:top w:w="80" w:type="dxa"/>
              <w:left w:w="120" w:type="dxa"/>
              <w:bottom w:w="80" w:type="dxa"/>
              <w:right w:w="120" w:type="dxa"/>
            </w:tcMar>
          </w:tcPr>
          <w:p w14:paraId="599A60EA" w14:textId="77777777" w:rsidR="004044B1" w:rsidRDefault="00000000">
            <w:r>
              <w:rPr>
                <w:sz w:val="19"/>
                <w:szCs w:val="19"/>
              </w:rPr>
              <w:t>Not captured. Labor is deducted under §162 and is entirely outside §168(n). The subtraction DVA methodology correctly captures labor by retaining it in the numerator.</w:t>
            </w:r>
          </w:p>
        </w:tc>
      </w:tr>
      <w:tr w:rsidR="004044B1" w14:paraId="461570F4" w14:textId="77777777">
        <w:tc>
          <w:tcPr>
            <w:tcW w:w="2800" w:type="dxa"/>
            <w:tcBorders>
              <w:top w:val="single" w:sz="1" w:space="0" w:color="CCCCCC"/>
              <w:left w:val="single" w:sz="1" w:space="0" w:color="CCCCCC"/>
              <w:bottom w:val="single" w:sz="1" w:space="0" w:color="CCCCCC"/>
              <w:right w:val="single" w:sz="1" w:space="0" w:color="CCCCCC"/>
            </w:tcBorders>
            <w:shd w:val="clear" w:color="auto" w:fill="FFFFFF"/>
            <w:tcMar>
              <w:top w:w="80" w:type="dxa"/>
              <w:left w:w="120" w:type="dxa"/>
              <w:bottom w:w="80" w:type="dxa"/>
              <w:right w:w="120" w:type="dxa"/>
            </w:tcMar>
          </w:tcPr>
          <w:p w14:paraId="0CAE69C4" w14:textId="77777777" w:rsidR="004044B1" w:rsidRDefault="00000000">
            <w:r>
              <w:rPr>
                <w:sz w:val="19"/>
                <w:szCs w:val="19"/>
              </w:rPr>
              <w:t>Equipment in §168(n)</w:t>
            </w:r>
          </w:p>
        </w:tc>
        <w:tc>
          <w:tcPr>
            <w:tcW w:w="6560" w:type="dxa"/>
            <w:tcBorders>
              <w:top w:val="single" w:sz="1" w:space="0" w:color="CCCCCC"/>
              <w:left w:val="single" w:sz="1" w:space="0" w:color="CCCCCC"/>
              <w:bottom w:val="single" w:sz="1" w:space="0" w:color="CCCCCC"/>
              <w:right w:val="single" w:sz="1" w:space="0" w:color="CCCCCC"/>
            </w:tcBorders>
            <w:shd w:val="clear" w:color="auto" w:fill="FFFFFF"/>
            <w:tcMar>
              <w:top w:w="80" w:type="dxa"/>
              <w:left w:w="120" w:type="dxa"/>
              <w:bottom w:w="80" w:type="dxa"/>
              <w:right w:w="120" w:type="dxa"/>
            </w:tcMar>
          </w:tcPr>
          <w:p w14:paraId="1A1C2DCA" w14:textId="77777777" w:rsidR="004044B1" w:rsidRDefault="00000000">
            <w:r>
              <w:rPr>
                <w:sz w:val="19"/>
                <w:szCs w:val="19"/>
              </w:rPr>
              <w:t>Not captured. Equipment is §168(k) personal property. In most advanced manufacturing sectors, equipment is 2–8× the value of the building.</w:t>
            </w:r>
          </w:p>
        </w:tc>
      </w:tr>
      <w:tr w:rsidR="004044B1" w14:paraId="7D95B90B" w14:textId="77777777">
        <w:tc>
          <w:tcPr>
            <w:tcW w:w="2800" w:type="dxa"/>
            <w:tcBorders>
              <w:top w:val="single" w:sz="1" w:space="0" w:color="CCCCCC"/>
              <w:left w:val="single" w:sz="1" w:space="0" w:color="CCCCCC"/>
              <w:bottom w:val="single" w:sz="1" w:space="0" w:color="CCCCCC"/>
              <w:right w:val="single" w:sz="1" w:space="0" w:color="CCCCCC"/>
            </w:tcBorders>
            <w:shd w:val="clear" w:color="auto" w:fill="F5F7FA"/>
            <w:tcMar>
              <w:top w:w="80" w:type="dxa"/>
              <w:left w:w="120" w:type="dxa"/>
              <w:bottom w:w="80" w:type="dxa"/>
              <w:right w:w="120" w:type="dxa"/>
            </w:tcMar>
          </w:tcPr>
          <w:p w14:paraId="3F9B20ED" w14:textId="77777777" w:rsidR="004044B1" w:rsidRDefault="00000000">
            <w:r>
              <w:rPr>
                <w:sz w:val="19"/>
                <w:szCs w:val="19"/>
              </w:rPr>
              <w:t>Correct Role for §168(n)</w:t>
            </w:r>
          </w:p>
        </w:tc>
        <w:tc>
          <w:tcPr>
            <w:tcW w:w="6560" w:type="dxa"/>
            <w:tcBorders>
              <w:top w:val="single" w:sz="1" w:space="0" w:color="CCCCCC"/>
              <w:left w:val="single" w:sz="1" w:space="0" w:color="CCCCCC"/>
              <w:bottom w:val="single" w:sz="1" w:space="0" w:color="CCCCCC"/>
              <w:right w:val="single" w:sz="1" w:space="0" w:color="CCCCCC"/>
            </w:tcBorders>
            <w:shd w:val="clear" w:color="auto" w:fill="F5F7FA"/>
            <w:tcMar>
              <w:top w:w="80" w:type="dxa"/>
              <w:left w:w="120" w:type="dxa"/>
              <w:bottom w:w="80" w:type="dxa"/>
              <w:right w:w="120" w:type="dxa"/>
            </w:tcMar>
          </w:tcPr>
          <w:p w14:paraId="3D4AE73C" w14:textId="77777777" w:rsidR="004044B1" w:rsidRDefault="00000000">
            <w:r>
              <w:rPr>
                <w:sz w:val="19"/>
                <w:szCs w:val="19"/>
              </w:rPr>
              <w:t>Activity qualification gateway only. Use §168(n)’s manufacturing/production/refining definitions as a functional eligibility test (complementing NAICS 31–33). Retain the subtraction methodology for DVA ratio calculation.</w:t>
            </w:r>
          </w:p>
        </w:tc>
      </w:tr>
      <w:tr w:rsidR="004044B1" w14:paraId="345A46E8" w14:textId="77777777">
        <w:tc>
          <w:tcPr>
            <w:tcW w:w="2800" w:type="dxa"/>
            <w:tcBorders>
              <w:top w:val="single" w:sz="1" w:space="0" w:color="CCCCCC"/>
              <w:left w:val="single" w:sz="1" w:space="0" w:color="CCCCCC"/>
              <w:bottom w:val="single" w:sz="1" w:space="0" w:color="CCCCCC"/>
              <w:right w:val="single" w:sz="1" w:space="0" w:color="CCCCCC"/>
            </w:tcBorders>
            <w:shd w:val="clear" w:color="auto" w:fill="FFFFFF"/>
            <w:tcMar>
              <w:top w:w="80" w:type="dxa"/>
              <w:left w:w="120" w:type="dxa"/>
              <w:bottom w:w="80" w:type="dxa"/>
              <w:right w:w="120" w:type="dxa"/>
            </w:tcMar>
          </w:tcPr>
          <w:p w14:paraId="73E8C970" w14:textId="77777777" w:rsidR="004044B1" w:rsidRDefault="00000000">
            <w:r>
              <w:rPr>
                <w:sz w:val="19"/>
                <w:szCs w:val="19"/>
              </w:rPr>
              <w:t>Does FGP reclassification reduce US GDP?</w:t>
            </w:r>
          </w:p>
        </w:tc>
        <w:tc>
          <w:tcPr>
            <w:tcW w:w="6560" w:type="dxa"/>
            <w:tcBorders>
              <w:top w:val="single" w:sz="1" w:space="0" w:color="CCCCCC"/>
              <w:left w:val="single" w:sz="1" w:space="0" w:color="CCCCCC"/>
              <w:bottom w:val="single" w:sz="1" w:space="0" w:color="CCCCCC"/>
              <w:right w:val="single" w:sz="1" w:space="0" w:color="CCCCCC"/>
            </w:tcBorders>
            <w:shd w:val="clear" w:color="auto" w:fill="FFFFFF"/>
            <w:tcMar>
              <w:top w:w="80" w:type="dxa"/>
              <w:left w:w="120" w:type="dxa"/>
              <w:bottom w:w="80" w:type="dxa"/>
              <w:right w:w="120" w:type="dxa"/>
            </w:tcMar>
          </w:tcPr>
          <w:p w14:paraId="4484C3D9" w14:textId="77777777" w:rsidR="004044B1" w:rsidRDefault="00000000">
            <w:r>
              <w:rPr>
                <w:sz w:val="19"/>
                <w:szCs w:val="19"/>
              </w:rPr>
              <w:t>No. Reclassifying FGPs from manufacturing to services/wholesale changes sectoral composition but not total GDP. The value-added migrates to a different label; the economy-wide total is unchanged.</w:t>
            </w:r>
          </w:p>
        </w:tc>
      </w:tr>
      <w:tr w:rsidR="004044B1" w14:paraId="1932B699" w14:textId="77777777">
        <w:tc>
          <w:tcPr>
            <w:tcW w:w="2800" w:type="dxa"/>
            <w:tcBorders>
              <w:top w:val="single" w:sz="1" w:space="0" w:color="CCCCCC"/>
              <w:left w:val="single" w:sz="1" w:space="0" w:color="CCCCCC"/>
              <w:bottom w:val="single" w:sz="1" w:space="0" w:color="CCCCCC"/>
              <w:right w:val="single" w:sz="1" w:space="0" w:color="CCCCCC"/>
            </w:tcBorders>
            <w:shd w:val="clear" w:color="auto" w:fill="F5F7FA"/>
            <w:tcMar>
              <w:top w:w="80" w:type="dxa"/>
              <w:left w:w="120" w:type="dxa"/>
              <w:bottom w:w="80" w:type="dxa"/>
              <w:right w:w="120" w:type="dxa"/>
            </w:tcMar>
          </w:tcPr>
          <w:p w14:paraId="065EFB6A" w14:textId="77777777" w:rsidR="004044B1" w:rsidRDefault="00000000">
            <w:r>
              <w:rPr>
                <w:sz w:val="19"/>
                <w:szCs w:val="19"/>
              </w:rPr>
              <w:t>Are Chinese imports overstated?</w:t>
            </w:r>
          </w:p>
        </w:tc>
        <w:tc>
          <w:tcPr>
            <w:tcW w:w="6560" w:type="dxa"/>
            <w:tcBorders>
              <w:top w:val="single" w:sz="1" w:space="0" w:color="CCCCCC"/>
              <w:left w:val="single" w:sz="1" w:space="0" w:color="CCCCCC"/>
              <w:bottom w:val="single" w:sz="1" w:space="0" w:color="CCCCCC"/>
              <w:right w:val="single" w:sz="1" w:space="0" w:color="CCCCCC"/>
            </w:tcBorders>
            <w:shd w:val="clear" w:color="auto" w:fill="F5F7FA"/>
            <w:tcMar>
              <w:top w:w="80" w:type="dxa"/>
              <w:left w:w="120" w:type="dxa"/>
              <w:bottom w:w="80" w:type="dxa"/>
              <w:right w:w="120" w:type="dxa"/>
            </w:tcMar>
          </w:tcPr>
          <w:p w14:paraId="04DFCFC7" w14:textId="77777777" w:rsidR="004044B1" w:rsidRDefault="00000000">
            <w:r>
              <w:rPr>
                <w:sz w:val="19"/>
                <w:szCs w:val="19"/>
              </w:rPr>
              <w:t>Yes, on a value-added basis. Chinese-assembled goods embed 35–45% foreign-originated inputs (American IP, Taiwanese semis, etc.). The US–China bilateral goods deficit is ~20–30% smaller on a value-added basis than headline customs figures suggest (OECD–WTO TiVA).</w:t>
            </w:r>
          </w:p>
        </w:tc>
      </w:tr>
      <w:tr w:rsidR="004044B1" w14:paraId="1B3EA992" w14:textId="77777777">
        <w:tc>
          <w:tcPr>
            <w:tcW w:w="2800" w:type="dxa"/>
            <w:tcBorders>
              <w:top w:val="single" w:sz="1" w:space="0" w:color="CCCCCC"/>
              <w:left w:val="single" w:sz="1" w:space="0" w:color="CCCCCC"/>
              <w:bottom w:val="single" w:sz="1" w:space="0" w:color="CCCCCC"/>
              <w:right w:val="single" w:sz="1" w:space="0" w:color="CCCCCC"/>
            </w:tcBorders>
            <w:shd w:val="clear" w:color="auto" w:fill="FFFFFF"/>
            <w:tcMar>
              <w:top w:w="80" w:type="dxa"/>
              <w:left w:w="120" w:type="dxa"/>
              <w:bottom w:w="80" w:type="dxa"/>
              <w:right w:w="120" w:type="dxa"/>
            </w:tcMar>
          </w:tcPr>
          <w:p w14:paraId="4993D2FD" w14:textId="77777777" w:rsidR="004044B1" w:rsidRDefault="00000000">
            <w:r>
              <w:rPr>
                <w:sz w:val="19"/>
                <w:szCs w:val="19"/>
              </w:rPr>
              <w:t>Is the US–China manufacturing gap overstated?</w:t>
            </w:r>
          </w:p>
        </w:tc>
        <w:tc>
          <w:tcPr>
            <w:tcW w:w="6560" w:type="dxa"/>
            <w:tcBorders>
              <w:top w:val="single" w:sz="1" w:space="0" w:color="CCCCCC"/>
              <w:left w:val="single" w:sz="1" w:space="0" w:color="CCCCCC"/>
              <w:bottom w:val="single" w:sz="1" w:space="0" w:color="CCCCCC"/>
              <w:right w:val="single" w:sz="1" w:space="0" w:color="CCCCCC"/>
            </w:tcBorders>
            <w:shd w:val="clear" w:color="auto" w:fill="FFFFFF"/>
            <w:tcMar>
              <w:top w:w="80" w:type="dxa"/>
              <w:left w:w="120" w:type="dxa"/>
              <w:bottom w:w="80" w:type="dxa"/>
              <w:right w:w="120" w:type="dxa"/>
            </w:tcMar>
          </w:tcPr>
          <w:p w14:paraId="471211B8" w14:textId="77777777" w:rsidR="004044B1" w:rsidRDefault="00000000">
            <w:r>
              <w:rPr>
                <w:sz w:val="19"/>
                <w:szCs w:val="19"/>
              </w:rPr>
              <w:t>Primarily on the US side only. China’s $4.7T GVA already nets out imported inputs by definition—it is not symmetrically inflated. Correcting for the US FGP classification effect narrows the comparison from $2.9T vs. $4.7T to ~$2.5T vs. $4.7T on a physical-production basis. The gap is real and large.</w:t>
            </w:r>
          </w:p>
        </w:tc>
      </w:tr>
      <w:tr w:rsidR="004044B1" w14:paraId="60E65F01" w14:textId="77777777">
        <w:tc>
          <w:tcPr>
            <w:tcW w:w="2800" w:type="dxa"/>
            <w:tcBorders>
              <w:top w:val="single" w:sz="1" w:space="0" w:color="CCCCCC"/>
              <w:left w:val="single" w:sz="1" w:space="0" w:color="CCCCCC"/>
              <w:bottom w:val="single" w:sz="1" w:space="0" w:color="CCCCCC"/>
              <w:right w:val="single" w:sz="1" w:space="0" w:color="CCCCCC"/>
            </w:tcBorders>
            <w:shd w:val="clear" w:color="auto" w:fill="F5F7FA"/>
            <w:tcMar>
              <w:top w:w="80" w:type="dxa"/>
              <w:left w:w="120" w:type="dxa"/>
              <w:bottom w:w="80" w:type="dxa"/>
              <w:right w:w="120" w:type="dxa"/>
            </w:tcMar>
          </w:tcPr>
          <w:p w14:paraId="4DFC04D4" w14:textId="77777777" w:rsidR="004044B1" w:rsidRDefault="00000000">
            <w:r>
              <w:rPr>
                <w:sz w:val="19"/>
                <w:szCs w:val="19"/>
              </w:rPr>
              <w:t>CBA implication</w:t>
            </w:r>
          </w:p>
        </w:tc>
        <w:tc>
          <w:tcPr>
            <w:tcW w:w="6560" w:type="dxa"/>
            <w:tcBorders>
              <w:top w:val="single" w:sz="1" w:space="0" w:color="CCCCCC"/>
              <w:left w:val="single" w:sz="1" w:space="0" w:color="CCCCCC"/>
              <w:bottom w:val="single" w:sz="1" w:space="0" w:color="CCCCCC"/>
              <w:right w:val="single" w:sz="1" w:space="0" w:color="CCCCCC"/>
            </w:tcBorders>
            <w:shd w:val="clear" w:color="auto" w:fill="F5F7FA"/>
            <w:tcMar>
              <w:top w:w="80" w:type="dxa"/>
              <w:left w:w="120" w:type="dxa"/>
              <w:bottom w:w="80" w:type="dxa"/>
              <w:right w:w="120" w:type="dxa"/>
            </w:tcMar>
          </w:tcPr>
          <w:p w14:paraId="58521B18" w14:textId="77777777" w:rsidR="004044B1" w:rsidRDefault="00000000">
            <w:r>
              <w:rPr>
                <w:sz w:val="19"/>
                <w:szCs w:val="19"/>
              </w:rPr>
              <w:t>The 2.74× multiplier should apply only to physical-production credits, not FGP IP activity (consistent with Option B). The $100–250B/yr trade balance improvement should be calibrated to value-added-adjusted baseline, not gross customs figures.</w:t>
            </w:r>
          </w:p>
        </w:tc>
      </w:tr>
    </w:tbl>
    <w:p w14:paraId="00D789CD" w14:textId="77777777" w:rsidR="004044B1" w:rsidRDefault="004044B1">
      <w:pPr>
        <w:spacing w:before="80" w:after="80"/>
      </w:pPr>
    </w:p>
    <w:p w14:paraId="67CE282E" w14:textId="77777777" w:rsidR="004044B1" w:rsidRDefault="004044B1">
      <w:pPr>
        <w:pBdr>
          <w:bottom w:val="single" w:sz="4" w:space="1" w:color="2E75B6"/>
        </w:pBdr>
        <w:spacing w:before="200" w:after="200"/>
      </w:pPr>
    </w:p>
    <w:p w14:paraId="6AE85B14" w14:textId="77777777" w:rsidR="004044B1" w:rsidRDefault="00000000">
      <w:pPr>
        <w:pStyle w:val="Heading1"/>
      </w:pPr>
      <w:r>
        <w:t>Part V: Does the $2.9T Restatement Imply Lower US GDP or Lower Chinese Imports?</w:t>
      </w:r>
    </w:p>
    <w:p w14:paraId="6EFB08EC" w14:textId="77777777" w:rsidR="004044B1" w:rsidRDefault="004044B1">
      <w:pPr>
        <w:spacing w:before="80" w:after="80"/>
      </w:pPr>
    </w:p>
    <w:tbl>
      <w:tblPr>
        <w:tblW w:w="936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0" w:type="dxa"/>
          <w:right w:w="10" w:type="dxa"/>
        </w:tblCellMar>
        <w:tblLook w:val="0000" w:firstRow="0" w:lastRow="0" w:firstColumn="0" w:lastColumn="0" w:noHBand="0" w:noVBand="0"/>
      </w:tblPr>
      <w:tblGrid>
        <w:gridCol w:w="9360"/>
      </w:tblGrid>
      <w:tr w:rsidR="004044B1" w14:paraId="2B845EB4" w14:textId="77777777">
        <w:tc>
          <w:tcPr>
            <w:tcW w:w="9360" w:type="dxa"/>
            <w:tcBorders>
              <w:top w:val="single" w:sz="6" w:space="0" w:color="1F3864"/>
              <w:left w:val="single" w:sz="6" w:space="0" w:color="1F3864"/>
              <w:bottom w:val="single" w:sz="6" w:space="0" w:color="1F3864"/>
              <w:right w:val="single" w:sz="6" w:space="0" w:color="1F3864"/>
            </w:tcBorders>
            <w:shd w:val="clear" w:color="auto" w:fill="EBF0FA"/>
            <w:tcMar>
              <w:top w:w="120" w:type="dxa"/>
              <w:left w:w="180" w:type="dxa"/>
              <w:bottom w:w="120" w:type="dxa"/>
              <w:right w:w="180" w:type="dxa"/>
            </w:tcMar>
          </w:tcPr>
          <w:p w14:paraId="2F922CE9" w14:textId="77777777" w:rsidR="004044B1" w:rsidRDefault="00000000">
            <w:pPr>
              <w:spacing w:before="40" w:after="40"/>
            </w:pPr>
            <w:r>
              <w:rPr>
                <w:b/>
                <w:bCs/>
                <w:color w:val="1F3864"/>
              </w:rPr>
              <w:t>► BLUF</w:t>
            </w:r>
          </w:p>
          <w:p w14:paraId="15D1C522" w14:textId="77777777" w:rsidR="004044B1" w:rsidRDefault="00000000">
            <w:pPr>
              <w:spacing w:before="60" w:after="60"/>
            </w:pPr>
            <w:r>
              <w:rPr>
                <w:i/>
                <w:iCs/>
              </w:rPr>
              <w:t xml:space="preserve">Reclassifying FGPs out of manufacturing does not reduce US GDP—the value added simply migrates to a different sector label. However, the statement does carry a valid and important trade implication: US imports from China are overstated on a gross basis because Chinese-assembled goods embed substantial American-originated IP. On a value-added basis, the US–China bilateral trade deficit is an estimated 20–30% smaller than headline </w:t>
            </w:r>
            <w:r>
              <w:rPr>
                <w:i/>
                <w:iCs/>
              </w:rPr>
              <w:lastRenderedPageBreak/>
              <w:t>goods trade figures suggest. Unlike the US FGP distortion, China’s $4.7T GVA is not symmetrically inflated by imported input processing—GVA methodology already nets those out by construction. The distortion in the US–China comparison runs primarily in one direction: upward on the US side. Correcting for FGP classification narrows the comparison from $2.9T vs. $4.7T to approximately $2.5T vs. $4.7T on a physical-production basis. The statement as written risks conflating a classification gap with a GDP gap, and should be tightened.</w:t>
            </w:r>
          </w:p>
        </w:tc>
      </w:tr>
    </w:tbl>
    <w:p w14:paraId="1031DF75" w14:textId="77777777" w:rsidR="004044B1" w:rsidRDefault="004044B1">
      <w:pPr>
        <w:spacing w:before="80" w:after="80"/>
      </w:pPr>
    </w:p>
    <w:p w14:paraId="64564A97" w14:textId="77777777" w:rsidR="004044B1" w:rsidRDefault="00000000">
      <w:pPr>
        <w:pStyle w:val="Heading2"/>
      </w:pPr>
      <w:r>
        <w:t>A. Does FGP Reclassification Reduce US GDP? No.</w:t>
      </w:r>
    </w:p>
    <w:p w14:paraId="5D7880CF" w14:textId="77777777" w:rsidR="004044B1" w:rsidRDefault="00000000">
      <w:pPr>
        <w:spacing w:before="80" w:after="120"/>
      </w:pPr>
      <w:r>
        <w:t>GDP measures total value added across the entire economy regardless of industrial sector. If Apple is reclassified from manufacturing (NAICS 33) to wholesale trade (NAICS 42) or professional services (NAICS 54), Apple’s approximately $175 billion in annual value-added (revenue minus intermediate inputs) still counts toward GDP—it simply appears under a different sectoral label. Total GDP is unchanged. Only the sectoral composition shifts.</w:t>
      </w:r>
    </w:p>
    <w:p w14:paraId="72F26C00" w14:textId="77777777" w:rsidR="004044B1" w:rsidRDefault="00000000">
      <w:pPr>
        <w:spacing w:before="80" w:after="120"/>
      </w:pPr>
      <w:r>
        <w:t>The statement is therefore technically imprecise when it implies that the $1.7–2.0 trillion figure represents a “true” GDP figure or that $0.9–1.2 trillion is somehow miscounted. Neither is the case. BEA’s GDP figure is not wrong for what it measures. The manufacturing sector label is wrong—or at minimum, ambiguous—for roughly $350–430 billion of what it currently classifies as manufacturing GVA.</w:t>
      </w:r>
    </w:p>
    <w:p w14:paraId="59261DEE" w14:textId="77777777" w:rsidR="004044B1" w:rsidRDefault="00000000">
      <w:pPr>
        <w:spacing w:before="80" w:after="120"/>
      </w:pPr>
      <w:r>
        <w:t>The more important conceptual point is this: the $350–430 billion of FGP “manufacturing” value-added represents returns to IP and design that enable offshore production—not physical production capacity. The US could lose every FGP’s domestic headquarters operations tomorrow and GDP would absorb the shock through sectoral reallocation; but it would have zero additional manufacturing capacity. GDP is not a measure of industrial capacity, resilience, or supply chain self-sufficiency. Conflating the two is the conceptual error the original statement risks making.</w:t>
      </w:r>
    </w:p>
    <w:p w14:paraId="26571CE3" w14:textId="77777777" w:rsidR="004044B1" w:rsidRDefault="00000000">
      <w:pPr>
        <w:pStyle w:val="Heading2"/>
      </w:pPr>
      <w:r>
        <w:t>B. Are Chinese Imports Lower Than Reported? Yes, in Value-Added Terms.</w:t>
      </w:r>
    </w:p>
    <w:p w14:paraId="76FBF9BE" w14:textId="77777777" w:rsidR="004044B1" w:rsidRDefault="00000000">
      <w:pPr>
        <w:spacing w:before="80" w:after="120"/>
      </w:pPr>
      <w:r>
        <w:t>This implication is correct and points to one of the most important methodological issues in trade economics. Under standard gross trade accounting, when an iPhone assembled in China enters the United States, it crosses customs at its full declared value—approximately $450–480. That full amount is recorded as a US import from China. But embedded in that $450 is substantial American-originated value: Apple’s chip architecture and SoC design (Cupertino), iOS and all system software (California), industrial and mechanical design, and various licensed IP components. China’s actual contribution to the assembled device—labor, some domestic components, facility overhead—is estimated at $30–60 per device, or roughly 10–15% of the declared customs value.</w:t>
      </w:r>
    </w:p>
    <w:p w14:paraId="3BA8E097" w14:textId="77777777" w:rsidR="004044B1" w:rsidRDefault="00000000">
      <w:pPr>
        <w:spacing w:before="80" w:after="120"/>
      </w:pPr>
      <w:r>
        <w:t>Under value-added trade accounting, you strip out the foreign-originated value embedded in each country’s exports and attribute only the genuinely domestic value-added component. On this basis, the measured US–China bilateral trade deficit shrinks materially.</w:t>
      </w:r>
    </w:p>
    <w:p w14:paraId="58BCD05A" w14:textId="77777777" w:rsidR="004044B1" w:rsidRDefault="004044B1">
      <w:pPr>
        <w:spacing w:before="80" w:after="80"/>
      </w:pPr>
    </w:p>
    <w:tbl>
      <w:tblPr>
        <w:tblW w:w="936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0" w:type="dxa"/>
          <w:right w:w="10" w:type="dxa"/>
        </w:tblCellMar>
        <w:tblLook w:val="0000" w:firstRow="0" w:lastRow="0" w:firstColumn="0" w:lastColumn="0" w:noHBand="0" w:noVBand="0"/>
      </w:tblPr>
      <w:tblGrid>
        <w:gridCol w:w="2600"/>
        <w:gridCol w:w="2600"/>
        <w:gridCol w:w="4160"/>
      </w:tblGrid>
      <w:tr w:rsidR="004044B1" w14:paraId="5B0C5F18" w14:textId="77777777">
        <w:trPr>
          <w:tblHeader/>
        </w:trPr>
        <w:tc>
          <w:tcPr>
            <w:tcW w:w="2600" w:type="dxa"/>
            <w:tcBorders>
              <w:top w:val="single" w:sz="1" w:space="0" w:color="CCCCCC"/>
              <w:left w:val="single" w:sz="1" w:space="0" w:color="CCCCCC"/>
              <w:bottom w:val="single" w:sz="1" w:space="0" w:color="CCCCCC"/>
              <w:right w:val="single" w:sz="1" w:space="0" w:color="CCCCCC"/>
            </w:tcBorders>
            <w:shd w:val="clear" w:color="auto" w:fill="2E75B6"/>
            <w:tcMar>
              <w:top w:w="80" w:type="dxa"/>
              <w:left w:w="120" w:type="dxa"/>
              <w:bottom w:w="80" w:type="dxa"/>
              <w:right w:w="120" w:type="dxa"/>
            </w:tcMar>
          </w:tcPr>
          <w:p w14:paraId="5E92022E" w14:textId="77777777" w:rsidR="004044B1" w:rsidRDefault="00000000">
            <w:r>
              <w:rPr>
                <w:b/>
                <w:bCs/>
                <w:color w:val="FFFFFF"/>
                <w:sz w:val="19"/>
                <w:szCs w:val="19"/>
              </w:rPr>
              <w:lastRenderedPageBreak/>
              <w:t>Measurement Basis</w:t>
            </w:r>
          </w:p>
        </w:tc>
        <w:tc>
          <w:tcPr>
            <w:tcW w:w="2600" w:type="dxa"/>
            <w:tcBorders>
              <w:top w:val="single" w:sz="1" w:space="0" w:color="CCCCCC"/>
              <w:left w:val="single" w:sz="1" w:space="0" w:color="CCCCCC"/>
              <w:bottom w:val="single" w:sz="1" w:space="0" w:color="CCCCCC"/>
              <w:right w:val="single" w:sz="1" w:space="0" w:color="CCCCCC"/>
            </w:tcBorders>
            <w:shd w:val="clear" w:color="auto" w:fill="2E75B6"/>
            <w:tcMar>
              <w:top w:w="80" w:type="dxa"/>
              <w:left w:w="120" w:type="dxa"/>
              <w:bottom w:w="80" w:type="dxa"/>
              <w:right w:w="120" w:type="dxa"/>
            </w:tcMar>
          </w:tcPr>
          <w:p w14:paraId="226A97B9" w14:textId="77777777" w:rsidR="004044B1" w:rsidRDefault="00000000">
            <w:r>
              <w:rPr>
                <w:b/>
                <w:bCs/>
                <w:color w:val="FFFFFF"/>
                <w:sz w:val="19"/>
                <w:szCs w:val="19"/>
              </w:rPr>
              <w:t>US–China Goods Deficit (Est.)</w:t>
            </w:r>
          </w:p>
        </w:tc>
        <w:tc>
          <w:tcPr>
            <w:tcW w:w="4160" w:type="dxa"/>
            <w:tcBorders>
              <w:top w:val="single" w:sz="1" w:space="0" w:color="CCCCCC"/>
              <w:left w:val="single" w:sz="1" w:space="0" w:color="CCCCCC"/>
              <w:bottom w:val="single" w:sz="1" w:space="0" w:color="CCCCCC"/>
              <w:right w:val="single" w:sz="1" w:space="0" w:color="CCCCCC"/>
            </w:tcBorders>
            <w:shd w:val="clear" w:color="auto" w:fill="2E75B6"/>
            <w:tcMar>
              <w:top w:w="80" w:type="dxa"/>
              <w:left w:w="120" w:type="dxa"/>
              <w:bottom w:w="80" w:type="dxa"/>
              <w:right w:w="120" w:type="dxa"/>
            </w:tcMar>
          </w:tcPr>
          <w:p w14:paraId="6E4B5518" w14:textId="77777777" w:rsidR="004044B1" w:rsidRDefault="00000000">
            <w:r>
              <w:rPr>
                <w:b/>
                <w:bCs/>
                <w:color w:val="FFFFFF"/>
                <w:sz w:val="19"/>
                <w:szCs w:val="19"/>
              </w:rPr>
              <w:t>Key Adjustment</w:t>
            </w:r>
          </w:p>
        </w:tc>
      </w:tr>
      <w:tr w:rsidR="004044B1" w14:paraId="0C70EE7A" w14:textId="77777777">
        <w:tc>
          <w:tcPr>
            <w:tcW w:w="2600" w:type="dxa"/>
            <w:tcBorders>
              <w:top w:val="single" w:sz="1" w:space="0" w:color="CCCCCC"/>
              <w:left w:val="single" w:sz="1" w:space="0" w:color="CCCCCC"/>
              <w:bottom w:val="single" w:sz="1" w:space="0" w:color="CCCCCC"/>
              <w:right w:val="single" w:sz="1" w:space="0" w:color="CCCCCC"/>
            </w:tcBorders>
            <w:shd w:val="clear" w:color="auto" w:fill="FFFFFF"/>
            <w:tcMar>
              <w:top w:w="80" w:type="dxa"/>
              <w:left w:w="120" w:type="dxa"/>
              <w:bottom w:w="80" w:type="dxa"/>
              <w:right w:w="120" w:type="dxa"/>
            </w:tcMar>
          </w:tcPr>
          <w:p w14:paraId="04A912C9" w14:textId="77777777" w:rsidR="004044B1" w:rsidRDefault="00000000">
            <w:r>
              <w:rPr>
                <w:b/>
                <w:bCs/>
                <w:sz w:val="19"/>
                <w:szCs w:val="19"/>
              </w:rPr>
              <w:t>Gross trade (customs value)</w:t>
            </w:r>
          </w:p>
        </w:tc>
        <w:tc>
          <w:tcPr>
            <w:tcW w:w="2600" w:type="dxa"/>
            <w:tcBorders>
              <w:top w:val="single" w:sz="1" w:space="0" w:color="CCCCCC"/>
              <w:left w:val="single" w:sz="1" w:space="0" w:color="CCCCCC"/>
              <w:bottom w:val="single" w:sz="1" w:space="0" w:color="CCCCCC"/>
              <w:right w:val="single" w:sz="1" w:space="0" w:color="CCCCCC"/>
            </w:tcBorders>
            <w:shd w:val="clear" w:color="auto" w:fill="FFFFFF"/>
            <w:tcMar>
              <w:top w:w="80" w:type="dxa"/>
              <w:left w:w="120" w:type="dxa"/>
              <w:bottom w:w="80" w:type="dxa"/>
              <w:right w:w="120" w:type="dxa"/>
            </w:tcMar>
          </w:tcPr>
          <w:p w14:paraId="65424E2F" w14:textId="77777777" w:rsidR="004044B1" w:rsidRDefault="00000000">
            <w:r>
              <w:rPr>
                <w:sz w:val="19"/>
                <w:szCs w:val="19"/>
              </w:rPr>
              <w:t>~$295–310B (2024)</w:t>
            </w:r>
          </w:p>
        </w:tc>
        <w:tc>
          <w:tcPr>
            <w:tcW w:w="4160" w:type="dxa"/>
            <w:tcBorders>
              <w:top w:val="single" w:sz="1" w:space="0" w:color="CCCCCC"/>
              <w:left w:val="single" w:sz="1" w:space="0" w:color="CCCCCC"/>
              <w:bottom w:val="single" w:sz="1" w:space="0" w:color="CCCCCC"/>
              <w:right w:val="single" w:sz="1" w:space="0" w:color="CCCCCC"/>
            </w:tcBorders>
            <w:shd w:val="clear" w:color="auto" w:fill="FFFFFF"/>
            <w:tcMar>
              <w:top w:w="80" w:type="dxa"/>
              <w:left w:w="120" w:type="dxa"/>
              <w:bottom w:w="80" w:type="dxa"/>
              <w:right w:w="120" w:type="dxa"/>
            </w:tcMar>
          </w:tcPr>
          <w:p w14:paraId="3BBE3E83" w14:textId="77777777" w:rsidR="004044B1" w:rsidRDefault="00000000">
            <w:r>
              <w:rPr>
                <w:sz w:val="19"/>
                <w:szCs w:val="19"/>
              </w:rPr>
              <w:t>Full declared import value; includes all embedded foreign content</w:t>
            </w:r>
          </w:p>
        </w:tc>
      </w:tr>
      <w:tr w:rsidR="004044B1" w14:paraId="67F4E325" w14:textId="77777777">
        <w:tc>
          <w:tcPr>
            <w:tcW w:w="2600" w:type="dxa"/>
            <w:tcBorders>
              <w:top w:val="single" w:sz="1" w:space="0" w:color="CCCCCC"/>
              <w:left w:val="single" w:sz="1" w:space="0" w:color="CCCCCC"/>
              <w:bottom w:val="single" w:sz="1" w:space="0" w:color="CCCCCC"/>
              <w:right w:val="single" w:sz="1" w:space="0" w:color="CCCCCC"/>
            </w:tcBorders>
            <w:shd w:val="clear" w:color="auto" w:fill="F5F7FA"/>
            <w:tcMar>
              <w:top w:w="80" w:type="dxa"/>
              <w:left w:w="120" w:type="dxa"/>
              <w:bottom w:w="80" w:type="dxa"/>
              <w:right w:w="120" w:type="dxa"/>
            </w:tcMar>
          </w:tcPr>
          <w:p w14:paraId="63796B5A" w14:textId="77777777" w:rsidR="004044B1" w:rsidRDefault="00000000">
            <w:r>
              <w:rPr>
                <w:b/>
                <w:bCs/>
                <w:sz w:val="19"/>
                <w:szCs w:val="19"/>
              </w:rPr>
              <w:t>Value-added trade basis</w:t>
            </w:r>
          </w:p>
        </w:tc>
        <w:tc>
          <w:tcPr>
            <w:tcW w:w="2600" w:type="dxa"/>
            <w:tcBorders>
              <w:top w:val="single" w:sz="1" w:space="0" w:color="CCCCCC"/>
              <w:left w:val="single" w:sz="1" w:space="0" w:color="CCCCCC"/>
              <w:bottom w:val="single" w:sz="1" w:space="0" w:color="CCCCCC"/>
              <w:right w:val="single" w:sz="1" w:space="0" w:color="CCCCCC"/>
            </w:tcBorders>
            <w:shd w:val="clear" w:color="auto" w:fill="F5F7FA"/>
            <w:tcMar>
              <w:top w:w="80" w:type="dxa"/>
              <w:left w:w="120" w:type="dxa"/>
              <w:bottom w:w="80" w:type="dxa"/>
              <w:right w:w="120" w:type="dxa"/>
            </w:tcMar>
          </w:tcPr>
          <w:p w14:paraId="44183BE7" w14:textId="77777777" w:rsidR="004044B1" w:rsidRDefault="00000000">
            <w:r>
              <w:rPr>
                <w:sz w:val="19"/>
                <w:szCs w:val="19"/>
              </w:rPr>
              <w:t>~$200–250B (est.)</w:t>
            </w:r>
          </w:p>
        </w:tc>
        <w:tc>
          <w:tcPr>
            <w:tcW w:w="4160" w:type="dxa"/>
            <w:tcBorders>
              <w:top w:val="single" w:sz="1" w:space="0" w:color="CCCCCC"/>
              <w:left w:val="single" w:sz="1" w:space="0" w:color="CCCCCC"/>
              <w:bottom w:val="single" w:sz="1" w:space="0" w:color="CCCCCC"/>
              <w:right w:val="single" w:sz="1" w:space="0" w:color="CCCCCC"/>
            </w:tcBorders>
            <w:shd w:val="clear" w:color="auto" w:fill="F5F7FA"/>
            <w:tcMar>
              <w:top w:w="80" w:type="dxa"/>
              <w:left w:w="120" w:type="dxa"/>
              <w:bottom w:w="80" w:type="dxa"/>
              <w:right w:w="120" w:type="dxa"/>
            </w:tcMar>
          </w:tcPr>
          <w:p w14:paraId="70BEEF72" w14:textId="77777777" w:rsidR="004044B1" w:rsidRDefault="00000000">
            <w:r>
              <w:rPr>
                <w:sz w:val="19"/>
                <w:szCs w:val="19"/>
              </w:rPr>
              <w:t>Removes American IP, Taiwanese semiconductor content, etc. from Chinese export value</w:t>
            </w:r>
          </w:p>
        </w:tc>
      </w:tr>
      <w:tr w:rsidR="004044B1" w14:paraId="57C05FD4" w14:textId="77777777">
        <w:tc>
          <w:tcPr>
            <w:tcW w:w="2600" w:type="dxa"/>
            <w:tcBorders>
              <w:top w:val="single" w:sz="1" w:space="0" w:color="CCCCCC"/>
              <w:left w:val="single" w:sz="1" w:space="0" w:color="CCCCCC"/>
              <w:bottom w:val="single" w:sz="1" w:space="0" w:color="CCCCCC"/>
              <w:right w:val="single" w:sz="1" w:space="0" w:color="CCCCCC"/>
            </w:tcBorders>
            <w:shd w:val="clear" w:color="auto" w:fill="FFFFFF"/>
            <w:tcMar>
              <w:top w:w="80" w:type="dxa"/>
              <w:left w:w="120" w:type="dxa"/>
              <w:bottom w:w="80" w:type="dxa"/>
              <w:right w:w="120" w:type="dxa"/>
            </w:tcMar>
          </w:tcPr>
          <w:p w14:paraId="38BAF083" w14:textId="77777777" w:rsidR="004044B1" w:rsidRDefault="00000000">
            <w:r>
              <w:rPr>
                <w:b/>
                <w:bCs/>
                <w:sz w:val="19"/>
                <w:szCs w:val="19"/>
              </w:rPr>
              <w:t>Implied reduction</w:t>
            </w:r>
          </w:p>
        </w:tc>
        <w:tc>
          <w:tcPr>
            <w:tcW w:w="2600" w:type="dxa"/>
            <w:tcBorders>
              <w:top w:val="single" w:sz="1" w:space="0" w:color="CCCCCC"/>
              <w:left w:val="single" w:sz="1" w:space="0" w:color="CCCCCC"/>
              <w:bottom w:val="single" w:sz="1" w:space="0" w:color="CCCCCC"/>
              <w:right w:val="single" w:sz="1" w:space="0" w:color="CCCCCC"/>
            </w:tcBorders>
            <w:shd w:val="clear" w:color="auto" w:fill="FFFFFF"/>
            <w:tcMar>
              <w:top w:w="80" w:type="dxa"/>
              <w:left w:w="120" w:type="dxa"/>
              <w:bottom w:w="80" w:type="dxa"/>
              <w:right w:w="120" w:type="dxa"/>
            </w:tcMar>
          </w:tcPr>
          <w:p w14:paraId="76A9A4E8" w14:textId="77777777" w:rsidR="004044B1" w:rsidRDefault="00000000">
            <w:r>
              <w:rPr>
                <w:sz w:val="19"/>
                <w:szCs w:val="19"/>
              </w:rPr>
              <w:t>~20–30%</w:t>
            </w:r>
          </w:p>
        </w:tc>
        <w:tc>
          <w:tcPr>
            <w:tcW w:w="4160" w:type="dxa"/>
            <w:tcBorders>
              <w:top w:val="single" w:sz="1" w:space="0" w:color="CCCCCC"/>
              <w:left w:val="single" w:sz="1" w:space="0" w:color="CCCCCC"/>
              <w:bottom w:val="single" w:sz="1" w:space="0" w:color="CCCCCC"/>
              <w:right w:val="single" w:sz="1" w:space="0" w:color="CCCCCC"/>
            </w:tcBorders>
            <w:shd w:val="clear" w:color="auto" w:fill="FFFFFF"/>
            <w:tcMar>
              <w:top w:w="80" w:type="dxa"/>
              <w:left w:w="120" w:type="dxa"/>
              <w:bottom w:w="80" w:type="dxa"/>
              <w:right w:w="120" w:type="dxa"/>
            </w:tcMar>
          </w:tcPr>
          <w:p w14:paraId="652857E2" w14:textId="77777777" w:rsidR="004044B1" w:rsidRDefault="00000000">
            <w:r>
              <w:rPr>
                <w:sz w:val="19"/>
                <w:szCs w:val="19"/>
              </w:rPr>
              <w:t>Consistent with Koopman, Wang &amp; Wei (2012); OECD-WTO TiVA database estimates</w:t>
            </w:r>
          </w:p>
        </w:tc>
      </w:tr>
    </w:tbl>
    <w:p w14:paraId="0A2922FB" w14:textId="77777777" w:rsidR="004044B1" w:rsidRDefault="004044B1">
      <w:pPr>
        <w:spacing w:before="80" w:after="80"/>
      </w:pPr>
    </w:p>
    <w:p w14:paraId="672FBE4A" w14:textId="77777777" w:rsidR="004044B1" w:rsidRDefault="00000000">
      <w:pPr>
        <w:spacing w:before="80" w:after="120"/>
      </w:pPr>
      <w:r>
        <w:t>The OECD–WTO Trade in Value Added (TiVA) database, which is the authoritative source for this methodology, confirms that China’s gross exports significantly overstate the domestic Chinese value embedded in those exports. For electronics and machinery—the largest categories in US–China goods trade—the foreign value-added share of Chinese gross exports has been estimated at 35–45%, meaning that for every $100 of Chinese electronics exports, $35–45 originates from inputs that were designed or produced outside China.</w:t>
      </w:r>
    </w:p>
    <w:p w14:paraId="2DA4052F" w14:textId="77777777" w:rsidR="004044B1" w:rsidRDefault="00000000">
      <w:pPr>
        <w:spacing w:before="80" w:after="120"/>
      </w:pPr>
      <w:r>
        <w:t>This has direct implications for how the Four-Bill Package should frame its trade balance benefit estimates. The CBA’s projected $100–250 billion per year improvement in the trade balance reflects gross trade flows. On a value-added basis, the baseline deficit is smaller and the improvement claim should be similarly calibrated. This does not undermine the policy case; it strengthens the analytical precision.</w:t>
      </w:r>
    </w:p>
    <w:p w14:paraId="0867AFEC" w14:textId="77777777" w:rsidR="004044B1" w:rsidRDefault="00000000">
      <w:pPr>
        <w:pStyle w:val="Heading2"/>
      </w:pPr>
      <w:r>
        <w:t>C. A Third Implication: The US–China GVA Comparison Is Asymmetrically Distorted</w:t>
      </w:r>
    </w:p>
    <w:p w14:paraId="0CD4AE07" w14:textId="77777777" w:rsidR="004044B1" w:rsidRDefault="00000000">
      <w:pPr>
        <w:spacing w:before="80" w:after="120"/>
      </w:pPr>
      <w:r>
        <w:t>A natural follow-on question is whether China’s $4.7 trillion manufacturing GVA is similarly inflated by its heavy reliance on imported semiconductors, Korean displays, German machinery, and other foreign-originated inputs. The answer requires precision: GVA methodology already nets out intermediate inputs by construction—including imported ones. China’s $4.7T GVA is gross manufacturing output minus all intermediate inputs, domestic and foreign. The TSMC chip, the Korean OLED panel, the Japanese precision bearing—all deducted before arriving at $4.7T. China’s GVA is not inflated by the imported inputs it processes; those are subtracted. What remains is genuinely Chinese: labor compensation, domestic capital consumption, and operating surplus on Chinese-owned assets.</w:t>
      </w:r>
    </w:p>
    <w:p w14:paraId="56250C59" w14:textId="77777777" w:rsidR="004044B1" w:rsidRDefault="00000000">
      <w:pPr>
        <w:spacing w:before="80" w:after="120"/>
      </w:pPr>
      <w:r>
        <w:t>The US–China manufacturing comparison is therefore asymmetrically distorted: the US figure is inflated by the FGP classification issue (IP returns on offshore production counted as manufacturing GVA), while China’s figure is not symmetrically inflated by imported input processing. The distortion runs primarily in one direction—upward on the US side. Correcting for the US FGP effect narrows the headline comparison from $2.9T vs. $4.7T to approximately $2.5T vs. $4.7T on a physical-production basis—a gap that is real, large, and the core motivation for this legislative package.</w:t>
      </w:r>
    </w:p>
    <w:p w14:paraId="665788F2" w14:textId="77777777" w:rsidR="004044B1" w:rsidRDefault="00000000">
      <w:pPr>
        <w:spacing w:before="80" w:after="120"/>
      </w:pPr>
      <w:r>
        <w:t xml:space="preserve">Three narrower mechanisms affect China’s GVA at the margin: (1) transfer pricing by multinationals booking inter-company profits in China above arm’s-length rates; (2) depreciation of foreign-designed capital equipment entering Chinese domestic capital consumption; and (3) the Apple/Foxconn dynamic, which actually runs the other way—Foxconn earns a manufacturing service fee (~$30–60 per iPhone in genuine Chinese labor and capital value) while Apple’s $300+ in IP returns accrues to US national income, not China’s. The net </w:t>
      </w:r>
      <w:r>
        <w:lastRenderedPageBreak/>
        <w:t>conclusion: the $2.9T vs. $4.7T comparison is distorted primarily by the US FGP classification issue, not by symmetric distortions on the Chinese side.</w:t>
      </w:r>
    </w:p>
    <w:p w14:paraId="472DAB38" w14:textId="77777777" w:rsidR="004044B1" w:rsidRDefault="00000000">
      <w:pPr>
        <w:pStyle w:val="Heading2"/>
      </w:pPr>
      <w:r>
        <w:t>D. What the Statement Should Actually Say</w:t>
      </w:r>
    </w:p>
    <w:p w14:paraId="3E0E4E1F" w14:textId="77777777" w:rsidR="004044B1" w:rsidRDefault="00000000">
      <w:pPr>
        <w:spacing w:before="80" w:after="120"/>
      </w:pPr>
      <w:r>
        <w:t>The original statement—“if the United States classified manufacturers the same way China does, U.S. manufacturing value-added would shrink by 30–40%”—is directionally correct but analytically imprecise in two ways: it conflates a classification change (which does not affect GDP) with a capacity gap (which is real but not GDP-measurable), and an earlier draft of this analysis incorrectly implied that China’s own GVA figure has a symmetric foreign-input inflation problem from the opposite direction. It does not—GVA methodology already nets out imported inputs by construction. The distortion runs primarily in one direction: upward on the US side.</w:t>
      </w:r>
    </w:p>
    <w:p w14:paraId="45D7DFBE" w14:textId="77777777" w:rsidR="004044B1" w:rsidRDefault="00000000">
      <w:pPr>
        <w:spacing w:before="80" w:after="120"/>
      </w:pPr>
      <w:r>
        <w:t>The following revised language is more precise and more defensible before Congressional staff or CBO:</w:t>
      </w:r>
    </w:p>
    <w:p w14:paraId="05AF45C2" w14:textId="77777777" w:rsidR="004044B1" w:rsidRDefault="004044B1">
      <w:pPr>
        <w:spacing w:before="80" w:after="80"/>
      </w:pPr>
    </w:p>
    <w:tbl>
      <w:tblPr>
        <w:tblW w:w="936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0" w:type="dxa"/>
          <w:right w:w="10" w:type="dxa"/>
        </w:tblCellMar>
        <w:tblLook w:val="0000" w:firstRow="0" w:lastRow="0" w:firstColumn="0" w:lastColumn="0" w:noHBand="0" w:noVBand="0"/>
      </w:tblPr>
      <w:tblGrid>
        <w:gridCol w:w="9360"/>
      </w:tblGrid>
      <w:tr w:rsidR="004044B1" w14:paraId="02A331E8" w14:textId="77777777">
        <w:tc>
          <w:tcPr>
            <w:tcW w:w="9360" w:type="dxa"/>
            <w:tcBorders>
              <w:left w:val="single" w:sz="12" w:space="0" w:color="2E75B6"/>
            </w:tcBorders>
            <w:shd w:val="clear" w:color="auto" w:fill="F5F8FF"/>
            <w:tcMar>
              <w:top w:w="80" w:type="dxa"/>
              <w:left w:w="240" w:type="dxa"/>
              <w:bottom w:w="80" w:type="dxa"/>
              <w:right w:w="120" w:type="dxa"/>
            </w:tcMar>
          </w:tcPr>
          <w:p w14:paraId="3013CCC3" w14:textId="77777777" w:rsidR="004044B1" w:rsidRDefault="00000000">
            <w:pPr>
              <w:spacing w:before="40" w:after="40"/>
            </w:pPr>
            <w:r>
              <w:rPr>
                <w:i/>
                <w:iCs/>
              </w:rPr>
              <w:t>Revised language: “If the United States measured manufacturing value-added on a physical-production basis—counting only domestic transformation activity, as China’s statistical system does—manufacturing GVA would shrink by 30–40%, from $2.9 trillion to approximately $1.7–2.0 trillion. This reclassification would not reduce US GDP; it would simply reveal that a substantial share of what BEA labels manufacturing is IP-intensive services activity supporting offshore production. The gap between $2.9 trillion and $1.7–2.0 trillion quantifies the scale of physical manufacturing capacity that has been replaced by design-and-offshore arrangements—precisely the capacity this legislative package is designed to rebuild. Separately, because Chinese-assembled goods embed substantial American-originated IP, US goods imports from China are overstated by an estimated 20–30% on a value-added basis relative to headline customs figures. Both measurements point to the same underlying reality: the United States has offshored physical production while retaining IP returns, and the policy challenge is to rebuild the production base without sacrificing the IP advantage.”</w:t>
            </w:r>
          </w:p>
        </w:tc>
      </w:tr>
    </w:tbl>
    <w:p w14:paraId="49BE3552" w14:textId="77777777" w:rsidR="004044B1" w:rsidRDefault="004044B1">
      <w:pPr>
        <w:spacing w:before="80" w:after="80"/>
      </w:pPr>
    </w:p>
    <w:p w14:paraId="211072CB" w14:textId="77777777" w:rsidR="004044B1" w:rsidRDefault="00000000">
      <w:pPr>
        <w:pStyle w:val="Heading2"/>
      </w:pPr>
      <w:r>
        <w:t>E. Implications for the CBA</w:t>
      </w:r>
    </w:p>
    <w:p w14:paraId="0F10A4B9" w14:textId="77777777" w:rsidR="004044B1" w:rsidRDefault="00000000">
      <w:pPr>
        <w:spacing w:before="80" w:after="120"/>
      </w:pPr>
      <w:r>
        <w:t>These national accounts points have three specific implications for the Four-Bill Package’s cost-benefit analysis:</w:t>
      </w:r>
    </w:p>
    <w:p w14:paraId="0C8C11EB" w14:textId="77777777" w:rsidR="004044B1" w:rsidRDefault="00000000">
      <w:pPr>
        <w:pStyle w:val="ListParagraph"/>
        <w:numPr>
          <w:ilvl w:val="0"/>
          <w:numId w:val="2"/>
        </w:numPr>
        <w:spacing w:before="60" w:after="60"/>
      </w:pPr>
      <w:r>
        <w:rPr>
          <w:b/>
          <w:bCs/>
        </w:rPr>
        <w:t>GDP multiplier applicability:</w:t>
      </w:r>
      <w:r>
        <w:t xml:space="preserve"> The 2.74× manufacturing multiplier should be applied only to the physical-production portion of the credit base, not to FGP IP activity. This is consistent with the recommendation in Part I to adopt Option B’s tiered rate structure, which already segregates these cost categories.</w:t>
      </w:r>
    </w:p>
    <w:p w14:paraId="74982D80" w14:textId="77777777" w:rsidR="004044B1" w:rsidRDefault="00000000">
      <w:pPr>
        <w:pStyle w:val="ListParagraph"/>
        <w:numPr>
          <w:ilvl w:val="0"/>
          <w:numId w:val="2"/>
        </w:numPr>
        <w:spacing w:before="60" w:after="60"/>
      </w:pPr>
      <w:r>
        <w:rPr>
          <w:b/>
          <w:bCs/>
        </w:rPr>
        <w:t>Trade balance benefit calibration:</w:t>
      </w:r>
      <w:r>
        <w:t xml:space="preserve"> The $100–250B per year trade balance improvement estimate reflects gross trade flows. The value-added-adjusted baseline deficit is 20–30% smaller, which means the absolute improvement claim should be similarly reduced—though the directional conclusion (the package substantially improves the trade balance) is unaffected.</w:t>
      </w:r>
    </w:p>
    <w:p w14:paraId="0D166C22" w14:textId="77777777" w:rsidR="004044B1" w:rsidRDefault="00000000">
      <w:pPr>
        <w:pStyle w:val="ListParagraph"/>
        <w:numPr>
          <w:ilvl w:val="0"/>
          <w:numId w:val="2"/>
        </w:numPr>
        <w:spacing w:before="60" w:after="60"/>
      </w:pPr>
      <w:r>
        <w:rPr>
          <w:b/>
          <w:bCs/>
        </w:rPr>
        <w:t>US–China manufacturing gap framing:</w:t>
      </w:r>
      <w:r>
        <w:t xml:space="preserve"> The most defensible framing is $2.5T vs. $4.7T on a physical-production basis (after removing FGP IP returns from the US figure). China’s GVA is not symmetrically inflated by imported input processing—those are </w:t>
      </w:r>
      <w:r>
        <w:lastRenderedPageBreak/>
        <w:t>already netted out. The gap is large and real; it does not need to be overstated to make the policy case.</w:t>
      </w:r>
    </w:p>
    <w:p w14:paraId="303F05BB" w14:textId="77777777" w:rsidR="004044B1" w:rsidRDefault="004044B1">
      <w:pPr>
        <w:spacing w:before="80" w:after="80"/>
      </w:pPr>
    </w:p>
    <w:p w14:paraId="7CCBA54E" w14:textId="77777777" w:rsidR="004044B1" w:rsidRDefault="004044B1">
      <w:pPr>
        <w:pBdr>
          <w:bottom w:val="single" w:sz="4" w:space="1" w:color="2E75B6"/>
        </w:pBdr>
        <w:spacing w:before="200" w:after="200"/>
      </w:pPr>
    </w:p>
    <w:p w14:paraId="2B91A164" w14:textId="77777777" w:rsidR="004044B1" w:rsidRDefault="00000000">
      <w:pPr>
        <w:pStyle w:val="Heading1"/>
      </w:pPr>
      <w:r>
        <w:t>Sources</w:t>
      </w:r>
    </w:p>
    <w:p w14:paraId="0CE93D24" w14:textId="77777777" w:rsidR="004044B1" w:rsidRDefault="00000000">
      <w:pPr>
        <w:pStyle w:val="ListParagraph"/>
        <w:numPr>
          <w:ilvl w:val="0"/>
          <w:numId w:val="2"/>
        </w:numPr>
        <w:spacing w:before="60" w:after="60"/>
      </w:pPr>
      <w:r>
        <w:t>IRS Notice 2026-16 (§168(n) Interim Guidance): https://www.irs.gov/pub/irs-drop/n-26-16.pdf</w:t>
      </w:r>
    </w:p>
    <w:p w14:paraId="6ADB5050" w14:textId="77777777" w:rsidR="004044B1" w:rsidRDefault="00000000">
      <w:pPr>
        <w:pStyle w:val="ListParagraph"/>
        <w:numPr>
          <w:ilvl w:val="0"/>
          <w:numId w:val="2"/>
        </w:numPr>
        <w:spacing w:before="60" w:after="60"/>
      </w:pPr>
      <w:r>
        <w:t>OMB NAICS 2022 Manual: https://www.census.gov/naics/reference_files_tools/2022_NAICS_Manual.pdf</w:t>
      </w:r>
    </w:p>
    <w:p w14:paraId="7AA4FCC7" w14:textId="77777777" w:rsidR="004044B1" w:rsidRDefault="00000000">
      <w:pPr>
        <w:pStyle w:val="ListParagraph"/>
        <w:numPr>
          <w:ilvl w:val="0"/>
          <w:numId w:val="2"/>
        </w:numPr>
        <w:spacing w:before="60" w:after="60"/>
      </w:pPr>
      <w:r>
        <w:t>Federal Register Vol. 79 No. 153 (Aug. 8, 2014): OMB notice on FGP non-implementation in NAICS 2017 (79 FR 46558)</w:t>
      </w:r>
    </w:p>
    <w:p w14:paraId="268257E7" w14:textId="77777777" w:rsidR="004044B1" w:rsidRDefault="00000000">
      <w:pPr>
        <w:pStyle w:val="ListParagraph"/>
        <w:numPr>
          <w:ilvl w:val="0"/>
          <w:numId w:val="2"/>
        </w:numPr>
        <w:spacing w:before="60" w:after="60"/>
      </w:pPr>
      <w:r>
        <w:t>Federal Register Vol. 80 No. 148 (Aug. 4, 2015): NAICS 2017 final updates</w:t>
      </w:r>
    </w:p>
    <w:p w14:paraId="71730B43" w14:textId="77777777" w:rsidR="004044B1" w:rsidRDefault="00000000">
      <w:pPr>
        <w:pStyle w:val="ListParagraph"/>
        <w:numPr>
          <w:ilvl w:val="0"/>
          <w:numId w:val="2"/>
        </w:numPr>
        <w:spacing w:before="60" w:after="60"/>
      </w:pPr>
      <w:r>
        <w:t>BEA, Research on Factoryless Goods Producers: https://www.bea.gov/research/factoryless-goods-producers</w:t>
      </w:r>
    </w:p>
    <w:p w14:paraId="6583FB14" w14:textId="77777777" w:rsidR="004044B1" w:rsidRDefault="00000000">
      <w:pPr>
        <w:pStyle w:val="ListParagraph"/>
        <w:numPr>
          <w:ilvl w:val="0"/>
          <w:numId w:val="2"/>
        </w:numPr>
        <w:spacing w:before="60" w:after="60"/>
      </w:pPr>
      <w:r>
        <w:t>BLS, Keeping NAICS Relevant – Identifying and Classifying FGPs: https://www.bls.gov/bls/factoryless_goods_producers.htm</w:t>
      </w:r>
    </w:p>
    <w:p w14:paraId="13442422" w14:textId="77777777" w:rsidR="004044B1" w:rsidRDefault="00000000">
      <w:pPr>
        <w:pStyle w:val="ListParagraph"/>
        <w:numPr>
          <w:ilvl w:val="0"/>
          <w:numId w:val="2"/>
        </w:numPr>
        <w:spacing w:before="60" w:after="60"/>
      </w:pPr>
      <w:r>
        <w:t>Gavekal Research, “Unraveling China’s Productivity Paradox” (2025): https://research.gavekal.com/article/unraveling-chinas-productivity-paradox/</w:t>
      </w:r>
    </w:p>
    <w:p w14:paraId="382AD51D" w14:textId="77777777" w:rsidR="004044B1" w:rsidRDefault="00000000">
      <w:pPr>
        <w:pStyle w:val="ListParagraph"/>
        <w:numPr>
          <w:ilvl w:val="0"/>
          <w:numId w:val="2"/>
        </w:numPr>
        <w:spacing w:before="60" w:after="60"/>
      </w:pPr>
      <w:r>
        <w:t>Bernard, Jensen &amp; Schott, “Factoryless Goods Producers in the US,” Census Working Paper CES-WP-13-46 (2013)</w:t>
      </w:r>
    </w:p>
    <w:p w14:paraId="5E3E8C2E" w14:textId="77777777" w:rsidR="004044B1" w:rsidRDefault="00000000">
      <w:pPr>
        <w:pStyle w:val="ListParagraph"/>
        <w:numPr>
          <w:ilvl w:val="0"/>
          <w:numId w:val="2"/>
        </w:numPr>
        <w:spacing w:before="60" w:after="60"/>
      </w:pPr>
      <w:r>
        <w:t>Kamal, “A Portrait of US Factoryless Goods Producers,” Census Working Paper CES-WP-18-43 (2018)</w:t>
      </w:r>
    </w:p>
    <w:p w14:paraId="2094A7F7" w14:textId="77777777" w:rsidR="004044B1" w:rsidRDefault="00000000">
      <w:pPr>
        <w:pStyle w:val="ListParagraph"/>
        <w:numPr>
          <w:ilvl w:val="0"/>
          <w:numId w:val="2"/>
        </w:numPr>
        <w:spacing w:before="60" w:after="60"/>
      </w:pPr>
      <w:r>
        <w:t>Kamal, Moulton &amp; Ribarsky, “Measuring Factoryless Manufacturing: Evidence from U.S. Surveys,” Census Working Paper CES-WP-13-44 (2013)</w:t>
      </w:r>
    </w:p>
    <w:p w14:paraId="01FC6DC0" w14:textId="77777777" w:rsidR="004044B1" w:rsidRDefault="00000000">
      <w:pPr>
        <w:pStyle w:val="ListParagraph"/>
        <w:numPr>
          <w:ilvl w:val="0"/>
          <w:numId w:val="2"/>
        </w:numPr>
        <w:spacing w:before="60" w:after="60"/>
      </w:pPr>
      <w:r>
        <w:t>Apple Inc., Form 10-K (FY2024); Nvidia Corp., Form 10-K (FY2025)</w:t>
      </w:r>
    </w:p>
    <w:p w14:paraId="4C0B0902" w14:textId="77777777" w:rsidR="004044B1" w:rsidRDefault="00000000">
      <w:pPr>
        <w:pStyle w:val="ListParagraph"/>
        <w:numPr>
          <w:ilvl w:val="0"/>
          <w:numId w:val="2"/>
        </w:numPr>
        <w:spacing w:before="60" w:after="60"/>
      </w:pPr>
      <w:r>
        <w:t>BEA, GDP by Industry Tables: https://apps.bea.gov/iTable/?reqid=150&amp;step=2</w:t>
      </w:r>
    </w:p>
    <w:p w14:paraId="5E657CA6" w14:textId="77777777" w:rsidR="004044B1" w:rsidRDefault="00000000">
      <w:pPr>
        <w:pStyle w:val="ListParagraph"/>
        <w:numPr>
          <w:ilvl w:val="0"/>
          <w:numId w:val="2"/>
        </w:numPr>
        <w:spacing w:before="60" w:after="60"/>
      </w:pPr>
      <w:r>
        <w:t>OBBBA §70307 (adding §168(n) to the Internal Revenue Code): Public Law 119-21, 139 Stat. 72 (July 4, 2025)</w:t>
      </w:r>
    </w:p>
    <w:p w14:paraId="766BE4DC" w14:textId="77777777" w:rsidR="004044B1" w:rsidRDefault="00000000">
      <w:pPr>
        <w:pStyle w:val="ListParagraph"/>
        <w:numPr>
          <w:ilvl w:val="0"/>
          <w:numId w:val="2"/>
        </w:numPr>
        <w:spacing w:before="60" w:after="60"/>
      </w:pPr>
      <w:r>
        <w:t>Koopman, Wang &amp; Wei, “Tracing Value-Added and Double Counting in Gross Exports,” American Economic Review (2014): https://www.aeaweb.org/articles?id=10.1257/aer.104.2.459</w:t>
      </w:r>
    </w:p>
    <w:p w14:paraId="2437D617" w14:textId="77777777" w:rsidR="004044B1" w:rsidRDefault="00000000">
      <w:pPr>
        <w:pStyle w:val="ListParagraph"/>
        <w:numPr>
          <w:ilvl w:val="0"/>
          <w:numId w:val="2"/>
        </w:numPr>
        <w:spacing w:before="60" w:after="60"/>
      </w:pPr>
      <w:r>
        <w:t>OECD–WTO Trade in Value Added (TiVA) Database: https://www.oecd.org/en/topics/trade-in-value-added.html</w:t>
      </w:r>
    </w:p>
    <w:p w14:paraId="0D1D081A" w14:textId="77777777" w:rsidR="004044B1" w:rsidRDefault="00000000">
      <w:pPr>
        <w:pStyle w:val="ListParagraph"/>
        <w:numPr>
          <w:ilvl w:val="0"/>
          <w:numId w:val="2"/>
        </w:numPr>
        <w:spacing w:before="60" w:after="60"/>
      </w:pPr>
      <w:r>
        <w:t>Gavekal Research, “Unraveling China’s Productivity Paradox” (2025): https://research.gavekal.com/article/unraveling-chinas-productivity-paradox/</w:t>
      </w:r>
    </w:p>
    <w:p w14:paraId="2DCC7575" w14:textId="77777777" w:rsidR="004044B1" w:rsidRDefault="00000000">
      <w:pPr>
        <w:pStyle w:val="ListParagraph"/>
        <w:numPr>
          <w:ilvl w:val="0"/>
          <w:numId w:val="2"/>
        </w:numPr>
        <w:spacing w:before="60" w:after="60"/>
      </w:pPr>
      <w:r>
        <w:t>BEA, “How Does BEA Measure the Supply Chain?” (methodology note on intermediate input accounting): https://www.bea.gov/resources/methodologies</w:t>
      </w:r>
    </w:p>
    <w:sectPr w:rsidR="004044B1">
      <w:footerReference w:type="default" r:id="rId7"/>
      <w:pgSz w:w="12240" w:h="15840"/>
      <w:pgMar w:top="1440" w:right="1440" w:bottom="1440" w:left="1440" w:header="708" w:footer="708"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532A651E" w14:textId="77777777" w:rsidR="00E85CB9" w:rsidRDefault="00E85CB9">
      <w:r>
        <w:separator/>
      </w:r>
    </w:p>
  </w:endnote>
  <w:endnote w:type="continuationSeparator" w:id="0">
    <w:p w14:paraId="798B305E" w14:textId="77777777" w:rsidR="00E85CB9" w:rsidRDefault="00E85CB9">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rial">
    <w:panose1 w:val="020B0604020202020204"/>
    <w:charset w:val="00"/>
    <w:family w:val="swiss"/>
    <w:pitch w:val="variable"/>
    <w:sig w:usb0="E0002EFF" w:usb1="C000785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DengXian Light">
    <w:altName w:val="等线 Light"/>
    <w:panose1 w:val="02010600030101010101"/>
    <w:charset w:val="86"/>
    <w:family w:val="auto"/>
    <w:pitch w:val="variable"/>
    <w:sig w:usb0="A00002BF" w:usb1="38CF7CFA" w:usb2="00000016" w:usb3="00000000" w:csb0="0004000F" w:csb1="00000000"/>
  </w:font>
  <w:font w:name="Aptos Display">
    <w:panose1 w:val="020B0004020202020204"/>
    <w:charset w:val="00"/>
    <w:family w:val="swiss"/>
    <w:pitch w:val="variable"/>
    <w:sig w:usb0="20000287" w:usb1="00000003" w:usb2="00000000" w:usb3="00000000" w:csb0="0000019F" w:csb1="00000000"/>
  </w:font>
  <w:font w:name="DengXian">
    <w:altName w:val="等线"/>
    <w:panose1 w:val="02010600030101010101"/>
    <w:charset w:val="86"/>
    <w:family w:val="auto"/>
    <w:pitch w:val="variable"/>
    <w:sig w:usb0="A00002BF" w:usb1="38CF7CFA" w:usb2="00000016" w:usb3="00000000" w:csb0="0004000F" w:csb1="00000000"/>
  </w:font>
  <w:font w:name="Aptos">
    <w:panose1 w:val="020B0004020202020204"/>
    <w:charset w:val="00"/>
    <w:family w:val="swiss"/>
    <w:pitch w:val="variable"/>
    <w:sig w:usb0="20000287" w:usb1="00000003"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653FDB2" w14:textId="77777777" w:rsidR="004044B1" w:rsidRDefault="00000000">
    <w:pPr>
      <w:jc w:val="center"/>
    </w:pPr>
    <w:r>
      <w:rPr>
        <w:color w:val="888888"/>
        <w:sz w:val="18"/>
        <w:szCs w:val="18"/>
      </w:rPr>
      <w:t xml:space="preserve">Rationalwave | Supplementary Manufacturing Policy Analysis | </w:t>
    </w:r>
    <w:r>
      <w:rPr>
        <w:color w:val="888888"/>
        <w:sz w:val="18"/>
        <w:szCs w:val="18"/>
      </w:rPr>
      <w:fldChar w:fldCharType="begin"/>
    </w:r>
    <w:r>
      <w:rPr>
        <w:color w:val="888888"/>
        <w:sz w:val="18"/>
        <w:szCs w:val="18"/>
      </w:rPr>
      <w:instrText>PAGE</w:instrText>
    </w:r>
    <w:r>
      <w:rPr>
        <w:color w:val="888888"/>
        <w:sz w:val="18"/>
        <w:szCs w:val="18"/>
      </w:rPr>
      <w:fldChar w:fldCharType="separate"/>
    </w:r>
    <w:r w:rsidR="00735B61">
      <w:rPr>
        <w:noProof/>
        <w:color w:val="888888"/>
        <w:sz w:val="18"/>
        <w:szCs w:val="18"/>
      </w:rPr>
      <w:t>1</w:t>
    </w:r>
    <w:r>
      <w:rPr>
        <w:color w:val="888888"/>
        <w:sz w:val="18"/>
        <w:szCs w:val="18"/>
      </w:rPr>
      <w:fldChar w:fldCharType="end"/>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C12986C" w14:textId="77777777" w:rsidR="00E85CB9" w:rsidRDefault="00E85CB9">
      <w:r>
        <w:separator/>
      </w:r>
    </w:p>
  </w:footnote>
  <w:footnote w:type="continuationSeparator" w:id="0">
    <w:p w14:paraId="308CAA08" w14:textId="77777777" w:rsidR="00E85CB9" w:rsidRDefault="00E85CB9">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E44688E"/>
    <w:multiLevelType w:val="hybridMultilevel"/>
    <w:tmpl w:val="B2C011FE"/>
    <w:lvl w:ilvl="0" w:tplc="7E96D722">
      <w:start w:val="1"/>
      <w:numFmt w:val="bullet"/>
      <w:lvlText w:val="•"/>
      <w:lvlJc w:val="left"/>
      <w:pPr>
        <w:ind w:left="720" w:hanging="360"/>
      </w:pPr>
    </w:lvl>
    <w:lvl w:ilvl="1" w:tplc="AD90E334">
      <w:numFmt w:val="decimal"/>
      <w:lvlText w:val=""/>
      <w:lvlJc w:val="left"/>
    </w:lvl>
    <w:lvl w:ilvl="2" w:tplc="C0F0713E">
      <w:numFmt w:val="decimal"/>
      <w:lvlText w:val=""/>
      <w:lvlJc w:val="left"/>
    </w:lvl>
    <w:lvl w:ilvl="3" w:tplc="E5EE9CD4">
      <w:numFmt w:val="decimal"/>
      <w:lvlText w:val=""/>
      <w:lvlJc w:val="left"/>
    </w:lvl>
    <w:lvl w:ilvl="4" w:tplc="14D0D014">
      <w:numFmt w:val="decimal"/>
      <w:lvlText w:val=""/>
      <w:lvlJc w:val="left"/>
    </w:lvl>
    <w:lvl w:ilvl="5" w:tplc="35404B24">
      <w:numFmt w:val="decimal"/>
      <w:lvlText w:val=""/>
      <w:lvlJc w:val="left"/>
    </w:lvl>
    <w:lvl w:ilvl="6" w:tplc="01CC5550">
      <w:numFmt w:val="decimal"/>
      <w:lvlText w:val=""/>
      <w:lvlJc w:val="left"/>
    </w:lvl>
    <w:lvl w:ilvl="7" w:tplc="6188FE40">
      <w:numFmt w:val="decimal"/>
      <w:lvlText w:val=""/>
      <w:lvlJc w:val="left"/>
    </w:lvl>
    <w:lvl w:ilvl="8" w:tplc="A7F4BBBA">
      <w:numFmt w:val="decimal"/>
      <w:lvlText w:val=""/>
      <w:lvlJc w:val="left"/>
    </w:lvl>
  </w:abstractNum>
  <w:abstractNum w:abstractNumId="1" w15:restartNumberingAfterBreak="0">
    <w:nsid w:val="3EA626D9"/>
    <w:multiLevelType w:val="hybridMultilevel"/>
    <w:tmpl w:val="32A2F7EE"/>
    <w:lvl w:ilvl="0" w:tplc="14566D08">
      <w:start w:val="1"/>
      <w:numFmt w:val="bullet"/>
      <w:lvlText w:val="●"/>
      <w:lvlJc w:val="left"/>
      <w:pPr>
        <w:ind w:left="720" w:hanging="360"/>
      </w:pPr>
    </w:lvl>
    <w:lvl w:ilvl="1" w:tplc="4CACEFA0">
      <w:start w:val="1"/>
      <w:numFmt w:val="bullet"/>
      <w:lvlText w:val="○"/>
      <w:lvlJc w:val="left"/>
      <w:pPr>
        <w:ind w:left="1440" w:hanging="360"/>
      </w:pPr>
    </w:lvl>
    <w:lvl w:ilvl="2" w:tplc="4B8A43A2">
      <w:start w:val="1"/>
      <w:numFmt w:val="bullet"/>
      <w:lvlText w:val="■"/>
      <w:lvlJc w:val="left"/>
      <w:pPr>
        <w:ind w:left="2160" w:hanging="360"/>
      </w:pPr>
    </w:lvl>
    <w:lvl w:ilvl="3" w:tplc="F630435C">
      <w:start w:val="1"/>
      <w:numFmt w:val="bullet"/>
      <w:lvlText w:val="●"/>
      <w:lvlJc w:val="left"/>
      <w:pPr>
        <w:ind w:left="2880" w:hanging="360"/>
      </w:pPr>
    </w:lvl>
    <w:lvl w:ilvl="4" w:tplc="843EA8CC">
      <w:start w:val="1"/>
      <w:numFmt w:val="bullet"/>
      <w:lvlText w:val="○"/>
      <w:lvlJc w:val="left"/>
      <w:pPr>
        <w:ind w:left="3600" w:hanging="360"/>
      </w:pPr>
    </w:lvl>
    <w:lvl w:ilvl="5" w:tplc="0332FCAE">
      <w:start w:val="1"/>
      <w:numFmt w:val="bullet"/>
      <w:lvlText w:val="■"/>
      <w:lvlJc w:val="left"/>
      <w:pPr>
        <w:ind w:left="4320" w:hanging="360"/>
      </w:pPr>
    </w:lvl>
    <w:lvl w:ilvl="6" w:tplc="2DFA450C">
      <w:start w:val="1"/>
      <w:numFmt w:val="bullet"/>
      <w:lvlText w:val="●"/>
      <w:lvlJc w:val="left"/>
      <w:pPr>
        <w:ind w:left="5040" w:hanging="360"/>
      </w:pPr>
    </w:lvl>
    <w:lvl w:ilvl="7" w:tplc="6CF6B3C2">
      <w:start w:val="1"/>
      <w:numFmt w:val="bullet"/>
      <w:lvlText w:val="●"/>
      <w:lvlJc w:val="left"/>
      <w:pPr>
        <w:ind w:left="5760" w:hanging="360"/>
      </w:pPr>
    </w:lvl>
    <w:lvl w:ilvl="8" w:tplc="87880292">
      <w:start w:val="1"/>
      <w:numFmt w:val="bullet"/>
      <w:lvlText w:val="●"/>
      <w:lvlJc w:val="left"/>
      <w:pPr>
        <w:ind w:left="6480" w:hanging="360"/>
      </w:pPr>
    </w:lvl>
  </w:abstractNum>
  <w:abstractNum w:abstractNumId="2" w15:restartNumberingAfterBreak="0">
    <w:nsid w:val="5B59239A"/>
    <w:multiLevelType w:val="hybridMultilevel"/>
    <w:tmpl w:val="09904196"/>
    <w:lvl w:ilvl="0" w:tplc="7706AAD0">
      <w:start w:val="1"/>
      <w:numFmt w:val="bullet"/>
      <w:lvlText w:val="◦"/>
      <w:lvlJc w:val="left"/>
      <w:pPr>
        <w:ind w:left="1080" w:hanging="360"/>
      </w:pPr>
    </w:lvl>
    <w:lvl w:ilvl="1" w:tplc="7C507AC0">
      <w:numFmt w:val="decimal"/>
      <w:lvlText w:val=""/>
      <w:lvlJc w:val="left"/>
    </w:lvl>
    <w:lvl w:ilvl="2" w:tplc="76669954">
      <w:numFmt w:val="decimal"/>
      <w:lvlText w:val=""/>
      <w:lvlJc w:val="left"/>
    </w:lvl>
    <w:lvl w:ilvl="3" w:tplc="BF187668">
      <w:numFmt w:val="decimal"/>
      <w:lvlText w:val=""/>
      <w:lvlJc w:val="left"/>
    </w:lvl>
    <w:lvl w:ilvl="4" w:tplc="02F274F2">
      <w:numFmt w:val="decimal"/>
      <w:lvlText w:val=""/>
      <w:lvlJc w:val="left"/>
    </w:lvl>
    <w:lvl w:ilvl="5" w:tplc="F894E1C6">
      <w:numFmt w:val="decimal"/>
      <w:lvlText w:val=""/>
      <w:lvlJc w:val="left"/>
    </w:lvl>
    <w:lvl w:ilvl="6" w:tplc="2578E26A">
      <w:numFmt w:val="decimal"/>
      <w:lvlText w:val=""/>
      <w:lvlJc w:val="left"/>
    </w:lvl>
    <w:lvl w:ilvl="7" w:tplc="A5DA4966">
      <w:numFmt w:val="decimal"/>
      <w:lvlText w:val=""/>
      <w:lvlJc w:val="left"/>
    </w:lvl>
    <w:lvl w:ilvl="8" w:tplc="5C803664">
      <w:numFmt w:val="decimal"/>
      <w:lvlText w:val=""/>
      <w:lvlJc w:val="left"/>
    </w:lvl>
  </w:abstractNum>
  <w:num w:numId="1" w16cid:durableId="54865274">
    <w:abstractNumId w:val="1"/>
    <w:lvlOverride w:ilvl="0">
      <w:startOverride w:val="1"/>
    </w:lvlOverride>
  </w:num>
  <w:num w:numId="2" w16cid:durableId="1213880064">
    <w:abstractNumId w:val="0"/>
    <w:lvlOverride w:ilvl="0">
      <w:startOverride w:val="1"/>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90"/>
  <w:displayBackgroundShape/>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4044B1"/>
    <w:rsid w:val="004044B1"/>
    <w:rsid w:val="0060498B"/>
    <w:rsid w:val="006F3CD4"/>
    <w:rsid w:val="00735B61"/>
    <w:rsid w:val="00924278"/>
    <w:rsid w:val="00A712A1"/>
    <w:rsid w:val="00A7219E"/>
    <w:rsid w:val="00CC4FE2"/>
    <w:rsid w:val="00E85CB9"/>
    <w:rsid w:val="00F47AEC"/>
  </w:rsids>
  <m:mathPr>
    <m:mathFont m:val="Cambria Math"/>
    <m:brkBin m:val="before"/>
    <m:brkBinSub m:val="--"/>
    <m:smallFrac m:val="0"/>
    <m:dispDef/>
    <m:lMargin m:val="0"/>
    <m:rMargin m:val="0"/>
    <m:defJc m:val="centerGroup"/>
    <m:wrapIndent m:val="1440"/>
    <m:intLim m:val="subSup"/>
    <m:naryLim m:val="undOvr"/>
  </m:mathPr>
  <w:themeFontLang w:val="en-US" w:eastAsia="zh-CN"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EB606F2"/>
  <w15:docId w15:val="{13D6CEB0-9526-8E46-8200-6E7C5D30877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uiPriority w:val="9"/>
    <w:qFormat/>
    <w:pPr>
      <w:spacing w:before="360" w:after="160"/>
      <w:outlineLvl w:val="0"/>
    </w:pPr>
    <w:rPr>
      <w:b/>
      <w:bCs/>
      <w:color w:val="1F3864"/>
      <w:sz w:val="32"/>
      <w:szCs w:val="32"/>
    </w:rPr>
  </w:style>
  <w:style w:type="paragraph" w:styleId="Heading2">
    <w:name w:val="heading 2"/>
    <w:uiPriority w:val="9"/>
    <w:unhideWhenUsed/>
    <w:qFormat/>
    <w:pPr>
      <w:spacing w:before="240" w:after="120"/>
      <w:outlineLvl w:val="1"/>
    </w:pPr>
    <w:rPr>
      <w:b/>
      <w:bCs/>
      <w:color w:val="2E75B6"/>
      <w:sz w:val="26"/>
      <w:szCs w:val="26"/>
    </w:rPr>
  </w:style>
  <w:style w:type="paragraph" w:styleId="Heading3">
    <w:name w:val="heading 3"/>
    <w:uiPriority w:val="9"/>
    <w:semiHidden/>
    <w:unhideWhenUsed/>
    <w:qFormat/>
    <w:pPr>
      <w:outlineLvl w:val="2"/>
    </w:pPr>
    <w:rPr>
      <w:color w:val="1F4D78"/>
      <w:sz w:val="24"/>
      <w:szCs w:val="24"/>
    </w:rPr>
  </w:style>
  <w:style w:type="paragraph" w:styleId="Heading4">
    <w:name w:val="heading 4"/>
    <w:uiPriority w:val="9"/>
    <w:semiHidden/>
    <w:unhideWhenUsed/>
    <w:qFormat/>
    <w:pPr>
      <w:outlineLvl w:val="3"/>
    </w:pPr>
    <w:rPr>
      <w:i/>
      <w:iCs/>
      <w:color w:val="2E74B5"/>
    </w:rPr>
  </w:style>
  <w:style w:type="paragraph" w:styleId="Heading5">
    <w:name w:val="heading 5"/>
    <w:uiPriority w:val="9"/>
    <w:semiHidden/>
    <w:unhideWhenUsed/>
    <w:qFormat/>
    <w:pPr>
      <w:outlineLvl w:val="4"/>
    </w:pPr>
    <w:rPr>
      <w:color w:val="2E74B5"/>
    </w:rPr>
  </w:style>
  <w:style w:type="paragraph" w:styleId="Heading6">
    <w:name w:val="heading 6"/>
    <w:uiPriority w:val="9"/>
    <w:semiHidden/>
    <w:unhideWhenUsed/>
    <w:qFormat/>
    <w:pPr>
      <w:outlineLvl w:val="5"/>
    </w:pPr>
    <w:rPr>
      <w:color w:val="1F4D7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uiPriority w:val="10"/>
    <w:qFormat/>
    <w:rPr>
      <w:sz w:val="56"/>
      <w:szCs w:val="56"/>
    </w:rPr>
  </w:style>
  <w:style w:type="paragraph" w:customStyle="1" w:styleId="Strong1">
    <w:name w:val="Strong1"/>
    <w:qFormat/>
    <w:rPr>
      <w:b/>
      <w:bCs/>
    </w:rPr>
  </w:style>
  <w:style w:type="paragraph" w:styleId="ListParagraph">
    <w:name w:val="List Paragraph"/>
    <w:qFormat/>
  </w:style>
  <w:style w:type="character" w:styleId="Hyperlink">
    <w:name w:val="Hyperlink"/>
    <w:uiPriority w:val="99"/>
    <w:unhideWhenUsed/>
    <w:rPr>
      <w:color w:val="0563C1"/>
      <w:u w:val="single"/>
    </w:rPr>
  </w:style>
  <w:style w:type="character" w:styleId="FootnoteReference">
    <w:name w:val="footnote reference"/>
    <w:uiPriority w:val="99"/>
    <w:semiHidden/>
    <w:unhideWhenUsed/>
    <w:rPr>
      <w:vertAlign w:val="superscript"/>
    </w:rPr>
  </w:style>
  <w:style w:type="paragraph" w:styleId="FootnoteText">
    <w:name w:val="footnote text"/>
    <w:link w:val="FootnoteTextChar"/>
    <w:uiPriority w:val="99"/>
    <w:semiHidden/>
    <w:unhideWhenUsed/>
    <w:rPr>
      <w:sz w:val="20"/>
      <w:szCs w:val="20"/>
    </w:rPr>
  </w:style>
  <w:style w:type="character" w:customStyle="1" w:styleId="FootnoteTextChar">
    <w:name w:val="Footnote Text Char"/>
    <w:link w:val="FootnoteText"/>
    <w:uiPriority w:val="99"/>
    <w:semiHidden/>
    <w:unhideWhenUsed/>
    <w:rPr>
      <w:sz w:val="20"/>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12700" cap="flat" cmpd="sng" algn="ctr">
          <a:solidFill>
            <a:schemeClr val="phClr"/>
          </a:solidFill>
          <a:prstDash val="solid"/>
          <a:miter lim="800000"/>
        </a:ln>
        <a:ln w="19050" cap="flat" cmpd="sng" algn="ctr">
          <a:solidFill>
            <a:schemeClr val="phClr"/>
          </a:solidFill>
          <a:prstDash val="solid"/>
          <a:miter lim="800000"/>
        </a:ln>
        <a:ln w="2540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lnDef>
      <a:spPr/>
      <a:bodyPr/>
      <a:lstStyle/>
      <a:style>
        <a:lnRef idx="2">
          <a:schemeClr val="accent1"/>
        </a:lnRef>
        <a:fillRef idx="0">
          <a:schemeClr val="accent1"/>
        </a:fillRef>
        <a:effectRef idx="1">
          <a:schemeClr val="accent1"/>
        </a:effectRef>
        <a:fontRef idx="minor">
          <a:schemeClr val="tx1"/>
        </a:fontRef>
      </a:style>
    </a:lnDef>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Normal.dotm</Template>
  <TotalTime>0</TotalTime>
  <Pages>20</Pages>
  <Words>7919</Words>
  <Characters>47439</Characters>
  <Application>Microsoft Office Word</Application>
  <DocSecurity>0</DocSecurity>
  <Lines>1009</Lines>
  <Paragraphs>457</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54901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Un-named</dc:creator>
  <cp:lastModifiedBy>Mark Rosenblatt</cp:lastModifiedBy>
  <cp:revision>2</cp:revision>
  <dcterms:created xsi:type="dcterms:W3CDTF">2026-03-07T19:44:00Z</dcterms:created>
  <dcterms:modified xsi:type="dcterms:W3CDTF">2026-03-07T19:44:00Z</dcterms:modified>
</cp:coreProperties>
</file>