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CBC76" w14:textId="77777777" w:rsidR="0064381C" w:rsidRPr="003270DA" w:rsidRDefault="0064381C" w:rsidP="0064381C">
      <w:pPr>
        <w:spacing w:after="60"/>
        <w:jc w:val="center"/>
        <w:rPr>
          <w:rFonts w:asciiTheme="majorBidi" w:hAnsiTheme="majorBidi" w:cstheme="majorBidi"/>
        </w:rPr>
      </w:pPr>
      <w:r>
        <w:rPr>
          <w:rFonts w:asciiTheme="majorBidi" w:hAnsiTheme="majorBidi" w:cstheme="majorBidi"/>
          <w:b/>
          <w:bCs/>
        </w:rPr>
        <w:t>DO IT NOW Act</w:t>
      </w:r>
    </w:p>
    <w:p w14:paraId="7226D95A" w14:textId="77777777" w:rsidR="0064381C" w:rsidRPr="003270DA" w:rsidRDefault="0064381C" w:rsidP="0064381C">
      <w:pPr>
        <w:spacing w:after="200"/>
        <w:jc w:val="center"/>
        <w:rPr>
          <w:rFonts w:asciiTheme="majorBidi" w:hAnsiTheme="majorBidi" w:cstheme="majorBidi"/>
        </w:rPr>
      </w:pPr>
      <w:bookmarkStart w:id="0" w:name="OLE_LINK1"/>
      <w:r>
        <w:rPr>
          <w:rFonts w:asciiTheme="majorBidi" w:hAnsiTheme="majorBidi" w:cstheme="majorBidi"/>
          <w:i/>
          <w:iCs/>
        </w:rPr>
        <w:t>Domestic Offensive and Defensive Industrial Transformation Now Act</w:t>
      </w:r>
    </w:p>
    <w:bookmarkEnd w:id="0"/>
    <w:p w14:paraId="2BA2ADE0" w14:textId="075459A5" w:rsidR="004D54F8" w:rsidRDefault="0064381C" w:rsidP="004D54F8">
      <w:pPr>
        <w:spacing w:after="100"/>
        <w:rPr>
          <w:rFonts w:asciiTheme="majorBidi" w:hAnsiTheme="majorBidi" w:cstheme="majorBidi"/>
          <w:sz w:val="21"/>
          <w:szCs w:val="21"/>
        </w:rPr>
      </w:pPr>
      <w:r>
        <w:rPr>
          <w:rFonts w:asciiTheme="majorBidi" w:hAnsiTheme="majorBidi" w:cstheme="majorBidi"/>
          <w:b/>
          <w:bCs/>
          <w:sz w:val="21"/>
          <w:szCs w:val="21"/>
        </w:rPr>
        <w:t xml:space="preserve">BLUF: </w:t>
      </w:r>
      <w:r>
        <w:rPr>
          <w:rFonts w:asciiTheme="majorBidi" w:hAnsiTheme="majorBidi" w:cstheme="majorBidi"/>
          <w:sz w:val="21"/>
          <w:szCs w:val="21"/>
        </w:rPr>
        <w:t xml:space="preserve">DO IT NOW adds </w:t>
      </w:r>
      <w:r w:rsidR="004D54F8">
        <w:rPr>
          <w:rFonts w:asciiTheme="majorBidi" w:hAnsiTheme="majorBidi" w:cstheme="majorBidi"/>
          <w:sz w:val="21"/>
          <w:szCs w:val="21"/>
        </w:rPr>
        <w:t xml:space="preserve">up to a 10% </w:t>
      </w:r>
      <w:r>
        <w:rPr>
          <w:rFonts w:asciiTheme="majorBidi" w:hAnsiTheme="majorBidi" w:cstheme="majorBidi"/>
          <w:sz w:val="21"/>
          <w:szCs w:val="21"/>
        </w:rPr>
        <w:t xml:space="preserve">an enhanced transferable credit (Section 38B) for </w:t>
      </w:r>
      <w:r>
        <w:rPr>
          <w:rFonts w:asciiTheme="majorBidi" w:hAnsiTheme="majorBidi" w:cstheme="majorBidi"/>
          <w:b/>
          <w:bCs/>
          <w:sz w:val="21"/>
          <w:szCs w:val="21"/>
        </w:rPr>
        <w:t>strategic sectors</w:t>
      </w:r>
      <w:r>
        <w:rPr>
          <w:rFonts w:asciiTheme="majorBidi" w:hAnsiTheme="majorBidi" w:cstheme="majorBidi"/>
          <w:sz w:val="21"/>
          <w:szCs w:val="21"/>
        </w:rPr>
        <w:t xml:space="preserve">, stacking on top of MINA’s </w:t>
      </w:r>
      <w:r w:rsidR="004D54F8">
        <w:rPr>
          <w:rFonts w:asciiTheme="majorBidi" w:hAnsiTheme="majorBidi" w:cstheme="majorBidi"/>
          <w:sz w:val="21"/>
          <w:szCs w:val="21"/>
        </w:rPr>
        <w:t xml:space="preserve">6% </w:t>
      </w:r>
      <w:r>
        <w:rPr>
          <w:rFonts w:asciiTheme="majorBidi" w:hAnsiTheme="majorBidi" w:cstheme="majorBidi"/>
          <w:sz w:val="21"/>
          <w:szCs w:val="21"/>
        </w:rPr>
        <w:t xml:space="preserve">credit (Section 38A). Together, the combined credit ranges delivering substantial benefits to ALL manufacturers across 14 strategic sectors—including those investing, scaling up, or operating on thin margins. DO IT NOW has a 22-year built-in sunset: 12 years full credit, then 10-year phase-out. </w:t>
      </w:r>
    </w:p>
    <w:p w14:paraId="576D4469" w14:textId="2695BEC6" w:rsidR="0064381C" w:rsidRPr="003270DA" w:rsidRDefault="0064381C" w:rsidP="004D54F8">
      <w:pPr>
        <w:spacing w:after="100"/>
        <w:rPr>
          <w:rFonts w:asciiTheme="majorBidi" w:hAnsiTheme="majorBidi" w:cstheme="majorBidi"/>
          <w:sz w:val="21"/>
          <w:szCs w:val="21"/>
        </w:rPr>
      </w:pPr>
      <w:r>
        <w:rPr>
          <w:rFonts w:asciiTheme="majorBidi" w:hAnsiTheme="majorBidi" w:cstheme="majorBidi"/>
          <w:b/>
          <w:bCs/>
          <w:sz w:val="20"/>
          <w:szCs w:val="20"/>
        </w:rPr>
        <w:t xml:space="preserve">We will likely overspend on this, but that's preferable to underspending. </w:t>
      </w:r>
      <w:r w:rsidR="004D54F8">
        <w:rPr>
          <w:rFonts w:asciiTheme="majorBidi" w:hAnsiTheme="majorBidi" w:cstheme="majorBidi"/>
          <w:b/>
          <w:bCs/>
          <w:sz w:val="20"/>
          <w:szCs w:val="20"/>
        </w:rPr>
        <w:t>Selecting winners across many thousands of companies is doomed to fail</w:t>
      </w:r>
      <w:r>
        <w:rPr>
          <w:rFonts w:asciiTheme="majorBidi" w:hAnsiTheme="majorBidi" w:cstheme="majorBidi"/>
          <w:b/>
          <w:bCs/>
          <w:sz w:val="20"/>
          <w:szCs w:val="20"/>
        </w:rPr>
        <w:t xml:space="preserve">; only the free market, </w:t>
      </w:r>
      <w:r w:rsidR="004D54F8">
        <w:rPr>
          <w:rFonts w:asciiTheme="majorBidi" w:hAnsiTheme="majorBidi" w:cstheme="majorBidi"/>
          <w:b/>
          <w:bCs/>
          <w:sz w:val="20"/>
          <w:szCs w:val="20"/>
        </w:rPr>
        <w:t>incented financially, can drive the required</w:t>
      </w:r>
      <w:r>
        <w:rPr>
          <w:rFonts w:asciiTheme="majorBidi" w:hAnsiTheme="majorBidi" w:cstheme="majorBidi"/>
          <w:b/>
          <w:bCs/>
          <w:sz w:val="20"/>
          <w:szCs w:val="20"/>
        </w:rPr>
        <w:t xml:space="preserve"> </w:t>
      </w:r>
      <w:r w:rsidR="004D54F8">
        <w:rPr>
          <w:rFonts w:asciiTheme="majorBidi" w:hAnsiTheme="majorBidi" w:cstheme="majorBidi"/>
          <w:b/>
          <w:bCs/>
          <w:sz w:val="20"/>
          <w:szCs w:val="20"/>
        </w:rPr>
        <w:t xml:space="preserve">investment, leadership, and </w:t>
      </w:r>
      <w:r>
        <w:rPr>
          <w:rFonts w:asciiTheme="majorBidi" w:hAnsiTheme="majorBidi" w:cstheme="majorBidi"/>
          <w:b/>
          <w:bCs/>
          <w:sz w:val="20"/>
          <w:szCs w:val="20"/>
        </w:rPr>
        <w:t>innovation</w:t>
      </w:r>
      <w:r w:rsidR="004D54F8">
        <w:rPr>
          <w:rFonts w:asciiTheme="majorBidi" w:hAnsiTheme="majorBidi" w:cstheme="majorBidi"/>
          <w:b/>
          <w:bCs/>
          <w:sz w:val="20"/>
          <w:szCs w:val="20"/>
        </w:rPr>
        <w:t xml:space="preserve">. </w:t>
      </w:r>
      <w:r>
        <w:rPr>
          <w:rFonts w:asciiTheme="majorBidi" w:hAnsiTheme="majorBidi" w:cstheme="majorBidi"/>
          <w:b/>
          <w:bCs/>
          <w:sz w:val="20"/>
          <w:szCs w:val="20"/>
        </w:rPr>
        <w:t>This is USA’s superpower. We must support it vigorously.</w:t>
      </w:r>
    </w:p>
    <w:p w14:paraId="15E64D95" w14:textId="77777777" w:rsidR="0064381C" w:rsidRPr="003270DA" w:rsidRDefault="0064381C" w:rsidP="0064381C">
      <w:pPr>
        <w:pStyle w:val="Heading2"/>
        <w:spacing w:before="240"/>
        <w:contextualSpacing/>
        <w:rPr>
          <w:rFonts w:asciiTheme="majorBidi" w:hAnsiTheme="majorBidi"/>
          <w:sz w:val="22"/>
          <w:szCs w:val="22"/>
        </w:rPr>
      </w:pPr>
      <w:r>
        <w:rPr>
          <w:rFonts w:asciiTheme="majorBidi" w:eastAsia="Times New Roman" w:hAnsiTheme="majorBidi"/>
          <w:b/>
          <w:bCs/>
          <w:sz w:val="22"/>
          <w:szCs w:val="22"/>
        </w:rPr>
        <w:t>THE PROBLEM: Strategic Sector Collapse</w:t>
      </w:r>
    </w:p>
    <w:p w14:paraId="3F3B1403" w14:textId="0E422A67" w:rsidR="0064381C" w:rsidRPr="003270DA" w:rsidRDefault="0064381C" w:rsidP="0064381C">
      <w:pPr>
        <w:spacing w:after="100"/>
        <w:contextualSpacing/>
        <w:rPr>
          <w:rFonts w:asciiTheme="majorBidi" w:hAnsiTheme="majorBidi" w:cstheme="majorBidi"/>
        </w:rPr>
      </w:pPr>
      <w:r>
        <w:rPr>
          <w:rFonts w:asciiTheme="majorBidi" w:hAnsiTheme="majorBidi" w:cstheme="majorBidi"/>
        </w:rPr>
        <w:t xml:space="preserve">The U.S. defense industrial base is in structural crisis. U.S. machine tool production is down more than 65% since 1998. The </w:t>
      </w:r>
      <w:r w:rsidR="004D54F8">
        <w:rPr>
          <w:rFonts w:asciiTheme="majorBidi" w:hAnsiTheme="majorBidi" w:cstheme="majorBidi"/>
        </w:rPr>
        <w:t xml:space="preserve">Iran and </w:t>
      </w:r>
      <w:r>
        <w:rPr>
          <w:rFonts w:asciiTheme="majorBidi" w:hAnsiTheme="majorBidi" w:cstheme="majorBidi"/>
        </w:rPr>
        <w:t xml:space="preserve">Ukraine conflicts exposed the inability to surge artillery, missiles, and air defense production at the volumes </w:t>
      </w:r>
      <w:r w:rsidR="004D54F8">
        <w:rPr>
          <w:rFonts w:asciiTheme="majorBidi" w:hAnsiTheme="majorBidi" w:cstheme="majorBidi"/>
        </w:rPr>
        <w:t xml:space="preserve">and types of weapons </w:t>
      </w:r>
      <w:r>
        <w:rPr>
          <w:rFonts w:asciiTheme="majorBidi" w:hAnsiTheme="majorBidi" w:cstheme="majorBidi"/>
        </w:rPr>
        <w:t>modern warfare demands. China produces more naval tonnage annually than all other nations combined. The U.S. has lost virtually all domestic semiconductor fab, telecom equipment, and rare earth processing capacity. Specialty alloys, superalloys, and energetic materials face acute foreign dependency. Strategic sectors face 30–60% cost disadvantages vs. China. Startups and scaling manufacturers in semiconductors, chemicals, pharmaceutical inputs, batteries, rare earths, directed energy, quantum systems, and space cannot compete against massive DO IT NOW directly funds the missing middle: Tier 1–</w:t>
      </w:r>
      <w:r w:rsidR="004D54F8">
        <w:rPr>
          <w:rFonts w:asciiTheme="majorBidi" w:hAnsiTheme="majorBidi" w:cstheme="majorBidi"/>
        </w:rPr>
        <w:t>n</w:t>
      </w:r>
      <w:r>
        <w:rPr>
          <w:rFonts w:asciiTheme="majorBidi" w:hAnsiTheme="majorBidi" w:cstheme="majorBidi"/>
        </w:rPr>
        <w:t xml:space="preserve"> suppliers, early-stage defense manufacturers, and capital-intensive strategic sector startups that generate credits before they generate taxable income.</w:t>
      </w:r>
    </w:p>
    <w:p w14:paraId="587B8A7C" w14:textId="77777777" w:rsidR="0064381C" w:rsidRPr="003270DA" w:rsidRDefault="0064381C" w:rsidP="0064381C">
      <w:pPr>
        <w:pStyle w:val="Heading2"/>
        <w:spacing w:before="240"/>
        <w:rPr>
          <w:rFonts w:asciiTheme="majorBidi" w:hAnsiTheme="majorBidi"/>
          <w:sz w:val="22"/>
          <w:szCs w:val="22"/>
        </w:rPr>
      </w:pPr>
      <w:r>
        <w:rPr>
          <w:rFonts w:asciiTheme="majorBidi" w:eastAsia="Times New Roman" w:hAnsiTheme="majorBidi"/>
          <w:b/>
          <w:bCs/>
          <w:sz w:val="22"/>
          <w:szCs w:val="22"/>
        </w:rPr>
        <w:t>THE SOLUTION: Enhanced Transferable Credit (Section 38B)</w:t>
      </w:r>
    </w:p>
    <w:p w14:paraId="167C9742" w14:textId="77777777" w:rsidR="0064381C" w:rsidRDefault="0064381C" w:rsidP="0064381C">
      <w:pPr>
        <w:pStyle w:val="ListParagraph"/>
        <w:numPr>
          <w:ilvl w:val="0"/>
          <w:numId w:val="11"/>
        </w:numPr>
        <w:spacing w:after="60"/>
        <w:rPr>
          <w:rFonts w:asciiTheme="majorBidi" w:hAnsiTheme="majorBidi" w:cstheme="majorBidi"/>
        </w:rPr>
      </w:pPr>
      <w:r>
        <w:rPr>
          <w:rFonts w:asciiTheme="majorBidi" w:hAnsiTheme="majorBidi" w:cstheme="majorBidi"/>
          <w:b/>
          <w:bCs/>
        </w:rPr>
        <w:t>Prerequisite:</w:t>
      </w:r>
      <w:r>
        <w:rPr>
          <w:rFonts w:asciiTheme="majorBidi" w:hAnsiTheme="majorBidi" w:cstheme="majorBidi"/>
        </w:rPr>
        <w:t xml:space="preserve"> Requires valid MINA (Section 38A) election for same tax year</w:t>
      </w:r>
    </w:p>
    <w:p w14:paraId="222FC64B" w14:textId="2D93FCA4" w:rsidR="004A71F4" w:rsidRPr="004A71F4" w:rsidRDefault="004A71F4" w:rsidP="004A71F4">
      <w:pPr>
        <w:pStyle w:val="ListParagraph"/>
        <w:numPr>
          <w:ilvl w:val="0"/>
          <w:numId w:val="11"/>
        </w:numPr>
        <w:spacing w:after="60"/>
        <w:rPr>
          <w:rFonts w:asciiTheme="majorBidi" w:hAnsiTheme="majorBidi" w:cstheme="majorBidi"/>
        </w:rPr>
      </w:pPr>
      <w:r>
        <w:rPr>
          <w:rFonts w:asciiTheme="majorBidi" w:hAnsiTheme="majorBidi" w:cstheme="majorBidi"/>
          <w:b/>
          <w:bCs/>
        </w:rPr>
        <w:t>DVA Costs:</w:t>
      </w:r>
      <w:r>
        <w:rPr>
          <w:rFonts w:asciiTheme="majorBidi" w:hAnsiTheme="majorBidi" w:cstheme="majorBidi"/>
        </w:rPr>
        <w:t xml:space="preserve"> Domestic labor / materials + depreciation on domestic-origin assets + R&amp;D + overhead</w:t>
      </w:r>
    </w:p>
    <w:p w14:paraId="44C37B25" w14:textId="1866D285" w:rsidR="0064381C" w:rsidRPr="003270DA" w:rsidRDefault="0064381C" w:rsidP="0064381C">
      <w:pPr>
        <w:pStyle w:val="ListParagraph"/>
        <w:numPr>
          <w:ilvl w:val="0"/>
          <w:numId w:val="11"/>
        </w:numPr>
        <w:spacing w:after="60"/>
        <w:rPr>
          <w:rFonts w:asciiTheme="majorBidi" w:hAnsiTheme="majorBidi" w:cstheme="majorBidi"/>
        </w:rPr>
      </w:pPr>
      <w:r>
        <w:rPr>
          <w:rFonts w:asciiTheme="majorBidi" w:hAnsiTheme="majorBidi" w:cstheme="majorBidi"/>
          <w:b/>
          <w:bCs/>
        </w:rPr>
        <w:t>Base</w:t>
      </w:r>
      <w:r w:rsidR="004D54F8">
        <w:rPr>
          <w:rFonts w:asciiTheme="majorBidi" w:hAnsiTheme="majorBidi" w:cstheme="majorBidi"/>
          <w:b/>
          <w:bCs/>
        </w:rPr>
        <w:t>/Bonus</w:t>
      </w:r>
      <w:r>
        <w:rPr>
          <w:rFonts w:asciiTheme="majorBidi" w:hAnsiTheme="majorBidi" w:cstheme="majorBidi"/>
          <w:b/>
          <w:bCs/>
        </w:rPr>
        <w:t xml:space="preserve"> Strategic Credit = </w:t>
      </w:r>
      <w:r>
        <w:rPr>
          <w:rFonts w:asciiTheme="majorBidi" w:hAnsiTheme="majorBidi" w:cstheme="majorBidi"/>
        </w:rPr>
        <w:t>8%</w:t>
      </w:r>
      <w:r w:rsidR="004D54F8">
        <w:rPr>
          <w:rFonts w:asciiTheme="majorBidi" w:hAnsiTheme="majorBidi" w:cstheme="majorBidi"/>
        </w:rPr>
        <w:t>/10%</w:t>
      </w:r>
      <w:r>
        <w:rPr>
          <w:rFonts w:asciiTheme="majorBidi" w:hAnsiTheme="majorBidi" w:cstheme="majorBidi"/>
        </w:rPr>
        <w:t xml:space="preserve"> × DVA Scaling Fraction × DVA Costs</w:t>
      </w:r>
    </w:p>
    <w:p w14:paraId="23996F64" w14:textId="1FD387E8" w:rsidR="0064381C" w:rsidRPr="004D54F8" w:rsidRDefault="0064381C" w:rsidP="004D54F8">
      <w:pPr>
        <w:pStyle w:val="ListParagraph"/>
        <w:numPr>
          <w:ilvl w:val="0"/>
          <w:numId w:val="11"/>
        </w:numPr>
        <w:spacing w:after="60"/>
        <w:rPr>
          <w:rFonts w:asciiTheme="majorBidi" w:hAnsiTheme="majorBidi" w:cstheme="majorBidi"/>
        </w:rPr>
      </w:pPr>
      <w:r>
        <w:rPr>
          <w:rFonts w:asciiTheme="majorBidi" w:hAnsiTheme="majorBidi" w:cstheme="majorBidi"/>
          <w:b/>
          <w:bCs/>
        </w:rPr>
        <w:t>Combined with MINA (base</w:t>
      </w:r>
      <w:r w:rsidR="004D54F8">
        <w:rPr>
          <w:rFonts w:asciiTheme="majorBidi" w:hAnsiTheme="majorBidi" w:cstheme="majorBidi"/>
          <w:b/>
          <w:bCs/>
        </w:rPr>
        <w:t>/bonus</w:t>
      </w:r>
      <w:r>
        <w:rPr>
          <w:rFonts w:asciiTheme="majorBidi" w:hAnsiTheme="majorBidi" w:cstheme="majorBidi"/>
          <w:b/>
          <w:bCs/>
        </w:rPr>
        <w:t xml:space="preserve">): </w:t>
      </w:r>
      <w:r>
        <w:rPr>
          <w:rFonts w:asciiTheme="majorBidi" w:hAnsiTheme="majorBidi" w:cstheme="majorBidi"/>
        </w:rPr>
        <w:t>max credit – 5%</w:t>
      </w:r>
      <w:r w:rsidR="004D54F8">
        <w:rPr>
          <w:rFonts w:asciiTheme="majorBidi" w:hAnsiTheme="majorBidi" w:cstheme="majorBidi"/>
        </w:rPr>
        <w:t>/6%</w:t>
      </w:r>
      <w:r>
        <w:rPr>
          <w:rFonts w:asciiTheme="majorBidi" w:hAnsiTheme="majorBidi" w:cstheme="majorBidi"/>
        </w:rPr>
        <w:t xml:space="preserve"> + 8%</w:t>
      </w:r>
      <w:r w:rsidR="004D54F8">
        <w:rPr>
          <w:rFonts w:asciiTheme="majorBidi" w:hAnsiTheme="majorBidi" w:cstheme="majorBidi"/>
        </w:rPr>
        <w:t>/10%</w:t>
      </w:r>
      <w:r>
        <w:rPr>
          <w:rFonts w:asciiTheme="majorBidi" w:hAnsiTheme="majorBidi" w:cstheme="majorBidi"/>
        </w:rPr>
        <w:t xml:space="preserve"> = 13% </w:t>
      </w:r>
      <w:r w:rsidR="004D54F8">
        <w:rPr>
          <w:rFonts w:asciiTheme="majorBidi" w:hAnsiTheme="majorBidi" w:cstheme="majorBidi"/>
        </w:rPr>
        <w:t>/16%</w:t>
      </w:r>
    </w:p>
    <w:p w14:paraId="50530234" w14:textId="77777777" w:rsidR="0064381C" w:rsidRPr="003270DA" w:rsidRDefault="0064381C" w:rsidP="0064381C">
      <w:pPr>
        <w:pStyle w:val="ListParagraph"/>
        <w:numPr>
          <w:ilvl w:val="0"/>
          <w:numId w:val="11"/>
        </w:numPr>
        <w:spacing w:after="60"/>
        <w:rPr>
          <w:rFonts w:asciiTheme="majorBidi" w:hAnsiTheme="majorBidi" w:cstheme="majorBidi"/>
        </w:rPr>
      </w:pPr>
      <w:r>
        <w:rPr>
          <w:rFonts w:asciiTheme="majorBidi" w:hAnsiTheme="majorBidi" w:cstheme="majorBidi"/>
          <w:b/>
          <w:bCs/>
        </w:rPr>
        <w:t>Transferability:</w:t>
      </w:r>
      <w:r>
        <w:rPr>
          <w:rFonts w:asciiTheme="majorBidi" w:hAnsiTheme="majorBidi" w:cstheme="majorBidi"/>
        </w:rPr>
        <w:t xml:space="preserve"> Credits sellable to qualified domestic manufacturers (DVA ≥ 40%) or to Treasury at 85%</w:t>
      </w:r>
    </w:p>
    <w:p w14:paraId="5B92877D" w14:textId="77777777" w:rsidR="0064381C" w:rsidRPr="00AB05B8" w:rsidRDefault="0064381C" w:rsidP="0064381C">
      <w:pPr>
        <w:pStyle w:val="ListParagraph"/>
        <w:numPr>
          <w:ilvl w:val="0"/>
          <w:numId w:val="11"/>
        </w:numPr>
        <w:spacing w:after="60"/>
        <w:rPr>
          <w:rFonts w:asciiTheme="majorBidi" w:hAnsiTheme="majorBidi" w:cstheme="majorBidi"/>
        </w:rPr>
      </w:pPr>
      <w:r>
        <w:rPr>
          <w:rFonts w:asciiTheme="majorBidi" w:hAnsiTheme="majorBidi" w:cstheme="majorBidi"/>
          <w:b/>
          <w:bCs/>
        </w:rPr>
        <w:t>Bonus Credit:</w:t>
      </w:r>
      <w:r>
        <w:rPr>
          <w:rFonts w:asciiTheme="majorBidi" w:hAnsiTheme="majorBidi" w:cstheme="majorBidi"/>
        </w:rPr>
        <w:t xml:space="preserve"> Following the proven IRA precedent (Section 45), the 8% base rate increases to 10% (+25% premium) for qualified reinvestment electors meeting </w:t>
      </w:r>
      <w:r>
        <w:rPr>
          <w:rFonts w:asciiTheme="majorBidi" w:hAnsiTheme="majorBidi" w:cstheme="majorBidi"/>
          <w:b/>
          <w:bCs/>
          <w:i/>
          <w:iCs/>
        </w:rPr>
        <w:t>any one</w:t>
      </w:r>
      <w:r>
        <w:rPr>
          <w:rFonts w:asciiTheme="majorBidi" w:hAnsiTheme="majorBidi" w:cstheme="majorBidi"/>
        </w:rPr>
        <w:t xml:space="preserve"> of three tests (see bill)</w:t>
      </w:r>
    </w:p>
    <w:p w14:paraId="1F64B801" w14:textId="77777777" w:rsidR="0064381C" w:rsidRPr="003270DA" w:rsidRDefault="0064381C" w:rsidP="0064381C">
      <w:pPr>
        <w:pStyle w:val="Heading2"/>
        <w:spacing w:before="240"/>
        <w:rPr>
          <w:rFonts w:asciiTheme="majorBidi" w:hAnsiTheme="majorBidi"/>
          <w:sz w:val="22"/>
          <w:szCs w:val="22"/>
        </w:rPr>
      </w:pPr>
      <w:r>
        <w:rPr>
          <w:rFonts w:asciiTheme="majorBidi" w:eastAsia="Times New Roman" w:hAnsiTheme="majorBidi"/>
          <w:b/>
          <w:bCs/>
          <w:sz w:val="22"/>
          <w:szCs w:val="22"/>
        </w:rPr>
        <w:t>BUILT-IN SUNSET (22-Year Program)</w:t>
      </w:r>
    </w:p>
    <w:p w14:paraId="3A95AD21" w14:textId="046374FC" w:rsidR="0064381C" w:rsidRPr="00DC641C" w:rsidRDefault="0064381C" w:rsidP="0064381C">
      <w:pPr>
        <w:pStyle w:val="ListParagraph"/>
        <w:numPr>
          <w:ilvl w:val="0"/>
          <w:numId w:val="10"/>
        </w:numPr>
        <w:spacing w:after="60"/>
        <w:rPr>
          <w:rFonts w:asciiTheme="majorBidi" w:hAnsiTheme="majorBidi" w:cstheme="majorBidi"/>
        </w:rPr>
      </w:pPr>
      <w:r>
        <w:rPr>
          <w:rFonts w:asciiTheme="majorBidi" w:hAnsiTheme="majorBidi" w:cstheme="majorBidi"/>
          <w:b/>
          <w:bCs/>
        </w:rPr>
        <w:t>Years 1–12:</w:t>
      </w:r>
      <w:r>
        <w:rPr>
          <w:rFonts w:asciiTheme="majorBidi" w:hAnsiTheme="majorBidi" w:cstheme="majorBidi"/>
        </w:rPr>
        <w:t xml:space="preserve"> Full 8%/10% enhanced credit rate </w:t>
      </w:r>
      <w:r>
        <w:rPr>
          <w:rFonts w:asciiTheme="majorBidi" w:hAnsiTheme="majorBidi" w:cstheme="majorBidi"/>
          <w:b/>
          <w:bCs/>
        </w:rPr>
        <w:t>Years 13–22:</w:t>
      </w:r>
      <w:r>
        <w:rPr>
          <w:rFonts w:asciiTheme="majorBidi" w:hAnsiTheme="majorBidi" w:cstheme="majorBidi"/>
        </w:rPr>
        <w:t xml:space="preserve"> Linear phase-out; </w:t>
      </w:r>
      <w:r>
        <w:rPr>
          <w:rFonts w:asciiTheme="majorBidi" w:hAnsiTheme="majorBidi" w:cstheme="majorBidi"/>
          <w:b/>
          <w:bCs/>
        </w:rPr>
        <w:t>After Year 22:</w:t>
      </w:r>
      <w:r>
        <w:rPr>
          <w:rFonts w:asciiTheme="majorBidi" w:hAnsiTheme="majorBidi" w:cstheme="majorBidi"/>
        </w:rPr>
        <w:t xml:space="preserve"> 0%</w:t>
      </w:r>
    </w:p>
    <w:p w14:paraId="1B1F92EC" w14:textId="77777777" w:rsidR="0064381C" w:rsidRPr="003270DA" w:rsidRDefault="0064381C" w:rsidP="0064381C">
      <w:pPr>
        <w:pStyle w:val="ListParagraph"/>
        <w:numPr>
          <w:ilvl w:val="0"/>
          <w:numId w:val="10"/>
        </w:numPr>
        <w:spacing w:after="60"/>
        <w:rPr>
          <w:rFonts w:asciiTheme="majorBidi" w:hAnsiTheme="majorBidi" w:cstheme="majorBidi"/>
        </w:rPr>
      </w:pPr>
      <w:r>
        <w:rPr>
          <w:rFonts w:asciiTheme="majorBidi" w:hAnsiTheme="majorBidi" w:cstheme="majorBidi"/>
          <w:b/>
          <w:bCs/>
        </w:rPr>
        <w:t>Presidential Extension:</w:t>
      </w:r>
      <w:r>
        <w:rPr>
          <w:rFonts w:asciiTheme="majorBidi" w:hAnsiTheme="majorBidi" w:cstheme="majorBidi"/>
        </w:rPr>
        <w:t xml:space="preserve"> Up to 3-year delay if China escalates strategic sector subsidies or US hasn’t reached 50% domestic capacity in majority of strategic sectors. 90-day Congressional notification required.</w:t>
      </w:r>
    </w:p>
    <w:p w14:paraId="28CC9F76" w14:textId="77777777" w:rsidR="0064381C" w:rsidRPr="003270DA" w:rsidRDefault="0064381C" w:rsidP="0064381C">
      <w:pPr>
        <w:pStyle w:val="Heading2"/>
        <w:spacing w:before="240"/>
        <w:rPr>
          <w:rFonts w:asciiTheme="majorBidi" w:hAnsiTheme="majorBidi"/>
          <w:sz w:val="22"/>
          <w:szCs w:val="22"/>
        </w:rPr>
      </w:pPr>
      <w:r>
        <w:rPr>
          <w:rFonts w:asciiTheme="majorBidi" w:eastAsia="Times New Roman" w:hAnsiTheme="majorBidi"/>
          <w:b/>
          <w:bCs/>
          <w:sz w:val="22"/>
          <w:szCs w:val="22"/>
        </w:rPr>
        <w:t>GUARDRAILS</w:t>
      </w:r>
    </w:p>
    <w:p w14:paraId="7B52C6A1" w14:textId="77777777" w:rsidR="0064381C" w:rsidRPr="003270DA" w:rsidRDefault="0064381C" w:rsidP="0064381C">
      <w:pPr>
        <w:pStyle w:val="ListParagraph"/>
        <w:numPr>
          <w:ilvl w:val="0"/>
          <w:numId w:val="10"/>
        </w:numPr>
        <w:spacing w:after="60"/>
        <w:rPr>
          <w:rFonts w:asciiTheme="majorBidi" w:hAnsiTheme="majorBidi" w:cstheme="majorBidi"/>
        </w:rPr>
      </w:pPr>
      <w:r>
        <w:rPr>
          <w:rFonts w:asciiTheme="majorBidi" w:hAnsiTheme="majorBidi" w:cstheme="majorBidi"/>
          <w:b/>
          <w:bCs/>
        </w:rPr>
        <w:t>Recapture:</w:t>
      </w:r>
      <w:r>
        <w:rPr>
          <w:rFonts w:asciiTheme="majorBidi" w:hAnsiTheme="majorBidi" w:cstheme="majorBidi"/>
        </w:rPr>
        <w:t xml:space="preserve"> Credits recaptured if production offshored within 5 years</w:t>
      </w:r>
    </w:p>
    <w:p w14:paraId="319AFC09" w14:textId="01773900" w:rsidR="0064381C" w:rsidRPr="003270DA" w:rsidRDefault="0064381C" w:rsidP="004D54F8">
      <w:pPr>
        <w:pStyle w:val="ListParagraph"/>
        <w:numPr>
          <w:ilvl w:val="0"/>
          <w:numId w:val="10"/>
        </w:numPr>
        <w:spacing w:after="60"/>
        <w:rPr>
          <w:rFonts w:asciiTheme="majorBidi" w:hAnsiTheme="majorBidi" w:cstheme="majorBidi"/>
        </w:rPr>
      </w:pPr>
      <w:r>
        <w:rPr>
          <w:rFonts w:asciiTheme="majorBidi" w:hAnsiTheme="majorBidi" w:cstheme="majorBidi"/>
          <w:b/>
          <w:bCs/>
        </w:rPr>
        <w:t>Equity Distribution Surcharge:</w:t>
      </w:r>
      <w:r>
        <w:rPr>
          <w:rFonts w:asciiTheme="majorBidi" w:hAnsiTheme="majorBidi" w:cstheme="majorBidi"/>
        </w:rPr>
        <w:t xml:space="preserve"> 2% excise on covered equity distributions (dividends, buybacks, redemptions, equity cash-outs) by publicly traded MISA electors; 3% for privately held and PE-owned MISA electors. Applies to all MISA electors regardless of ownership structure. </w:t>
      </w:r>
    </w:p>
    <w:p w14:paraId="21C3AE2D" w14:textId="77777777" w:rsidR="0064381C" w:rsidRPr="003270DA" w:rsidRDefault="0064381C" w:rsidP="0064381C">
      <w:pPr>
        <w:pStyle w:val="ListParagraph"/>
        <w:numPr>
          <w:ilvl w:val="0"/>
          <w:numId w:val="10"/>
        </w:numPr>
        <w:spacing w:after="60"/>
        <w:rPr>
          <w:rFonts w:asciiTheme="majorBidi" w:hAnsiTheme="majorBidi" w:cstheme="majorBidi"/>
        </w:rPr>
      </w:pPr>
      <w:r>
        <w:rPr>
          <w:rFonts w:asciiTheme="majorBidi" w:hAnsiTheme="majorBidi" w:cstheme="majorBidi"/>
          <w:b/>
          <w:bCs/>
        </w:rPr>
        <w:t>Coordination:</w:t>
      </w:r>
      <w:r>
        <w:rPr>
          <w:rFonts w:asciiTheme="majorBidi" w:hAnsiTheme="majorBidi" w:cstheme="majorBidi"/>
        </w:rPr>
        <w:t xml:space="preserve"> Allowed in addition to §45X, CHIPS Act incentives, and §199A</w:t>
      </w:r>
    </w:p>
    <w:p w14:paraId="6AFDC412" w14:textId="77777777" w:rsidR="0064381C" w:rsidRPr="003270DA" w:rsidRDefault="0064381C" w:rsidP="0064381C">
      <w:pPr>
        <w:pStyle w:val="Heading2"/>
        <w:spacing w:before="240"/>
        <w:rPr>
          <w:rFonts w:asciiTheme="majorBidi" w:hAnsiTheme="majorBidi"/>
          <w:sz w:val="22"/>
          <w:szCs w:val="22"/>
        </w:rPr>
      </w:pPr>
      <w:r>
        <w:rPr>
          <w:rFonts w:asciiTheme="majorBidi" w:eastAsia="Times New Roman" w:hAnsiTheme="majorBidi"/>
          <w:b/>
          <w:bCs/>
          <w:sz w:val="22"/>
          <w:szCs w:val="22"/>
        </w:rPr>
        <w:t>FOURTEEN STRATEGIC SECTORS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64381C" w:rsidRPr="004D54F8" w14:paraId="20000001" w14:textId="77777777">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2"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Critical Minerals &amp; Rare Earth Processing</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3"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Semiconductors &amp; Advanced Electronics</w:t>
            </w:r>
          </w:p>
        </w:tc>
      </w:tr>
      <w:tr w:rsidR="0064381C" w:rsidRPr="004D54F8" w14:paraId="20000004" w14:textId="77777777">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5"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Autonomous Systems &amp; Robotics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6"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Computing &amp; Communications Hardware</w:t>
            </w:r>
          </w:p>
        </w:tc>
      </w:tr>
      <w:tr w:rsidR="0064381C" w:rsidRPr="004D54F8" w14:paraId="20000007" w14:textId="77777777">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8"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Wireless Connectivity &amp; Telecom Equipment</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9"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Active Pharma Ingredients &amp; Key Starting Materials</w:t>
            </w:r>
          </w:p>
        </w:tc>
      </w:tr>
      <w:tr w:rsidR="0064381C" w:rsidRPr="004D54F8" w14:paraId="2000000A" w14:textId="77777777">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B"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PPE &amp; Strategic Medical Supplies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C"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Electric Power Generation, Transmission &amp; Storage</w:t>
            </w:r>
          </w:p>
        </w:tc>
      </w:tr>
      <w:tr w:rsidR="0064381C" w:rsidRPr="004D54F8" w14:paraId="2000000D" w14:textId="77777777">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E"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Defense Industrial Base Components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0F"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Shipbuilding &amp; Maritime Systems</w:t>
            </w:r>
          </w:p>
        </w:tc>
      </w:tr>
      <w:tr w:rsidR="0064381C" w:rsidRPr="004D54F8" w14:paraId="20000010" w14:textId="77777777">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11"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Space Systems &amp; Launch Infrastructure</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12"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Quantum Technologies</w:t>
            </w:r>
          </w:p>
        </w:tc>
      </w:tr>
      <w:tr w:rsidR="0064381C" w:rsidRPr="004D54F8" w14:paraId="20000013" w14:textId="77777777">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14"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Directed Energy Systems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0000015" w14:textId="77777777" w:rsidR="0064381C" w:rsidRPr="004D54F8" w:rsidRDefault="0064381C">
            <w:pPr>
              <w:rPr>
                <w:rFonts w:asciiTheme="majorBidi" w:hAnsiTheme="majorBidi" w:cstheme="majorBidi"/>
                <w:sz w:val="16"/>
                <w:szCs w:val="16"/>
              </w:rPr>
            </w:pPr>
            <w:r w:rsidRPr="004D54F8">
              <w:rPr>
                <w:rFonts w:asciiTheme="majorBidi" w:hAnsiTheme="majorBidi" w:cstheme="majorBidi"/>
                <w:sz w:val="16"/>
                <w:szCs w:val="16"/>
              </w:rPr>
              <w:t>Advanced Materials &amp; Specialty Inputs</w:t>
            </w:r>
          </w:p>
        </w:tc>
      </w:tr>
    </w:tbl>
    <w:p w14:paraId="2E259E57" w14:textId="77777777" w:rsidR="0064381C" w:rsidRPr="00AB05B8" w:rsidRDefault="0064381C" w:rsidP="0064381C">
      <w:pPr>
        <w:spacing w:after="100"/>
        <w:rPr>
          <w:rFonts w:asciiTheme="majorBidi" w:hAnsiTheme="majorBidi" w:cstheme="majorBidi"/>
          <w:sz w:val="21"/>
          <w:szCs w:val="21"/>
        </w:rPr>
      </w:pPr>
      <w:r>
        <w:rPr>
          <w:rFonts w:asciiTheme="majorBidi" w:hAnsiTheme="majorBidi" w:cstheme="majorBidi"/>
          <w:b/>
          <w:bCs/>
          <w:sz w:val="21"/>
          <w:szCs w:val="21"/>
        </w:rPr>
        <w:t>WHAT WE’RE ASKING:</w:t>
      </w:r>
      <w:r>
        <w:rPr>
          <w:rFonts w:asciiTheme="majorBidi" w:hAnsiTheme="majorBidi" w:cstheme="majorBidi"/>
          <w:sz w:val="21"/>
          <w:szCs w:val="21"/>
        </w:rPr>
        <w:t xml:space="preserve"> A staff-level meeting to walk through the draft structure, definitional guardrails, and options for Joint Committee on Taxation scoring.</w:t>
      </w:r>
    </w:p>
    <w:p w14:paraId="4D747969" w14:textId="6A99B691" w:rsidR="00A808A2" w:rsidRPr="0064381C" w:rsidRDefault="0064381C" w:rsidP="004D54F8">
      <w:pPr>
        <w:spacing w:before="200"/>
      </w:pPr>
      <w:r>
        <w:rPr>
          <w:rFonts w:asciiTheme="majorBidi" w:hAnsiTheme="majorBidi" w:cstheme="majorBidi"/>
          <w:b/>
          <w:bCs/>
          <w:sz w:val="21"/>
          <w:szCs w:val="21"/>
        </w:rPr>
        <w:t xml:space="preserve">Contact: </w:t>
      </w:r>
      <w:r>
        <w:rPr>
          <w:rFonts w:asciiTheme="majorBidi" w:hAnsiTheme="majorBidi" w:cstheme="majorBidi"/>
          <w:sz w:val="21"/>
          <w:szCs w:val="21"/>
        </w:rPr>
        <w:t>Mark Rosenblatt, Rationalwave, mr@rationalwave.com, 914-584-5400</w:t>
      </w:r>
    </w:p>
    <w:sectPr w:rsidR="00A808A2" w:rsidRPr="0064381C" w:rsidSect="004D54F8">
      <w:headerReference w:type="default" r:id="rId7"/>
      <w:pgSz w:w="12240" w:h="15840"/>
      <w:pgMar w:top="648" w:right="1080" w:bottom="252" w:left="1080" w:header="25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F0C8B" w14:textId="77777777" w:rsidR="00780C9D" w:rsidRDefault="00780C9D" w:rsidP="00BE5D2B">
      <w:r>
        <w:separator/>
      </w:r>
    </w:p>
  </w:endnote>
  <w:endnote w:type="continuationSeparator" w:id="0">
    <w:p w14:paraId="2FAB0D58" w14:textId="77777777" w:rsidR="00780C9D" w:rsidRDefault="00780C9D" w:rsidP="00BE5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91530" w14:textId="77777777" w:rsidR="00780C9D" w:rsidRDefault="00780C9D" w:rsidP="00BE5D2B">
      <w:r>
        <w:separator/>
      </w:r>
    </w:p>
  </w:footnote>
  <w:footnote w:type="continuationSeparator" w:id="0">
    <w:p w14:paraId="25C38697" w14:textId="77777777" w:rsidR="00780C9D" w:rsidRDefault="00780C9D" w:rsidP="00BE5D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FC856" w14:textId="240B8FD5" w:rsidR="00BE5D2B" w:rsidRDefault="004D54F8">
    <w:pPr>
      <w:pStyle w:val="Header"/>
    </w:pPr>
    <w:r>
      <w:t>March 13</w:t>
    </w:r>
    <w:r w:rsidR="00874BF8">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544473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2730440"/>
    <w:multiLevelType w:val="hybridMultilevel"/>
    <w:tmpl w:val="77929AB0"/>
    <w:lvl w:ilvl="0" w:tplc="C21402F6">
      <w:start w:val="1"/>
      <w:numFmt w:val="bullet"/>
      <w:lvlText w:val="•"/>
      <w:lvlJc w:val="left"/>
      <w:pPr>
        <w:ind w:left="450" w:hanging="270"/>
      </w:pPr>
    </w:lvl>
    <w:lvl w:ilvl="1" w:tplc="0BDAEE74">
      <w:numFmt w:val="decimal"/>
      <w:lvlText w:val=""/>
      <w:lvlJc w:val="left"/>
    </w:lvl>
    <w:lvl w:ilvl="2" w:tplc="7F243072">
      <w:numFmt w:val="decimal"/>
      <w:lvlText w:val=""/>
      <w:lvlJc w:val="left"/>
    </w:lvl>
    <w:lvl w:ilvl="3" w:tplc="07F48A30">
      <w:numFmt w:val="decimal"/>
      <w:lvlText w:val=""/>
      <w:lvlJc w:val="left"/>
    </w:lvl>
    <w:lvl w:ilvl="4" w:tplc="DC60F2EC">
      <w:numFmt w:val="decimal"/>
      <w:lvlText w:val=""/>
      <w:lvlJc w:val="left"/>
    </w:lvl>
    <w:lvl w:ilvl="5" w:tplc="CD5276EE">
      <w:numFmt w:val="decimal"/>
      <w:lvlText w:val=""/>
      <w:lvlJc w:val="left"/>
    </w:lvl>
    <w:lvl w:ilvl="6" w:tplc="F834927C">
      <w:numFmt w:val="decimal"/>
      <w:lvlText w:val=""/>
      <w:lvlJc w:val="left"/>
    </w:lvl>
    <w:lvl w:ilvl="7" w:tplc="173A75D6">
      <w:numFmt w:val="decimal"/>
      <w:lvlText w:val=""/>
      <w:lvlJc w:val="left"/>
    </w:lvl>
    <w:lvl w:ilvl="8" w:tplc="1432215E">
      <w:numFmt w:val="decimal"/>
      <w:lvlText w:val=""/>
      <w:lvlJc w:val="left"/>
    </w:lvl>
  </w:abstractNum>
  <w:abstractNum w:abstractNumId="2" w15:restartNumberingAfterBreak="0">
    <w:nsid w:val="1AFD0F37"/>
    <w:multiLevelType w:val="hybridMultilevel"/>
    <w:tmpl w:val="C25829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E247267"/>
    <w:multiLevelType w:val="hybridMultilevel"/>
    <w:tmpl w:val="3BA0C55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2641822"/>
    <w:multiLevelType w:val="hybridMultilevel"/>
    <w:tmpl w:val="29C0F5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F903C97"/>
    <w:multiLevelType w:val="hybridMultilevel"/>
    <w:tmpl w:val="41F48838"/>
    <w:lvl w:ilvl="0" w:tplc="4D925CE8">
      <w:start w:val="1"/>
      <w:numFmt w:val="bullet"/>
      <w:lvlText w:val="•"/>
      <w:lvlJc w:val="left"/>
      <w:pPr>
        <w:ind w:left="360" w:hanging="360"/>
      </w:pPr>
    </w:lvl>
    <w:lvl w:ilvl="1" w:tplc="B9FEF644">
      <w:numFmt w:val="decimal"/>
      <w:lvlText w:val=""/>
      <w:lvlJc w:val="left"/>
    </w:lvl>
    <w:lvl w:ilvl="2" w:tplc="2E04B2CA">
      <w:numFmt w:val="decimal"/>
      <w:lvlText w:val=""/>
      <w:lvlJc w:val="left"/>
    </w:lvl>
    <w:lvl w:ilvl="3" w:tplc="97E2644E">
      <w:numFmt w:val="decimal"/>
      <w:lvlText w:val=""/>
      <w:lvlJc w:val="left"/>
    </w:lvl>
    <w:lvl w:ilvl="4" w:tplc="7BF60AF8">
      <w:numFmt w:val="decimal"/>
      <w:lvlText w:val=""/>
      <w:lvlJc w:val="left"/>
    </w:lvl>
    <w:lvl w:ilvl="5" w:tplc="23807210">
      <w:numFmt w:val="decimal"/>
      <w:lvlText w:val=""/>
      <w:lvlJc w:val="left"/>
    </w:lvl>
    <w:lvl w:ilvl="6" w:tplc="4906DBD0">
      <w:numFmt w:val="decimal"/>
      <w:lvlText w:val=""/>
      <w:lvlJc w:val="left"/>
    </w:lvl>
    <w:lvl w:ilvl="7" w:tplc="33828160">
      <w:numFmt w:val="decimal"/>
      <w:lvlText w:val=""/>
      <w:lvlJc w:val="left"/>
    </w:lvl>
    <w:lvl w:ilvl="8" w:tplc="C10C9B92">
      <w:numFmt w:val="decimal"/>
      <w:lvlText w:val=""/>
      <w:lvlJc w:val="left"/>
    </w:lvl>
  </w:abstractNum>
  <w:abstractNum w:abstractNumId="6" w15:restartNumberingAfterBreak="0">
    <w:nsid w:val="41191F2A"/>
    <w:multiLevelType w:val="hybridMultilevel"/>
    <w:tmpl w:val="79D42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986733"/>
    <w:multiLevelType w:val="hybridMultilevel"/>
    <w:tmpl w:val="BF34BB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A884F1A"/>
    <w:multiLevelType w:val="hybridMultilevel"/>
    <w:tmpl w:val="9DC410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07C52A8"/>
    <w:multiLevelType w:val="hybridMultilevel"/>
    <w:tmpl w:val="5F9C56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2F27109"/>
    <w:multiLevelType w:val="hybridMultilevel"/>
    <w:tmpl w:val="807206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763188270">
    <w:abstractNumId w:val="3"/>
  </w:num>
  <w:num w:numId="2" w16cid:durableId="689063515">
    <w:abstractNumId w:val="0"/>
  </w:num>
  <w:num w:numId="3" w16cid:durableId="65340841">
    <w:abstractNumId w:val="9"/>
  </w:num>
  <w:num w:numId="4" w16cid:durableId="1563521393">
    <w:abstractNumId w:val="6"/>
  </w:num>
  <w:num w:numId="5" w16cid:durableId="1699309256">
    <w:abstractNumId w:val="7"/>
  </w:num>
  <w:num w:numId="6" w16cid:durableId="1252467293">
    <w:abstractNumId w:val="10"/>
  </w:num>
  <w:num w:numId="7" w16cid:durableId="1400133320">
    <w:abstractNumId w:val="1"/>
    <w:lvlOverride w:ilvl="0">
      <w:startOverride w:val="1"/>
    </w:lvlOverride>
  </w:num>
  <w:num w:numId="8" w16cid:durableId="976304852">
    <w:abstractNumId w:val="4"/>
  </w:num>
  <w:num w:numId="9" w16cid:durableId="1296453375">
    <w:abstractNumId w:val="8"/>
  </w:num>
  <w:num w:numId="10" w16cid:durableId="1993173345">
    <w:abstractNumId w:val="5"/>
    <w:lvlOverride w:ilvl="0">
      <w:startOverride w:val="1"/>
    </w:lvlOverride>
  </w:num>
  <w:num w:numId="11" w16cid:durableId="4895197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D2B"/>
    <w:rsid w:val="000601F6"/>
    <w:rsid w:val="000963D1"/>
    <w:rsid w:val="00096726"/>
    <w:rsid w:val="000A34C8"/>
    <w:rsid w:val="000C4264"/>
    <w:rsid w:val="000F529B"/>
    <w:rsid w:val="00102243"/>
    <w:rsid w:val="00147EBE"/>
    <w:rsid w:val="001765E8"/>
    <w:rsid w:val="001A79DC"/>
    <w:rsid w:val="001E6D61"/>
    <w:rsid w:val="002F1047"/>
    <w:rsid w:val="00396D15"/>
    <w:rsid w:val="00447986"/>
    <w:rsid w:val="004A71F4"/>
    <w:rsid w:val="004D54F8"/>
    <w:rsid w:val="005C1511"/>
    <w:rsid w:val="0060498B"/>
    <w:rsid w:val="0064381C"/>
    <w:rsid w:val="006C3B09"/>
    <w:rsid w:val="006F7249"/>
    <w:rsid w:val="00780C9D"/>
    <w:rsid w:val="008052C6"/>
    <w:rsid w:val="0084445B"/>
    <w:rsid w:val="00862CBA"/>
    <w:rsid w:val="00874BF8"/>
    <w:rsid w:val="009D5AD2"/>
    <w:rsid w:val="00A32FBF"/>
    <w:rsid w:val="00A808A2"/>
    <w:rsid w:val="00B22195"/>
    <w:rsid w:val="00B40BDD"/>
    <w:rsid w:val="00BA7D62"/>
    <w:rsid w:val="00BE5D2B"/>
    <w:rsid w:val="00CD621F"/>
    <w:rsid w:val="00CD7050"/>
    <w:rsid w:val="00DC641C"/>
    <w:rsid w:val="00E64879"/>
    <w:rsid w:val="00E92AB1"/>
    <w:rsid w:val="00EA2C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226466A"/>
  <w15:chartTrackingRefBased/>
  <w15:docId w15:val="{35C65D4F-75B4-9D48-905B-47D9B19A1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D15"/>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BE5D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5D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5D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5D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5D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5D2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5D2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5D2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5D2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5D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5D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5D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5D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5D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5D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5D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5D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5D2B"/>
    <w:rPr>
      <w:rFonts w:eastAsiaTheme="majorEastAsia" w:cstheme="majorBidi"/>
      <w:color w:val="272727" w:themeColor="text1" w:themeTint="D8"/>
    </w:rPr>
  </w:style>
  <w:style w:type="paragraph" w:styleId="Title">
    <w:name w:val="Title"/>
    <w:basedOn w:val="Normal"/>
    <w:next w:val="Normal"/>
    <w:link w:val="TitleChar"/>
    <w:uiPriority w:val="10"/>
    <w:qFormat/>
    <w:rsid w:val="00BE5D2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5D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5D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5D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5D2B"/>
    <w:pPr>
      <w:spacing w:before="160"/>
      <w:jc w:val="center"/>
    </w:pPr>
    <w:rPr>
      <w:i/>
      <w:iCs/>
      <w:color w:val="404040" w:themeColor="text1" w:themeTint="BF"/>
    </w:rPr>
  </w:style>
  <w:style w:type="character" w:customStyle="1" w:styleId="QuoteChar">
    <w:name w:val="Quote Char"/>
    <w:basedOn w:val="DefaultParagraphFont"/>
    <w:link w:val="Quote"/>
    <w:uiPriority w:val="29"/>
    <w:rsid w:val="00BE5D2B"/>
    <w:rPr>
      <w:i/>
      <w:iCs/>
      <w:color w:val="404040" w:themeColor="text1" w:themeTint="BF"/>
    </w:rPr>
  </w:style>
  <w:style w:type="paragraph" w:styleId="ListParagraph">
    <w:name w:val="List Paragraph"/>
    <w:basedOn w:val="Normal"/>
    <w:qFormat/>
    <w:rsid w:val="00BE5D2B"/>
    <w:pPr>
      <w:ind w:left="720"/>
      <w:contextualSpacing/>
    </w:pPr>
  </w:style>
  <w:style w:type="character" w:styleId="IntenseEmphasis">
    <w:name w:val="Intense Emphasis"/>
    <w:basedOn w:val="DefaultParagraphFont"/>
    <w:uiPriority w:val="21"/>
    <w:qFormat/>
    <w:rsid w:val="00BE5D2B"/>
    <w:rPr>
      <w:i/>
      <w:iCs/>
      <w:color w:val="0F4761" w:themeColor="accent1" w:themeShade="BF"/>
    </w:rPr>
  </w:style>
  <w:style w:type="paragraph" w:styleId="IntenseQuote">
    <w:name w:val="Intense Quote"/>
    <w:basedOn w:val="Normal"/>
    <w:next w:val="Normal"/>
    <w:link w:val="IntenseQuoteChar"/>
    <w:uiPriority w:val="30"/>
    <w:qFormat/>
    <w:rsid w:val="00BE5D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5D2B"/>
    <w:rPr>
      <w:i/>
      <w:iCs/>
      <w:color w:val="0F4761" w:themeColor="accent1" w:themeShade="BF"/>
    </w:rPr>
  </w:style>
  <w:style w:type="character" w:styleId="IntenseReference">
    <w:name w:val="Intense Reference"/>
    <w:basedOn w:val="DefaultParagraphFont"/>
    <w:uiPriority w:val="32"/>
    <w:qFormat/>
    <w:rsid w:val="00BE5D2B"/>
    <w:rPr>
      <w:b/>
      <w:bCs/>
      <w:smallCaps/>
      <w:color w:val="0F4761" w:themeColor="accent1" w:themeShade="BF"/>
      <w:spacing w:val="5"/>
    </w:rPr>
  </w:style>
  <w:style w:type="table" w:styleId="TableGrid">
    <w:name w:val="Table Grid"/>
    <w:basedOn w:val="TableNormal"/>
    <w:uiPriority w:val="39"/>
    <w:rsid w:val="00BE5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E5D2B"/>
    <w:rPr>
      <w:sz w:val="20"/>
      <w:szCs w:val="20"/>
    </w:rPr>
  </w:style>
  <w:style w:type="character" w:customStyle="1" w:styleId="FootnoteTextChar">
    <w:name w:val="Footnote Text Char"/>
    <w:basedOn w:val="DefaultParagraphFont"/>
    <w:link w:val="FootnoteText"/>
    <w:uiPriority w:val="99"/>
    <w:semiHidden/>
    <w:rsid w:val="00BE5D2B"/>
    <w:rPr>
      <w:sz w:val="20"/>
      <w:szCs w:val="20"/>
    </w:rPr>
  </w:style>
  <w:style w:type="character" w:styleId="FootnoteReference">
    <w:name w:val="footnote reference"/>
    <w:basedOn w:val="DefaultParagraphFont"/>
    <w:uiPriority w:val="99"/>
    <w:semiHidden/>
    <w:unhideWhenUsed/>
    <w:rsid w:val="00BE5D2B"/>
    <w:rPr>
      <w:vertAlign w:val="superscript"/>
    </w:rPr>
  </w:style>
  <w:style w:type="paragraph" w:styleId="Header">
    <w:name w:val="header"/>
    <w:basedOn w:val="Normal"/>
    <w:link w:val="HeaderChar"/>
    <w:uiPriority w:val="99"/>
    <w:unhideWhenUsed/>
    <w:rsid w:val="00BE5D2B"/>
    <w:pPr>
      <w:tabs>
        <w:tab w:val="center" w:pos="4680"/>
        <w:tab w:val="right" w:pos="9360"/>
      </w:tabs>
    </w:pPr>
  </w:style>
  <w:style w:type="character" w:customStyle="1" w:styleId="HeaderChar">
    <w:name w:val="Header Char"/>
    <w:basedOn w:val="DefaultParagraphFont"/>
    <w:link w:val="Header"/>
    <w:uiPriority w:val="99"/>
    <w:rsid w:val="00BE5D2B"/>
  </w:style>
  <w:style w:type="character" w:styleId="Hyperlink">
    <w:name w:val="Hyperlink"/>
    <w:basedOn w:val="DefaultParagraphFont"/>
    <w:uiPriority w:val="99"/>
    <w:unhideWhenUsed/>
    <w:rsid w:val="00BE5D2B"/>
    <w:rPr>
      <w:color w:val="467886" w:themeColor="hyperlink"/>
      <w:u w:val="single"/>
    </w:rPr>
  </w:style>
  <w:style w:type="paragraph" w:styleId="ListBullet">
    <w:name w:val="List Bullet"/>
    <w:basedOn w:val="Normal"/>
    <w:uiPriority w:val="99"/>
    <w:unhideWhenUsed/>
    <w:rsid w:val="00BE5D2B"/>
    <w:pPr>
      <w:numPr>
        <w:numId w:val="2"/>
      </w:numPr>
      <w:tabs>
        <w:tab w:val="clear" w:pos="360"/>
      </w:tabs>
      <w:ind w:left="0" w:firstLine="0"/>
      <w:contextualSpacing/>
    </w:pPr>
  </w:style>
  <w:style w:type="paragraph" w:styleId="Footer">
    <w:name w:val="footer"/>
    <w:basedOn w:val="Normal"/>
    <w:link w:val="FooterChar"/>
    <w:uiPriority w:val="99"/>
    <w:unhideWhenUsed/>
    <w:rsid w:val="00BE5D2B"/>
    <w:pPr>
      <w:tabs>
        <w:tab w:val="center" w:pos="4680"/>
        <w:tab w:val="right" w:pos="9360"/>
      </w:tabs>
    </w:pPr>
  </w:style>
  <w:style w:type="character" w:customStyle="1" w:styleId="FooterChar">
    <w:name w:val="Footer Char"/>
    <w:basedOn w:val="DefaultParagraphFont"/>
    <w:link w:val="Footer"/>
    <w:uiPriority w:val="99"/>
    <w:rsid w:val="00BE5D2B"/>
  </w:style>
  <w:style w:type="character" w:styleId="UnresolvedMention">
    <w:name w:val="Unresolved Mention"/>
    <w:basedOn w:val="DefaultParagraphFont"/>
    <w:uiPriority w:val="99"/>
    <w:semiHidden/>
    <w:unhideWhenUsed/>
    <w:rsid w:val="00E92A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574</Words>
  <Characters>3520</Characters>
  <Application>Microsoft Office Word</Application>
  <DocSecurity>0</DocSecurity>
  <Lines>56</Lines>
  <Paragraphs>37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3</cp:revision>
  <dcterms:created xsi:type="dcterms:W3CDTF">2026-03-13T17:26:00Z</dcterms:created>
  <dcterms:modified xsi:type="dcterms:W3CDTF">2026-03-13T17:27:00Z</dcterms:modified>
  <cp:category/>
</cp:coreProperties>
</file>