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A60F7" w14:textId="77777777" w:rsidR="00D73EBD" w:rsidRDefault="00D73EBD" w:rsidP="00D73EBD">
      <w:pPr>
        <w:spacing w:after="200"/>
        <w:jc w:val="center"/>
        <w:rPr>
          <w:b/>
          <w:bCs/>
          <w:color w:val="1B3A5C"/>
          <w:sz w:val="44"/>
          <w:szCs w:val="44"/>
        </w:rPr>
      </w:pPr>
      <w:r>
        <w:t>Manufacturing Entrepreneur Rewards Act</w:t>
      </w:r>
      <w:r>
        <w:rPr>
          <w:b/>
          <w:bCs/>
          <w:color w:val="1B3A5C"/>
          <w:sz w:val="44"/>
          <w:szCs w:val="44"/>
        </w:rPr>
        <w:t xml:space="preserve"> </w:t>
      </w:r>
    </w:p>
    <w:p w14:paraId="21A6E8BB" w14:textId="77777777" w:rsidR="00D73EBD" w:rsidRDefault="00D73EBD" w:rsidP="00D73EBD">
      <w:pPr>
        <w:spacing w:after="200"/>
        <w:jc w:val="center"/>
      </w:pPr>
      <w:r>
        <w:t>(MERA)</w:t>
      </w:r>
    </w:p>
    <w:p w14:paraId="1B3B114C" w14:textId="77777777" w:rsidR="00D73EBD" w:rsidRDefault="00D73EBD" w:rsidP="00D73EBD">
      <w:pPr>
        <w:spacing w:after="200"/>
        <w:jc w:val="center"/>
      </w:pPr>
      <w:r>
        <w:t>Comprehensive Legislative Explainer</w:t>
      </w:r>
    </w:p>
    <w:p w14:paraId="44134F66" w14:textId="77777777" w:rsidR="00D73EBD" w:rsidRDefault="00D73EBD" w:rsidP="00D73EBD">
      <w:pPr>
        <w:spacing w:after="200"/>
        <w:jc w:val="center"/>
      </w:pPr>
      <w:r>
        <w:t>Section-by-Section Analysis, Rules Summary, and Worked Examples</w:t>
      </w:r>
    </w:p>
    <w:p w14:paraId="33D9DE23" w14:textId="77777777" w:rsidR="00D73EBD" w:rsidRDefault="00D73EBD" w:rsidP="00D73EBD"/>
    <w:p w14:paraId="482BB5A3" w14:textId="77777777" w:rsidR="00D73EBD" w:rsidRDefault="00D73EBD" w:rsidP="00D73EBD">
      <w:pPr>
        <w:spacing w:after="40"/>
        <w:jc w:val="center"/>
      </w:pPr>
      <w:r>
        <w:rPr>
          <w:color w:val="666666"/>
          <w:sz w:val="20"/>
          <w:szCs w:val="20"/>
        </w:rPr>
        <w:t>Contact: Mark Rosenblatt | mr@rationalwave.com | 914-584-5400 | @ratwave</w:t>
      </w:r>
    </w:p>
    <w:p w14:paraId="4FE40EA6" w14:textId="77777777" w:rsidR="00D73EBD" w:rsidRDefault="00D73EBD" w:rsidP="00D73EBD">
      <w:pPr>
        <w:pageBreakBefore/>
        <w:spacing w:after="120"/>
      </w:pPr>
      <w:r>
        <w:rPr>
          <w:b/>
          <w:bCs/>
          <w:color w:val="1B3A5C"/>
          <w:sz w:val="32"/>
          <w:szCs w:val="32"/>
        </w:rPr>
        <w:lastRenderedPageBreak/>
        <w:t>1. Executive Summary</w:t>
      </w:r>
    </w:p>
    <w:p w14:paraId="7B12C760" w14:textId="77777777" w:rsidR="00D73EBD" w:rsidRDefault="00D73EBD" w:rsidP="00D73EBD">
      <w:pPr>
        <w:spacing w:after="120"/>
      </w:pPr>
      <w:r>
        <w:rPr>
          <w:b/>
          <w:bCs/>
          <w:color w:val="1B3A5C"/>
        </w:rPr>
        <w:t xml:space="preserve">BOTTOM LINE: </w:t>
      </w:r>
      <w:r>
        <w:t>MERA preserves American manufacturing capacity during the largest generational ownership transition in U.S. industrial history. It creates two complementary tax mechanisms—a $250M gift/estate tax credit for family transfers and a $250M capital gains exclusion for external sales—to ensure that the decision to sell or transfer a manufacturing business is driven by who will be the best steward of the enterprise, not by tax consequences. Both caps are inflation-adjusted after 2027 using the same CPI-U methodology as the general unified credit under §2010(c)(3).</w:t>
      </w:r>
    </w:p>
    <w:p w14:paraId="1A779C3F" w14:textId="77777777" w:rsidR="00D73EBD" w:rsidRDefault="00D73EBD" w:rsidP="00D73EBD">
      <w:pPr>
        <w:spacing w:after="120"/>
      </w:pPr>
      <w:r>
        <w:t>An estimated 125,000 boomer-owned manufacturing businesses will undergo ownership transition in the next 10–15 years. Without targeted intervention, estate tax liquidity demands and capital gains tax exposure will systematically favor outcomes that extract manufacturing capability from the United States—forced sales to the highest bidder, leveraged recapitalizations that strip productive capital, or outright liquidation.</w:t>
      </w:r>
    </w:p>
    <w:p w14:paraId="79B1E5CA" w14:textId="77777777" w:rsidR="00D73EBD" w:rsidRDefault="00D73EBD" w:rsidP="00D73EBD">
      <w:pPr>
        <w:spacing w:after="120"/>
      </w:pPr>
      <w:r>
        <w:t>Current law provides no adequate solution. Section 6166 of the IRC, the primary existing mechanism for closely held businesses facing estate tax, merely defers payment over 14 years while imposing IRS liens on business assets, restricting dispositions, and threatening acceleration of the entire balance if conditions are breached. It is a financing mechanism for a tax bill, not a policy tool for manufacturing preservation.</w:t>
      </w:r>
    </w:p>
    <w:p w14:paraId="38C96C78" w14:textId="77777777" w:rsidR="00D73EBD" w:rsidRDefault="00D73EBD" w:rsidP="00D73EBD">
      <w:pPr>
        <w:spacing w:after="120"/>
      </w:pPr>
      <w:r>
        <w:t>MERA addresses this through two complementary mechanisms:</w:t>
      </w:r>
    </w:p>
    <w:p w14:paraId="22531BA0" w14:textId="77777777" w:rsidR="00D73EBD" w:rsidRDefault="00D73EBD" w:rsidP="00D73EBD">
      <w:pPr>
        <w:pStyle w:val="ListParagraph"/>
        <w:numPr>
          <w:ilvl w:val="0"/>
          <w:numId w:val="1"/>
        </w:numPr>
        <w:spacing w:after="60"/>
        <w:contextualSpacing w:val="0"/>
      </w:pPr>
      <w:r>
        <w:rPr>
          <w:b/>
          <w:bCs/>
        </w:rPr>
        <w:t xml:space="preserve">Track 1 (Gift/Estate Tax): </w:t>
      </w:r>
      <w:r>
        <w:t xml:space="preserve">An additional unified credit of up to $250 million per business (inflation-adjusted after 2027) for intrafamily transfers, with a 10-year holding period measured from the date the business was founded or originally acquired. This allows manufacturing businesses to pass to the next generation without triggering prohibitive gift or estate tax </w:t>
      </w:r>
      <w:proofErr w:type="gramStart"/>
      <w:r>
        <w:t>liability, and</w:t>
      </w:r>
      <w:proofErr w:type="gramEnd"/>
      <w:r>
        <w:t xml:space="preserve"> supplements the existing $15 million unified credit (2026).</w:t>
      </w:r>
    </w:p>
    <w:p w14:paraId="69578F68" w14:textId="77777777" w:rsidR="00D73EBD" w:rsidRDefault="00D73EBD" w:rsidP="00D73EBD">
      <w:pPr>
        <w:pStyle w:val="ListParagraph"/>
        <w:numPr>
          <w:ilvl w:val="0"/>
          <w:numId w:val="1"/>
        </w:numPr>
        <w:spacing w:after="60"/>
        <w:contextualSpacing w:val="0"/>
      </w:pPr>
      <w:r>
        <w:rPr>
          <w:b/>
          <w:bCs/>
        </w:rPr>
        <w:t xml:space="preserve">Track 2 (Income Tax): </w:t>
      </w:r>
      <w:r>
        <w:t>A 100% capital gains exclusion of up to $250 million per business (inflation-adjusted after 2027) for sales to unrelated purchasers, modeled on the Qualified Small Business Stock (QSBS) provisions of §1202, with a 10-year holding period and robust anti-abuse guardrails including seller recapture liability.</w:t>
      </w:r>
    </w:p>
    <w:p w14:paraId="5F257128" w14:textId="77777777" w:rsidR="00D73EBD" w:rsidRPr="00F86F5B" w:rsidRDefault="00D73EBD" w:rsidP="00D73EBD">
      <w:pPr>
        <w:spacing w:after="120"/>
        <w:rPr>
          <w:color w:val="000000" w:themeColor="text1"/>
        </w:rPr>
      </w:pPr>
      <w:r>
        <w:t xml:space="preserve">Both tracks share a common definition of “qualified manufacturing business” (new §1202B), ensuring consistent eligibility criteria regardless of transfer mechanism. The two tracks are mutually exclusive per transaction: the same transfer cannot benefit from both. However, both tracks can apply to the same business over its lifetime—yielding a maximum combined benefit of $500M per EIN ($250M Track 1 + $250M Track 2), each permanently consumed once </w:t>
      </w:r>
      <w:r>
        <w:rPr>
          <w:color w:val="000000" w:themeColor="text1"/>
        </w:rPr>
        <w:t>claimed, with aggregate cap coordination codified in Title III.</w:t>
      </w:r>
    </w:p>
    <w:p w14:paraId="3A72E658" w14:textId="77777777" w:rsidR="00D73EBD" w:rsidRDefault="00D73EBD" w:rsidP="00D73EBD">
      <w:pPr>
        <w:spacing w:after="120"/>
      </w:pPr>
    </w:p>
    <w:p w14:paraId="64FB9D80" w14:textId="77777777" w:rsidR="00D73EBD" w:rsidRDefault="00D73EBD" w:rsidP="00D73EBD">
      <w:pPr>
        <w:pageBreakBefore/>
        <w:spacing w:after="120"/>
      </w:pPr>
      <w:r>
        <w:rPr>
          <w:b/>
          <w:bCs/>
          <w:color w:val="1B3A5C"/>
          <w:sz w:val="32"/>
          <w:szCs w:val="32"/>
        </w:rPr>
        <w:lastRenderedPageBreak/>
        <w:t>2. Qualifying Business Requirements (§1202B)</w:t>
      </w:r>
    </w:p>
    <w:p w14:paraId="23D6280B" w14:textId="77777777" w:rsidR="00D73EBD" w:rsidRDefault="00D73EBD" w:rsidP="00D73EBD">
      <w:pPr>
        <w:spacing w:after="120"/>
      </w:pPr>
      <w:r>
        <w:t>A business must satisfy all four requirements to qualify under either track. These are codified in new §1202B of the Internal Revenue Code: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D73EBD" w14:paraId="0CEF77BE" w14:textId="77777777" w:rsidTr="0040156E">
        <w:tc>
          <w:tcPr>
            <w:tcW w:w="22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69CB0117" w14:textId="77777777" w:rsidR="00D73EBD" w:rsidRDefault="00D73EBD" w:rsidP="0040156E">
            <w:r>
              <w:rPr>
                <w:b/>
                <w:bCs/>
                <w:color w:val="FFFFFF"/>
                <w:sz w:val="20"/>
                <w:szCs w:val="20"/>
              </w:rPr>
              <w:t>Requirement</w:t>
            </w:r>
          </w:p>
        </w:tc>
        <w:tc>
          <w:tcPr>
            <w:tcW w:w="716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2BF5BA0E" w14:textId="77777777" w:rsidR="00D73EBD" w:rsidRDefault="00D73EBD" w:rsidP="0040156E">
            <w:r>
              <w:rPr>
                <w:b/>
                <w:bCs/>
                <w:color w:val="FFFFFF"/>
                <w:sz w:val="20"/>
                <w:szCs w:val="20"/>
              </w:rPr>
              <w:t>Standard</w:t>
            </w:r>
          </w:p>
        </w:tc>
      </w:tr>
      <w:tr w:rsidR="00D73EBD" w14:paraId="1D93D88B" w14:textId="77777777" w:rsidTr="0040156E">
        <w:tc>
          <w:tcPr>
            <w:tcW w:w="22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9D16088" w14:textId="77777777" w:rsidR="00D73EBD" w:rsidRDefault="00D73EBD" w:rsidP="0040156E">
            <w:r>
              <w:rPr>
                <w:b/>
                <w:bCs/>
                <w:sz w:val="20"/>
                <w:szCs w:val="20"/>
              </w:rPr>
              <w:t>Industry</w:t>
            </w:r>
          </w:p>
        </w:tc>
        <w:tc>
          <w:tcPr>
            <w:tcW w:w="71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0711733" w14:textId="77777777" w:rsidR="00D73EBD" w:rsidRDefault="00D73EBD" w:rsidP="0040156E">
            <w:r>
              <w:rPr>
                <w:sz w:val="20"/>
                <w:szCs w:val="20"/>
              </w:rPr>
              <w:t>Primarily engaged in NAICS sector 31, 32, or 33 (manufacturing), or other manufacturing-related activities designated by Treasury regulation</w:t>
            </w:r>
          </w:p>
        </w:tc>
      </w:tr>
      <w:tr w:rsidR="00D73EBD" w14:paraId="58147834" w14:textId="77777777" w:rsidTr="0040156E">
        <w:tc>
          <w:tcPr>
            <w:tcW w:w="22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4BE71E3E" w14:textId="77777777" w:rsidR="00D73EBD" w:rsidRDefault="00D73EBD" w:rsidP="0040156E">
            <w:r>
              <w:rPr>
                <w:b/>
                <w:bCs/>
                <w:sz w:val="20"/>
                <w:szCs w:val="20"/>
              </w:rPr>
              <w:t>Domestic Value-Added</w:t>
            </w:r>
          </w:p>
        </w:tc>
        <w:tc>
          <w:tcPr>
            <w:tcW w:w="71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7C8010E1" w14:textId="77777777" w:rsidR="00D73EBD" w:rsidRDefault="00D73EBD" w:rsidP="0040156E">
            <w:r>
              <w:rPr>
                <w:sz w:val="20"/>
                <w:szCs w:val="20"/>
              </w:rPr>
              <w:t>≥40% domestic value-added percentage averaged over 3 taxable years. Calculated as (domestic labor + domestic materials + domestic overhead including depreciation on US equipment) ÷ total COGS. Depreciation computed using economic useful life (straight-line over applicable recovery period) regardless of §168(k) bonus depreciation elected for tax purposes. CPA safe harbor certification available.</w:t>
            </w:r>
          </w:p>
        </w:tc>
      </w:tr>
      <w:tr w:rsidR="00D73EBD" w14:paraId="2A17CA9E" w14:textId="77777777" w:rsidTr="0040156E">
        <w:tc>
          <w:tcPr>
            <w:tcW w:w="22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24545575" w14:textId="77777777" w:rsidR="00D73EBD" w:rsidRDefault="00D73EBD" w:rsidP="0040156E">
            <w:r>
              <w:rPr>
                <w:b/>
                <w:bCs/>
                <w:sz w:val="20"/>
                <w:szCs w:val="20"/>
              </w:rPr>
              <w:t>Size</w:t>
            </w:r>
          </w:p>
        </w:tc>
        <w:tc>
          <w:tcPr>
            <w:tcW w:w="71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25F38ED" w14:textId="77777777" w:rsidR="00D73EBD" w:rsidRDefault="00D73EBD" w:rsidP="0040156E">
            <w:r>
              <w:rPr>
                <w:sz w:val="20"/>
                <w:szCs w:val="20"/>
              </w:rPr>
              <w:t>Fewer than 2,500 employees (3-year average)</w:t>
            </w:r>
          </w:p>
        </w:tc>
      </w:tr>
      <w:tr w:rsidR="00D73EBD" w14:paraId="71DDC153" w14:textId="77777777" w:rsidTr="0040156E">
        <w:tc>
          <w:tcPr>
            <w:tcW w:w="22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6DC4E62A" w14:textId="77777777" w:rsidR="00D73EBD" w:rsidRDefault="00D73EBD" w:rsidP="0040156E">
            <w:r>
              <w:rPr>
                <w:b/>
                <w:bCs/>
                <w:sz w:val="20"/>
                <w:szCs w:val="20"/>
              </w:rPr>
              <w:t>Privately Held</w:t>
            </w:r>
          </w:p>
        </w:tc>
        <w:tc>
          <w:tcPr>
            <w:tcW w:w="71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5BEC023" w14:textId="77777777" w:rsidR="00D73EBD" w:rsidRDefault="00D73EBD" w:rsidP="0040156E">
            <w:r>
              <w:rPr>
                <w:sz w:val="20"/>
                <w:szCs w:val="20"/>
              </w:rPr>
              <w:t>No class of equity registered under §12 of the Securities Exchange Act of 1934 at the time the taxpayer acquires the interest</w:t>
            </w:r>
          </w:p>
        </w:tc>
      </w:tr>
    </w:tbl>
    <w:p w14:paraId="634E7959" w14:textId="77777777" w:rsidR="00D73EBD" w:rsidRDefault="00D73EBD" w:rsidP="00D73EBD">
      <w:pPr>
        <w:spacing w:after="120"/>
      </w:pPr>
      <w:r>
        <w:rPr>
          <w:b/>
          <w:bCs/>
        </w:rPr>
        <w:t xml:space="preserve">Eligible entity types: </w:t>
      </w:r>
      <w:r>
        <w:t>C corporations, S corporations, partnerships, LLCs, and sole proprietorships. This intentionally differs from QSBS (§1202), which is limited to C corporation stock.</w:t>
      </w:r>
    </w:p>
    <w:p w14:paraId="54923042" w14:textId="77777777" w:rsidR="00D73EBD" w:rsidRDefault="00D73EBD" w:rsidP="00D73EBD">
      <w:pPr>
        <w:spacing w:before="240" w:after="80"/>
      </w:pPr>
      <w:r>
        <w:rPr>
          <w:b/>
          <w:bCs/>
          <w:color w:val="2C5F8A"/>
          <w:sz w:val="26"/>
          <w:szCs w:val="26"/>
        </w:rPr>
        <w:t>2.1 NAICS Code Requirement</w:t>
      </w:r>
    </w:p>
    <w:p w14:paraId="07524785" w14:textId="77777777" w:rsidR="00D73EBD" w:rsidRDefault="00D73EBD" w:rsidP="00D73EBD">
      <w:pPr>
        <w:spacing w:after="120"/>
      </w:pPr>
      <w:r>
        <w:t>NAICS sectors 31–33 encompass all manufacturing activities. The NAICS alignment creates legislative coherence with other manufacturing support provisions and provides an objective, established classification system.</w:t>
      </w:r>
    </w:p>
    <w:p w14:paraId="7A8E703C" w14:textId="77777777" w:rsidR="00D73EBD" w:rsidRDefault="00D73EBD" w:rsidP="00D73EBD">
      <w:pPr>
        <w:spacing w:before="240" w:after="80"/>
      </w:pPr>
      <w:r>
        <w:rPr>
          <w:b/>
          <w:bCs/>
          <w:color w:val="2C5F8A"/>
          <w:sz w:val="26"/>
          <w:szCs w:val="26"/>
        </w:rPr>
        <w:t>2.2 40% Domestic Value-Added Requirement</w:t>
      </w:r>
    </w:p>
    <w:p w14:paraId="4574B378" w14:textId="77777777" w:rsidR="00D73EBD" w:rsidRDefault="00D73EBD" w:rsidP="00D73EBD">
      <w:pPr>
        <w:spacing w:after="120"/>
      </w:pPr>
      <w:r>
        <w:rPr>
          <w:i/>
          <w:iCs/>
        </w:rPr>
        <w:t>The business maintains a domestic value-added percentage of not less than 40 percent, determined on an average basis for the 3-taxable-year period ending with the taxable year of the sale or exchange.</w:t>
      </w:r>
    </w:p>
    <w:p w14:paraId="2915DE3C" w14:textId="77777777" w:rsidR="00D73EBD" w:rsidRDefault="00D73EBD" w:rsidP="00D73EBD">
      <w:pPr>
        <w:spacing w:after="120"/>
      </w:pPr>
      <w:r>
        <w:t xml:space="preserve">The DVA requirement ensures the benefit flows to genuine domestic manufacturers, not pure importers who perform minimal domestic activity. DVA components </w:t>
      </w:r>
      <w:proofErr w:type="gramStart"/>
      <w:r>
        <w:t>include:</w:t>
      </w:r>
      <w:proofErr w:type="gramEnd"/>
      <w:r>
        <w:t xml:space="preserve"> domestic labor costs, domestic materials costs, and domestic manufacturing overhead—explicitly including depreciation and amortization on US-located equipment, tooling, and facilities; utilities and energy; indirect labor; facility costs; and maintenance and repair.</w:t>
      </w:r>
    </w:p>
    <w:p w14:paraId="46FB5CE4" w14:textId="77777777" w:rsidR="00D73EBD" w:rsidRDefault="00D73EBD" w:rsidP="00D73EBD">
      <w:pPr>
        <w:spacing w:after="120"/>
      </w:pPr>
      <w:r>
        <w:rPr>
          <w:b/>
        </w:rPr>
        <w:t xml:space="preserve">Treatment of Bonus Depreciation (§168(k)). </w:t>
      </w:r>
      <w:r>
        <w:t xml:space="preserve">Under the One Big Beautiful Bill Act, 100% bonus depreciation allows manufacturers to expense the full cost of qualifying assets in the year placed in service. While beneficial for tax purposes, this creates a measurement distortion for DVA: a manufacturer who invests $10M in a new production line would show zero depreciation for that asset in Years 2–10, artificially depressing the overhead component of DVA and penalizing exactly the domestic capital investment MERA intends to reward. Accordingly, for purposes of calculating domestic value-added costs under §1202B, depreciation and amortization shall be computed using economic useful life on a straight-line basis over the applicable recovery period under §168(c), without regard to §168(k) (bonus depreciation), §179 (expensing), or any other provision allowing accelerated cost recovery. This ensures that a $10M machine with a 10-year recovery period contributes approximately $1M per year to the DVA numerator throughout its useful life, regardless of the tax depreciation method elected. This rule also </w:t>
      </w:r>
      <w:proofErr w:type="gramStart"/>
      <w:r>
        <w:t>future-proofs</w:t>
      </w:r>
      <w:proofErr w:type="gramEnd"/>
      <w:r>
        <w:t xml:space="preserve"> the DVA calculation against changes to bonus depreciation phasedown schedules.</w:t>
      </w:r>
    </w:p>
    <w:p w14:paraId="34278067" w14:textId="77777777" w:rsidR="00D73EBD" w:rsidRDefault="00D73EBD" w:rsidP="00D73EBD">
      <w:pPr>
        <w:spacing w:after="120"/>
      </w:pPr>
      <w:r>
        <w:lastRenderedPageBreak/>
        <w:t>The 40% threshold is high enough to exclude pure importers who merely label or repackage foreign goods, yet low enough to include genuine manufacturers who source some components globally. It aligns with Rules of Origin thresholds in trade agreements. The three-year average prevents temporary reshoring spikes before sale.</w:t>
      </w:r>
    </w:p>
    <w:p w14:paraId="6A75C6A2" w14:textId="77777777" w:rsidR="00D73EBD" w:rsidRDefault="00D73EBD" w:rsidP="00D73EBD">
      <w:pPr>
        <w:spacing w:before="240" w:after="80"/>
      </w:pPr>
      <w:r>
        <w:rPr>
          <w:b/>
          <w:bCs/>
          <w:color w:val="2C5F8A"/>
          <w:sz w:val="26"/>
          <w:szCs w:val="26"/>
        </w:rPr>
        <w:t>2.3 Size and Private Status</w:t>
      </w:r>
    </w:p>
    <w:p w14:paraId="43521F2D" w14:textId="77777777" w:rsidR="00D73EBD" w:rsidRDefault="00D73EBD" w:rsidP="00D73EBD">
      <w:pPr>
        <w:spacing w:after="120"/>
      </w:pPr>
      <w:r>
        <w:t xml:space="preserve">The 2,500-employee threshold captures </w:t>
      </w:r>
      <w:proofErr w:type="gramStart"/>
      <w:r>
        <w:t>the vast majority of</w:t>
      </w:r>
      <w:proofErr w:type="gramEnd"/>
      <w:r>
        <w:t xml:space="preserve"> family-owned manufacturers (99%+ of manufacturing establishments have fewer than 2,500 employees). The private company requirement ensures the benefit targets illiquid ownership interests where forced-sale dynamics are most acute—public company shareholders can sell shares on the open market without triggering the same liquidity crisis.</w:t>
      </w:r>
    </w:p>
    <w:p w14:paraId="4082D185" w14:textId="77777777" w:rsidR="00D73EBD" w:rsidRDefault="00D73EBD" w:rsidP="00D73EBD">
      <w:pPr>
        <w:pageBreakBefore/>
        <w:spacing w:after="120"/>
      </w:pPr>
      <w:r>
        <w:rPr>
          <w:b/>
          <w:bCs/>
          <w:color w:val="1B3A5C"/>
          <w:sz w:val="32"/>
          <w:szCs w:val="32"/>
        </w:rPr>
        <w:lastRenderedPageBreak/>
        <w:t>3. Track 1: Intrafamily Transfers (§2010A/§2505A)</w:t>
      </w:r>
    </w:p>
    <w:p w14:paraId="75ACC2CA" w14:textId="77777777" w:rsidR="00D73EBD" w:rsidRDefault="00D73EBD" w:rsidP="00D73EBD">
      <w:pPr>
        <w:spacing w:before="240" w:after="80"/>
      </w:pPr>
      <w:r>
        <w:rPr>
          <w:b/>
          <w:bCs/>
          <w:color w:val="2C5F8A"/>
          <w:sz w:val="26"/>
          <w:szCs w:val="26"/>
        </w:rPr>
        <w:t>3.1 Mechanism</w:t>
      </w:r>
    </w:p>
    <w:p w14:paraId="7FB9B9AA" w14:textId="77777777" w:rsidR="00D73EBD" w:rsidRDefault="00D73EBD" w:rsidP="00D73EBD">
      <w:pPr>
        <w:spacing w:after="120"/>
      </w:pPr>
      <w:r>
        <w:t xml:space="preserve">MERA creates new §2010A (estate tax) and §2505A (gift tax) providing an additional unified credit of up to $250 million per qualified manufacturing business (inflation-adjusted for taxable years beginning after December 31, 2027), on top of the existing unified credit of $15 million (2026). The $250M cap is per business, not per spouse—a married couple transferring one qualifying business can shelter up to $280 million ($30 million existing unified credit plus $250 million MERA credit). The transferor (or decedent) must have held the qualified manufacturing business interest for more than 10 years, measured from the date the business was </w:t>
      </w:r>
      <w:proofErr w:type="gramStart"/>
      <w:r>
        <w:t>founded</w:t>
      </w:r>
      <w:proofErr w:type="gramEnd"/>
      <w:r>
        <w:t xml:space="preserve"> or the interest was originally acquired. Pre-enactment holding periods count under the same transitional rule as Track 2.</w:t>
      </w:r>
    </w:p>
    <w:p w14:paraId="13149962" w14:textId="77777777" w:rsidR="00D73EBD" w:rsidRDefault="00D73EBD" w:rsidP="00D73EBD">
      <w:pPr>
        <w:spacing w:before="240" w:after="80"/>
      </w:pPr>
      <w:r>
        <w:rPr>
          <w:b/>
          <w:bCs/>
          <w:color w:val="2C5F8A"/>
          <w:sz w:val="26"/>
          <w:szCs w:val="26"/>
        </w:rPr>
        <w:t>3.2 Qualifying Family Members</w:t>
      </w:r>
    </w:p>
    <w:p w14:paraId="184D0A5D" w14:textId="77777777" w:rsidR="00D73EBD" w:rsidRDefault="00D73EBD" w:rsidP="00D73EBD">
      <w:pPr>
        <w:spacing w:after="120"/>
      </w:pPr>
      <w:r>
        <w:t>Transfers must be to “qualifying family members,” defined as:</w:t>
      </w:r>
    </w:p>
    <w:p w14:paraId="5E934961" w14:textId="77777777" w:rsidR="00D73EBD" w:rsidRDefault="00D73EBD" w:rsidP="00D73EBD">
      <w:pPr>
        <w:pStyle w:val="ListParagraph"/>
        <w:numPr>
          <w:ilvl w:val="0"/>
          <w:numId w:val="1"/>
        </w:numPr>
        <w:spacing w:after="60"/>
        <w:contextualSpacing w:val="0"/>
      </w:pPr>
      <w:r>
        <w:t>Spouse</w:t>
      </w:r>
    </w:p>
    <w:p w14:paraId="537305E6" w14:textId="77777777" w:rsidR="00D73EBD" w:rsidRDefault="00D73EBD" w:rsidP="00D73EBD">
      <w:pPr>
        <w:pStyle w:val="ListParagraph"/>
        <w:numPr>
          <w:ilvl w:val="0"/>
          <w:numId w:val="1"/>
        </w:numPr>
        <w:spacing w:after="60"/>
        <w:contextualSpacing w:val="0"/>
      </w:pPr>
      <w:r>
        <w:t>Lineal descendants of the transferor or spouse (children, grandchildren, etc.)</w:t>
      </w:r>
    </w:p>
    <w:p w14:paraId="7EB62576" w14:textId="77777777" w:rsidR="00D73EBD" w:rsidRDefault="00D73EBD" w:rsidP="00D73EBD">
      <w:pPr>
        <w:pStyle w:val="ListParagraph"/>
        <w:numPr>
          <w:ilvl w:val="0"/>
          <w:numId w:val="1"/>
        </w:numPr>
        <w:spacing w:after="60"/>
        <w:contextualSpacing w:val="0"/>
      </w:pPr>
      <w:r>
        <w:t>Lineal descendants of a parent of the transferor (siblings, nieces, nephews)</w:t>
      </w:r>
    </w:p>
    <w:p w14:paraId="2CC82910" w14:textId="77777777" w:rsidR="00D73EBD" w:rsidRDefault="00D73EBD" w:rsidP="00D73EBD">
      <w:pPr>
        <w:pStyle w:val="ListParagraph"/>
        <w:numPr>
          <w:ilvl w:val="0"/>
          <w:numId w:val="1"/>
        </w:numPr>
        <w:spacing w:after="60"/>
        <w:contextualSpacing w:val="0"/>
      </w:pPr>
      <w:r>
        <w:t>Spouses of any of the above</w:t>
      </w:r>
    </w:p>
    <w:p w14:paraId="15DC14C5" w14:textId="77777777" w:rsidR="00D73EBD" w:rsidRDefault="00D73EBD" w:rsidP="00D73EBD">
      <w:pPr>
        <w:pStyle w:val="ListParagraph"/>
        <w:numPr>
          <w:ilvl w:val="0"/>
          <w:numId w:val="1"/>
        </w:numPr>
        <w:spacing w:after="60"/>
        <w:contextualSpacing w:val="0"/>
      </w:pPr>
      <w:r>
        <w:t>Trusts or entities held solely by the above</w:t>
      </w:r>
    </w:p>
    <w:p w14:paraId="371587C2" w14:textId="77777777" w:rsidR="00D73EBD" w:rsidRDefault="00D73EBD" w:rsidP="00D73EBD">
      <w:pPr>
        <w:spacing w:before="240" w:after="80"/>
      </w:pPr>
      <w:r>
        <w:rPr>
          <w:b/>
          <w:bCs/>
          <w:color w:val="2C5F8A"/>
          <w:sz w:val="26"/>
          <w:szCs w:val="26"/>
        </w:rPr>
        <w:t>3.3 Basis and Holding Period</w:t>
      </w:r>
    </w:p>
    <w:p w14:paraId="5005EE2C" w14:textId="77777777" w:rsidR="00D73EBD" w:rsidRDefault="00D73EBD" w:rsidP="00D73EBD">
      <w:pPr>
        <w:spacing w:after="120"/>
      </w:pPr>
      <w:r>
        <w:rPr>
          <w:b/>
          <w:bCs/>
        </w:rPr>
        <w:t xml:space="preserve">Gifts: </w:t>
      </w:r>
      <w:r>
        <w:t>Carryover basis (§1015). The transferee inherits the transferor’s basis and holding period. This is critical: if the family later sells externally, they can qualify for the Track 2 income tax exclusion using the tacked holding period.</w:t>
      </w:r>
    </w:p>
    <w:p w14:paraId="0E8EFFE1" w14:textId="77777777" w:rsidR="00D73EBD" w:rsidRDefault="00D73EBD" w:rsidP="00D73EBD">
      <w:pPr>
        <w:spacing w:after="120"/>
      </w:pPr>
      <w:r>
        <w:rPr>
          <w:b/>
          <w:bCs/>
        </w:rPr>
        <w:t xml:space="preserve">Bequests: </w:t>
      </w:r>
      <w:r>
        <w:t>Stepped-up basis (§1014), but with tacked holding period for purposes of any subsequent §1202A exclusion.</w:t>
      </w:r>
    </w:p>
    <w:p w14:paraId="1EFB11D0" w14:textId="77777777" w:rsidR="00D73EBD" w:rsidRDefault="00D73EBD" w:rsidP="00D73EBD">
      <w:pPr>
        <w:spacing w:after="120"/>
      </w:pPr>
      <w:r>
        <w:rPr>
          <w:b/>
          <w:bCs/>
        </w:rPr>
        <w:t xml:space="preserve">10-Year Holding Period (Transferor). </w:t>
      </w:r>
      <w:r>
        <w:t xml:space="preserve">The transferor (or decedent, in the case of a bequest) must have held the qualified manufacturing business interest for more than 10 years at the time of the gift or death. The holding period is measured from the date the business was founded by the transferor or, if the interest was acquired from a third party, the date of original acquisition. This parallels the Track 2 holding period and ensures the credit rewards patient, long-term ownership rather than subsidizing recent acquisitions made in anticipation of a tax-free transfer. The same transitional rule </w:t>
      </w:r>
      <w:proofErr w:type="gramStart"/>
      <w:r>
        <w:t>applies:</w:t>
      </w:r>
      <w:proofErr w:type="gramEnd"/>
      <w:r>
        <w:t xml:space="preserve"> pre-enactment holding periods count, so a founder who has owned the business for 10+ years at enactment qualifies immediately.</w:t>
      </w:r>
    </w:p>
    <w:p w14:paraId="20E71F72" w14:textId="77777777" w:rsidR="00D73EBD" w:rsidRDefault="00D73EBD" w:rsidP="00D73EBD">
      <w:pPr>
        <w:spacing w:before="240" w:after="80"/>
      </w:pPr>
      <w:r>
        <w:rPr>
          <w:b/>
          <w:bCs/>
          <w:color w:val="2C5F8A"/>
          <w:sz w:val="26"/>
          <w:szCs w:val="26"/>
        </w:rPr>
        <w:t>3.4 No Recapture on Family Transfers</w:t>
      </w:r>
    </w:p>
    <w:p w14:paraId="5DAE2BCF" w14:textId="77777777" w:rsidR="00D73EBD" w:rsidRDefault="00D73EBD" w:rsidP="00D73EBD">
      <w:pPr>
        <w:spacing w:after="120"/>
      </w:pPr>
      <w:r>
        <w:t>Track 1 does not impose recapture obligations. The policy rationale is that family recipients are continuing the manufacturing operation, not extracting value. If the family subsequently sells externally, the Track 2 guardrails (including seller recapture) apply at that point.</w:t>
      </w:r>
    </w:p>
    <w:p w14:paraId="7DD38467" w14:textId="77777777" w:rsidR="00D73EBD" w:rsidRDefault="00D73EBD" w:rsidP="00D73EBD">
      <w:pPr>
        <w:spacing w:before="240" w:after="80"/>
      </w:pPr>
      <w:r>
        <w:rPr>
          <w:b/>
          <w:bCs/>
          <w:color w:val="2C5F8A"/>
          <w:sz w:val="26"/>
          <w:szCs w:val="26"/>
        </w:rPr>
        <w:t>3.5 Policy Rationale: Why the $250M Exemption Is Necessary</w:t>
      </w:r>
    </w:p>
    <w:p w14:paraId="368B6C50" w14:textId="77777777" w:rsidR="00D73EBD" w:rsidRDefault="00D73EBD" w:rsidP="00D73EBD">
      <w:pPr>
        <w:spacing w:before="180" w:after="60"/>
      </w:pPr>
      <w:r>
        <w:rPr>
          <w:b/>
          <w:bCs/>
          <w:color w:val="3A7AB5"/>
          <w:sz w:val="23"/>
          <w:szCs w:val="23"/>
        </w:rPr>
        <w:t>The Inadequacy of Section 6166</w:t>
      </w:r>
    </w:p>
    <w:p w14:paraId="1DC70D82" w14:textId="77777777" w:rsidR="00D73EBD" w:rsidRDefault="00D73EBD" w:rsidP="00D73EBD">
      <w:pPr>
        <w:spacing w:after="120"/>
      </w:pPr>
      <w:r>
        <w:lastRenderedPageBreak/>
        <w:t>Congress has long recognized that closely held businesses face unique estate tax liquidity challenges. Section 6166 of the Internal Revenue Code, enacted in the 1950s and repeatedly liberalized since, allows estates with qualifying closely held business interests exceeding 35% of the adjusted gross estate to defer estate tax payments over 14 years (5 years of interest-only payments followed by 10 annual installments of principal and interest).</w:t>
      </w:r>
    </w:p>
    <w:p w14:paraId="785E02E6" w14:textId="77777777" w:rsidR="00D73EBD" w:rsidRDefault="00D73EBD" w:rsidP="00D73EBD">
      <w:pPr>
        <w:spacing w:after="120"/>
      </w:pPr>
      <w:r>
        <w:t>However, Section 6166 is fundamentally a financing mechanism—it defers a tax bill rather than eliminating an economic distortion. For manufacturing businesses, it is inadequate on multiple dimensions:</w:t>
      </w:r>
    </w:p>
    <w:p w14:paraId="49A2271E" w14:textId="77777777" w:rsidR="00D73EBD" w:rsidRDefault="00D73EBD" w:rsidP="00D73EBD">
      <w:pPr>
        <w:spacing w:after="120"/>
      </w:pPr>
      <w:r>
        <w:rPr>
          <w:b/>
          <w:bCs/>
        </w:rPr>
        <w:t xml:space="preserve">It merely delays the capital drain. </w:t>
      </w:r>
      <w:r>
        <w:t>Even when an estate qualifies, the family must make 14 years of payments to the IRS from business cash flows. For a manufacturing company with a $50M estate tax liability, this means approximately $3.6M annually diverted from capital expenditures, R&amp;D, equipment maintenance, and workforce investment. Over the full 14-year payment term, the total cost including interest can exceed the original tax liability by 30–40%.</w:t>
      </w:r>
    </w:p>
    <w:p w14:paraId="6CC38396" w14:textId="77777777" w:rsidR="00D73EBD" w:rsidRDefault="00D73EBD" w:rsidP="00D73EBD">
      <w:pPr>
        <w:spacing w:after="120"/>
      </w:pPr>
      <w:r>
        <w:rPr>
          <w:b/>
          <w:bCs/>
        </w:rPr>
        <w:t xml:space="preserve">IRS liens constrain the business. </w:t>
      </w:r>
      <w:r>
        <w:t>The IRS places a general federal estate tax lien on all gross estate assets for 10 years from the date of death. When the deferral period extends beyond 10 years, the IRS may require a special lien under §6324A or a surety bond. These encumbrances impair the business’s ability to obtain commercial financing, refinance existing debt, or invest in new equipment—precisely the activities manufacturing companies need to remain competitive.</w:t>
      </w:r>
    </w:p>
    <w:p w14:paraId="239BFB98" w14:textId="77777777" w:rsidR="00D73EBD" w:rsidRDefault="00D73EBD" w:rsidP="00D73EBD">
      <w:pPr>
        <w:spacing w:after="120"/>
      </w:pPr>
      <w:r>
        <w:rPr>
          <w:b/>
          <w:bCs/>
        </w:rPr>
        <w:t xml:space="preserve">Acceleration risk creates existential uncertainty. </w:t>
      </w:r>
      <w:r>
        <w:t>The entire deferred balance becomes immediately due and payable if: cumulative dispositions of business interests reach 50% of the value at death; any installment payment is missed by more than 6 months; or the IRS determines security is insufficient. For a manufacturing family attempting to manage a generational transition—potentially involving partial buyouts of non-active siblings, restructuring to accommodate new management, or strategic asset redeployment—these triggers create a minefield that inhibits rational business decisions.</w:t>
      </w:r>
    </w:p>
    <w:p w14:paraId="320FB17D" w14:textId="77777777" w:rsidR="00D73EBD" w:rsidRDefault="00D73EBD" w:rsidP="00D73EBD">
      <w:pPr>
        <w:spacing w:after="120"/>
      </w:pPr>
      <w:r>
        <w:rPr>
          <w:b/>
          <w:bCs/>
        </w:rPr>
        <w:t xml:space="preserve">The 35% threshold is arbitrary and exclusionary. </w:t>
      </w:r>
      <w:r>
        <w:t>Many manufacturing business owners have diversified estates that include real estate (where the plant sits), investment accounts, and insurance proceeds. A manufacturer whose business represents 30% of the adjusted gross estate—still a massive, illiquid concentration—is entirely excluded from Section 6166 relief.</w:t>
      </w:r>
    </w:p>
    <w:p w14:paraId="1F18D5E3" w14:textId="77777777" w:rsidR="00D73EBD" w:rsidRDefault="00D73EBD" w:rsidP="00D73EBD">
      <w:pPr>
        <w:spacing w:after="120"/>
      </w:pPr>
      <w:proofErr w:type="spellStart"/>
      <w:r>
        <w:rPr>
          <w:b/>
          <w:bCs/>
        </w:rPr>
        <w:t>Graegin</w:t>
      </w:r>
      <w:proofErr w:type="spellEnd"/>
      <w:r>
        <w:rPr>
          <w:b/>
          <w:bCs/>
        </w:rPr>
        <w:t xml:space="preserve"> loans have supplanted 6166 in practice. </w:t>
      </w:r>
      <w:r>
        <w:t xml:space="preserve">Many sophisticated estates now use </w:t>
      </w:r>
      <w:proofErr w:type="spellStart"/>
      <w:r>
        <w:t>Graegin</w:t>
      </w:r>
      <w:proofErr w:type="spellEnd"/>
      <w:r>
        <w:t xml:space="preserve"> loans (private borrowing to pay estate tax, with the full interest expense deductible as an administration expense under §2053) rather than Section 6166, because </w:t>
      </w:r>
      <w:proofErr w:type="spellStart"/>
      <w:r>
        <w:t>Graegin</w:t>
      </w:r>
      <w:proofErr w:type="spellEnd"/>
      <w:r>
        <w:t xml:space="preserve"> loans offer greater flexibility, no acceleration triggers, and a potentially larger tax benefit. The fact that practitioners increasingly route around Section 6166 is itself evidence that the provision is inadequate for its stated purpose.</w:t>
      </w:r>
    </w:p>
    <w:p w14:paraId="16D23843" w14:textId="77777777" w:rsidR="00D73EBD" w:rsidRDefault="00D73EBD" w:rsidP="00D73EBD">
      <w:pPr>
        <w:spacing w:before="180" w:after="60"/>
      </w:pPr>
      <w:r>
        <w:rPr>
          <w:b/>
          <w:bCs/>
          <w:color w:val="3A7AB5"/>
          <w:sz w:val="23"/>
          <w:szCs w:val="23"/>
        </w:rPr>
        <w:t>How Few Estates Actually Use Section 6166</w:t>
      </w:r>
    </w:p>
    <w:p w14:paraId="19C5312B" w14:textId="77777777" w:rsidR="00D73EBD" w:rsidRDefault="00D73EBD" w:rsidP="00D73EBD">
      <w:pPr>
        <w:spacing w:after="120"/>
      </w:pPr>
      <w:r>
        <w:t>Remarkably, the IRS does not publish systematic statistics on Section 6166 elections in its standard SOI estate tax tables. The best available data indicates:</w:t>
      </w:r>
    </w:p>
    <w:p w14:paraId="3CFBF565" w14:textId="77777777" w:rsidR="00D73EBD" w:rsidRDefault="00D73EBD" w:rsidP="00D73EBD">
      <w:pPr>
        <w:pStyle w:val="ListParagraph"/>
        <w:numPr>
          <w:ilvl w:val="0"/>
          <w:numId w:val="1"/>
        </w:numPr>
        <w:spacing w:after="60"/>
        <w:contextualSpacing w:val="0"/>
      </w:pPr>
      <w:r>
        <w:t>Anecdotal practitioner data from 2008–2009 (when the exemption was $3.5M) indicates the IRS received approximately 650 federal estate tax returns with Section 6166 elections per year, with New York State receiving about 75 state-level 6166 elections in the same period.</w:t>
      </w:r>
    </w:p>
    <w:p w14:paraId="2901F511" w14:textId="77777777" w:rsidR="00D73EBD" w:rsidRDefault="00D73EBD" w:rsidP="00D73EBD">
      <w:pPr>
        <w:pStyle w:val="ListParagraph"/>
        <w:numPr>
          <w:ilvl w:val="0"/>
          <w:numId w:val="1"/>
        </w:numPr>
        <w:spacing w:after="60"/>
        <w:contextualSpacing w:val="0"/>
      </w:pPr>
      <w:r>
        <w:t>Under the current $13.99M exemption (post-TCJA), the Congressional Research Service reports that only about 300 estates with more than half their assets in farms or businesses paid any estate tax in 2023—accounting for 8% of taxable estates and 14% of estate tax revenue.</w:t>
      </w:r>
    </w:p>
    <w:p w14:paraId="4B234AB1" w14:textId="77777777" w:rsidR="00D73EBD" w:rsidRDefault="00D73EBD" w:rsidP="00D73EBD">
      <w:pPr>
        <w:pStyle w:val="ListParagraph"/>
        <w:numPr>
          <w:ilvl w:val="0"/>
          <w:numId w:val="1"/>
        </w:numPr>
        <w:spacing w:after="60"/>
        <w:contextualSpacing w:val="0"/>
      </w:pPr>
      <w:r>
        <w:lastRenderedPageBreak/>
        <w:t>Total taxable estates dropped from 5,467 in 2016 (pre-TCJA) to approximately 2,129 in 2019 (post-TCJA), representing just 0.07% of deaths. The number of 6166 elections has almost certainly declined proportionally.</w:t>
      </w:r>
    </w:p>
    <w:p w14:paraId="23F54703" w14:textId="77777777" w:rsidR="00D73EBD" w:rsidRDefault="00D73EBD" w:rsidP="00D73EBD">
      <w:pPr>
        <w:spacing w:after="120"/>
      </w:pPr>
      <w:r>
        <w:t xml:space="preserve">The absence of published data is itself a policy point: the federal government maintains a provision specifically designed to prevent forced liquidation of family </w:t>
      </w:r>
      <w:proofErr w:type="gramStart"/>
      <w:r>
        <w:t>businesses, but</w:t>
      </w:r>
      <w:proofErr w:type="gramEnd"/>
      <w:r>
        <w:t xml:space="preserve"> does not systematically track whether it works.</w:t>
      </w:r>
    </w:p>
    <w:p w14:paraId="13B20859" w14:textId="77777777" w:rsidR="00D73EBD" w:rsidRDefault="00D73EBD" w:rsidP="00D73EBD">
      <w:pPr>
        <w:spacing w:before="180" w:after="60"/>
      </w:pPr>
      <w:r>
        <w:rPr>
          <w:b/>
          <w:bCs/>
          <w:color w:val="3A7AB5"/>
          <w:sz w:val="23"/>
          <w:szCs w:val="23"/>
        </w:rPr>
        <w:t>MERA Completes What Section 6166 Started</w:t>
      </w:r>
    </w:p>
    <w:p w14:paraId="2FF6F209" w14:textId="77777777" w:rsidR="00D73EBD" w:rsidRDefault="00D73EBD" w:rsidP="00D73EBD">
      <w:pPr>
        <w:spacing w:after="120"/>
      </w:pPr>
      <w:r>
        <w:t>The legislative history of Section 6166 demonstrates a consistent Congressional intent to protect closely held businesses from forced liquidation. The original provision set the threshold at 65% of the adjusted gross estate; in 1981, Congress lowered it to 35%. EGTRRA broadened the definition of closely held business. The Taxpayer Relief Act of 1997 reduced interest rates on deferred tax and granted Tax Court review of IRS denials.</w:t>
      </w:r>
    </w:p>
    <w:p w14:paraId="2FB0037C" w14:textId="77777777" w:rsidR="00D73EBD" w:rsidRDefault="00D73EBD" w:rsidP="00D73EBD">
      <w:pPr>
        <w:spacing w:after="120"/>
      </w:pPr>
      <w:r>
        <w:t>Each revision moved in the same direction: expanding protection for family businesses. MERA represents the logical completion of this trajectory—recognizing that for domestic manufacturers specifically, the national interest in preserving productive industrial capacity justifies eliminating the estate tax burden entirely (up to $250M, inflation-adjusted) rather than merely deferring it.</w:t>
      </w:r>
    </w:p>
    <w:p w14:paraId="0E827914" w14:textId="77777777" w:rsidR="00D73EBD" w:rsidRDefault="00D73EBD" w:rsidP="00D73EBD">
      <w:pPr>
        <w:spacing w:after="120"/>
      </w:pPr>
      <w:r>
        <w:t xml:space="preserve">The $250M threshold was not chosen by analogy or intuition—it is derived from the estate tax mechanics of the problem MERA is designed to solve. The analysis below proceeds in three steps: (1) the valuation distribution of the boomer cohort, establishing who the cap </w:t>
      </w:r>
      <w:proofErr w:type="gramStart"/>
      <w:r>
        <w:t>actually affects</w:t>
      </w:r>
      <w:proofErr w:type="gramEnd"/>
      <w:r>
        <w:t>; (2) the first-principles derivation of $250M from the forced-sale arithmetic; and (3) a sensitivity analysis presenting the policy tradeoffs at alternative cap levels.</w:t>
      </w:r>
    </w:p>
    <w:p w14:paraId="3E6B9D40" w14:textId="77777777" w:rsidR="00D73EBD" w:rsidRDefault="00D73EBD" w:rsidP="00D73EBD">
      <w:pPr>
        <w:spacing w:before="160" w:after="60"/>
      </w:pPr>
      <w:r>
        <w:rPr>
          <w:b/>
          <w:bCs/>
          <w:color w:val="3A7AB5"/>
          <w:sz w:val="23"/>
          <w:szCs w:val="23"/>
        </w:rPr>
        <w:t>The Valuation Distribution of the Boomer Cohort</w:t>
      </w:r>
    </w:p>
    <w:p w14:paraId="417C87CD" w14:textId="77777777" w:rsidR="00D73EBD" w:rsidRDefault="00D73EBD" w:rsidP="00D73EBD">
      <w:pPr>
        <w:spacing w:after="80"/>
      </w:pPr>
      <w:r>
        <w:t>The 100,000–125,000 boomer-owned manufacturers targeted by MERA are not a random cross-section of all manufacturing establishments. They are disproportionately mature, capital-intensive businesses built over 30–50 years. Based on Census Bureau Business Dynamics Statistics, Exit Planning Institute longitudinal surveys, and private-market M&amp;A data (enterprise value multiples of 4–7× EBITDA are typical for NAICS 31–33), the estimated valuation distribution of the cohort is as follows.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350"/>
        <w:gridCol w:w="1350"/>
        <w:gridCol w:w="1350"/>
        <w:gridCol w:w="1710"/>
        <w:gridCol w:w="3600"/>
      </w:tblGrid>
      <w:tr w:rsidR="00D73EBD" w14:paraId="71F600C1"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61729E5C" w14:textId="77777777" w:rsidR="00D73EBD" w:rsidRDefault="00D73EBD" w:rsidP="0040156E">
            <w:r>
              <w:rPr>
                <w:b/>
                <w:bCs/>
                <w:color w:val="FFFFFF"/>
                <w:sz w:val="18"/>
                <w:szCs w:val="18"/>
              </w:rPr>
              <w:t>Valuation Band</w:t>
            </w:r>
          </w:p>
        </w:tc>
        <w:tc>
          <w:tcPr>
            <w:tcW w:w="135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053215ED" w14:textId="77777777" w:rsidR="00D73EBD" w:rsidRDefault="00D73EBD" w:rsidP="0040156E">
            <w:r>
              <w:rPr>
                <w:b/>
                <w:bCs/>
                <w:color w:val="FFFFFF"/>
                <w:sz w:val="18"/>
                <w:szCs w:val="18"/>
              </w:rPr>
              <w:t>~% of Cohort</w:t>
            </w:r>
          </w:p>
        </w:tc>
        <w:tc>
          <w:tcPr>
            <w:tcW w:w="135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6D7FEB27" w14:textId="77777777" w:rsidR="00D73EBD" w:rsidRDefault="00D73EBD" w:rsidP="0040156E">
            <w:r>
              <w:rPr>
                <w:b/>
                <w:bCs/>
                <w:color w:val="FFFFFF"/>
                <w:sz w:val="18"/>
                <w:szCs w:val="18"/>
              </w:rPr>
              <w:t>Est. # of Firms</w:t>
            </w:r>
          </w:p>
        </w:tc>
        <w:tc>
          <w:tcPr>
            <w:tcW w:w="171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5F6D3100" w14:textId="77777777" w:rsidR="00D73EBD" w:rsidRDefault="00D73EBD" w:rsidP="0040156E">
            <w:r>
              <w:rPr>
                <w:b/>
                <w:bCs/>
                <w:color w:val="FFFFFF"/>
                <w:sz w:val="18"/>
                <w:szCs w:val="18"/>
              </w:rPr>
              <w:t>MERA Cap Status</w:t>
            </w:r>
          </w:p>
        </w:tc>
        <w:tc>
          <w:tcPr>
            <w:tcW w:w="36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7AFDB42C" w14:textId="77777777" w:rsidR="00D73EBD" w:rsidRDefault="00D73EBD" w:rsidP="0040156E">
            <w:r>
              <w:rPr>
                <w:b/>
                <w:bCs/>
                <w:color w:val="FFFFFF"/>
                <w:sz w:val="18"/>
                <w:szCs w:val="18"/>
              </w:rPr>
              <w:t>Key Dynamics</w:t>
            </w:r>
          </w:p>
        </w:tc>
      </w:tr>
      <w:tr w:rsidR="00D73EBD" w14:paraId="494249B9"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587E739" w14:textId="77777777" w:rsidR="00D73EBD" w:rsidRDefault="00D73EBD" w:rsidP="0040156E">
            <w:r>
              <w:rPr>
                <w:sz w:val="18"/>
                <w:szCs w:val="18"/>
              </w:rPr>
              <w:t>&lt;$5M</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49BE39F7" w14:textId="77777777" w:rsidR="00D73EBD" w:rsidRDefault="00D73EBD" w:rsidP="0040156E">
            <w:r>
              <w:rPr>
                <w:sz w:val="18"/>
                <w:szCs w:val="18"/>
              </w:rPr>
              <w:t>~35%</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21C2A4C7" w14:textId="77777777" w:rsidR="00D73EBD" w:rsidRDefault="00D73EBD" w:rsidP="0040156E">
            <w:r>
              <w:rPr>
                <w:sz w:val="18"/>
                <w:szCs w:val="18"/>
              </w:rPr>
              <w:t>35,000–44,000</w:t>
            </w:r>
          </w:p>
        </w:tc>
        <w:tc>
          <w:tcPr>
            <w:tcW w:w="171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43383D49" w14:textId="77777777" w:rsidR="00D73EBD" w:rsidRDefault="00D73EBD" w:rsidP="0040156E">
            <w:r>
              <w:rPr>
                <w:sz w:val="18"/>
                <w:szCs w:val="18"/>
              </w:rPr>
              <w:t>Covered by existing $15M credit</w:t>
            </w:r>
          </w:p>
        </w:tc>
        <w:tc>
          <w:tcPr>
            <w:tcW w:w="360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5F93EEF0" w14:textId="77777777" w:rsidR="00D73EBD" w:rsidRDefault="00D73EBD" w:rsidP="0040156E">
            <w:r>
              <w:rPr>
                <w:sz w:val="18"/>
                <w:szCs w:val="18"/>
              </w:rPr>
              <w:t>Mostly single-location shops; no estate tax exposure at current $15M exemption. MERA Track 2 provides capital gains relief on external sale.</w:t>
            </w:r>
          </w:p>
        </w:tc>
      </w:tr>
      <w:tr w:rsidR="00D73EBD" w14:paraId="768FAD7D"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0F132490" w14:textId="77777777" w:rsidR="00D73EBD" w:rsidRDefault="00D73EBD" w:rsidP="0040156E">
            <w:r>
              <w:rPr>
                <w:sz w:val="18"/>
                <w:szCs w:val="18"/>
              </w:rPr>
              <w:t>$5M–$15M</w:t>
            </w:r>
          </w:p>
        </w:tc>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6C6E606E" w14:textId="77777777" w:rsidR="00D73EBD" w:rsidRDefault="00D73EBD" w:rsidP="0040156E">
            <w:r>
              <w:rPr>
                <w:sz w:val="18"/>
                <w:szCs w:val="18"/>
              </w:rPr>
              <w:t>~25%</w:t>
            </w:r>
          </w:p>
        </w:tc>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61765E09" w14:textId="77777777" w:rsidR="00D73EBD" w:rsidRDefault="00D73EBD" w:rsidP="0040156E">
            <w:r>
              <w:rPr>
                <w:sz w:val="18"/>
                <w:szCs w:val="18"/>
              </w:rPr>
              <w:t>25,000–31,000</w:t>
            </w:r>
          </w:p>
        </w:tc>
        <w:tc>
          <w:tcPr>
            <w:tcW w:w="171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150265B3" w14:textId="77777777" w:rsidR="00D73EBD" w:rsidRDefault="00D73EBD" w:rsidP="0040156E">
            <w:r>
              <w:rPr>
                <w:sz w:val="18"/>
                <w:szCs w:val="18"/>
              </w:rPr>
              <w:t>Covered by existing $15M credit</w:t>
            </w:r>
          </w:p>
        </w:tc>
        <w:tc>
          <w:tcPr>
            <w:tcW w:w="360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1804431F" w14:textId="77777777" w:rsidR="00D73EBD" w:rsidRDefault="00D73EBD" w:rsidP="0040156E">
            <w:r>
              <w:rPr>
                <w:sz w:val="18"/>
                <w:szCs w:val="18"/>
              </w:rPr>
              <w:t xml:space="preserve">Section 6166 rarely needed at current exemption </w:t>
            </w:r>
            <w:proofErr w:type="gramStart"/>
            <w:r>
              <w:rPr>
                <w:sz w:val="18"/>
                <w:szCs w:val="18"/>
              </w:rPr>
              <w:t>level;</w:t>
            </w:r>
            <w:proofErr w:type="gramEnd"/>
            <w:r>
              <w:rPr>
                <w:sz w:val="18"/>
                <w:szCs w:val="18"/>
              </w:rPr>
              <w:t xml:space="preserve"> marginal estate tax exposure. MERA Track 2 capital gains exclusion is the primary benefit in this band.</w:t>
            </w:r>
          </w:p>
        </w:tc>
      </w:tr>
      <w:tr w:rsidR="00D73EBD" w14:paraId="637C8657"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0FF7B37" w14:textId="77777777" w:rsidR="00D73EBD" w:rsidRDefault="00D73EBD" w:rsidP="0040156E">
            <w:r>
              <w:rPr>
                <w:sz w:val="18"/>
                <w:szCs w:val="18"/>
              </w:rPr>
              <w:t>$15M–$100M</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6426A88C" w14:textId="77777777" w:rsidR="00D73EBD" w:rsidRDefault="00D73EBD" w:rsidP="0040156E">
            <w:r>
              <w:rPr>
                <w:sz w:val="18"/>
                <w:szCs w:val="18"/>
              </w:rPr>
              <w:t>~25%</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3A1CEC36" w14:textId="77777777" w:rsidR="00D73EBD" w:rsidRDefault="00D73EBD" w:rsidP="0040156E">
            <w:r>
              <w:rPr>
                <w:sz w:val="18"/>
                <w:szCs w:val="18"/>
              </w:rPr>
              <w:t>25,000–31,000</w:t>
            </w:r>
          </w:p>
        </w:tc>
        <w:tc>
          <w:tcPr>
            <w:tcW w:w="171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29EA166" w14:textId="77777777" w:rsidR="00D73EBD" w:rsidRDefault="00D73EBD" w:rsidP="0040156E">
            <w:r>
              <w:rPr>
                <w:sz w:val="18"/>
                <w:szCs w:val="18"/>
              </w:rPr>
              <w:t>MERA cap non-binding</w:t>
            </w:r>
          </w:p>
        </w:tc>
        <w:tc>
          <w:tcPr>
            <w:tcW w:w="360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1AA26800" w14:textId="77777777" w:rsidR="00D73EBD" w:rsidRDefault="00D73EBD" w:rsidP="0040156E">
            <w:r>
              <w:rPr>
                <w:sz w:val="18"/>
                <w:szCs w:val="18"/>
              </w:rPr>
              <w:t>Core Track 1 beneficiaries. Estate tax problem eliminated entirely—MERA credit absorbs full liability. Forced-sale risk eradicated. These are the businesses MERA is most directly designed to protect.</w:t>
            </w:r>
          </w:p>
        </w:tc>
      </w:tr>
      <w:tr w:rsidR="00D73EBD" w14:paraId="6F1349D5"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3B3AAD3E" w14:textId="77777777" w:rsidR="00D73EBD" w:rsidRDefault="00D73EBD" w:rsidP="0040156E">
            <w:r>
              <w:rPr>
                <w:sz w:val="18"/>
                <w:szCs w:val="18"/>
              </w:rPr>
              <w:t>$100M–$250M</w:t>
            </w:r>
          </w:p>
        </w:tc>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5515041B" w14:textId="77777777" w:rsidR="00D73EBD" w:rsidRDefault="00D73EBD" w:rsidP="0040156E">
            <w:r>
              <w:rPr>
                <w:sz w:val="18"/>
                <w:szCs w:val="18"/>
              </w:rPr>
              <w:t>~12%</w:t>
            </w:r>
          </w:p>
        </w:tc>
        <w:tc>
          <w:tcPr>
            <w:tcW w:w="135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224B5ED2" w14:textId="77777777" w:rsidR="00D73EBD" w:rsidRDefault="00D73EBD" w:rsidP="0040156E">
            <w:r>
              <w:rPr>
                <w:sz w:val="18"/>
                <w:szCs w:val="18"/>
              </w:rPr>
              <w:t>12,000–15,000</w:t>
            </w:r>
          </w:p>
        </w:tc>
        <w:tc>
          <w:tcPr>
            <w:tcW w:w="171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40815E0E" w14:textId="77777777" w:rsidR="00D73EBD" w:rsidRDefault="00D73EBD" w:rsidP="0040156E">
            <w:r>
              <w:rPr>
                <w:sz w:val="18"/>
                <w:szCs w:val="18"/>
              </w:rPr>
              <w:t>MERA cap non-binding</w:t>
            </w:r>
          </w:p>
        </w:tc>
        <w:tc>
          <w:tcPr>
            <w:tcW w:w="360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3E0208AA" w14:textId="77777777" w:rsidR="00D73EBD" w:rsidRDefault="00D73EBD" w:rsidP="0040156E">
            <w:r>
              <w:rPr>
                <w:sz w:val="18"/>
                <w:szCs w:val="18"/>
              </w:rPr>
              <w:t>Significant mid-market manufacturers; largest estate tax bills (up to ~$94M). This is the band where a cap lower than $250M would leave residual forced-sale risk. Fully relieved under MERA.</w:t>
            </w:r>
          </w:p>
        </w:tc>
      </w:tr>
      <w:tr w:rsidR="00D73EBD" w14:paraId="6103C788" w14:textId="77777777" w:rsidTr="0040156E">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520455AE" w14:textId="77777777" w:rsidR="00D73EBD" w:rsidRDefault="00D73EBD" w:rsidP="0040156E">
            <w:r>
              <w:rPr>
                <w:sz w:val="18"/>
                <w:szCs w:val="18"/>
              </w:rPr>
              <w:lastRenderedPageBreak/>
              <w:t>&gt;$250M</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B57E43B" w14:textId="77777777" w:rsidR="00D73EBD" w:rsidRDefault="00D73EBD" w:rsidP="0040156E">
            <w:r>
              <w:rPr>
                <w:sz w:val="18"/>
                <w:szCs w:val="18"/>
              </w:rPr>
              <w:t>~3%</w:t>
            </w:r>
          </w:p>
        </w:tc>
        <w:tc>
          <w:tcPr>
            <w:tcW w:w="135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45DB741D" w14:textId="77777777" w:rsidR="00D73EBD" w:rsidRDefault="00D73EBD" w:rsidP="0040156E">
            <w:r>
              <w:rPr>
                <w:sz w:val="18"/>
                <w:szCs w:val="18"/>
              </w:rPr>
              <w:t>3,000–4,000</w:t>
            </w:r>
          </w:p>
        </w:tc>
        <w:tc>
          <w:tcPr>
            <w:tcW w:w="171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F025DB8" w14:textId="77777777" w:rsidR="00D73EBD" w:rsidRDefault="00D73EBD" w:rsidP="0040156E">
            <w:r>
              <w:rPr>
                <w:sz w:val="18"/>
                <w:szCs w:val="18"/>
              </w:rPr>
              <w:t>Cap is binding; partial relief only</w:t>
            </w:r>
          </w:p>
        </w:tc>
        <w:tc>
          <w:tcPr>
            <w:tcW w:w="360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68D225DF" w14:textId="77777777" w:rsidR="00D73EBD" w:rsidRDefault="00D73EBD" w:rsidP="0040156E">
            <w:r>
              <w:rPr>
                <w:sz w:val="18"/>
                <w:szCs w:val="18"/>
              </w:rPr>
              <w:t>Residual estate tax exposure of up to $100M+ above the cap. MERA provides substantial partial relief; Section 6166 and estate planning tools address the remainder. Tension with the 2,500-employee size limit (see below).</w:t>
            </w:r>
          </w:p>
        </w:tc>
      </w:tr>
    </w:tbl>
    <w:p w14:paraId="690A9F58" w14:textId="77777777" w:rsidR="00D73EBD" w:rsidRDefault="00D73EBD" w:rsidP="00D73EBD">
      <w:pPr>
        <w:spacing w:before="160" w:after="60"/>
      </w:pPr>
      <w:r>
        <w:rPr>
          <w:b/>
          <w:bCs/>
          <w:color w:val="3A7AB5"/>
          <w:sz w:val="23"/>
          <w:szCs w:val="23"/>
        </w:rPr>
        <w:t>Why $250M, Derived from First Principles</w:t>
      </w:r>
    </w:p>
    <w:p w14:paraId="578FE53C" w14:textId="77777777" w:rsidR="00D73EBD" w:rsidRDefault="00D73EBD" w:rsidP="00D73EBD">
      <w:pPr>
        <w:spacing w:after="120"/>
      </w:pPr>
      <w:r>
        <w:t>The $250M threshold is not primarily a coverage calculation—it is an estate tax mechanics calculation. The derivation is as follows. At the current 40% marginal estate tax rate applicable above the $15M unified credit, a manufacturing business valued at $265M generates an estate tax liability of approximately $100M. That is the practical upper bound of what a mid-market manufacturing family can service from business cash flows without either selling the business outright or permanently impairing its investment capacity. MERA’s $250M credit eliminates this liability entirely. A lower cap would leave a residual tax bill that still forces the same liquidity crisis and supply chain disruption the statute is designed to prevent. The “virtually all firms” observation is accurate but secondary: it is a consequence of the mechanics, not the design criterion. The design criterion is completeness—a half-measure that leaves $50M in estate tax on a $200M business still produces forced-sale dynamics, defeating the statutory purpose.</w:t>
      </w:r>
    </w:p>
    <w:p w14:paraId="465A08B6" w14:textId="77777777" w:rsidR="00D73EBD" w:rsidRDefault="00D73EBD" w:rsidP="00D73EBD">
      <w:pPr>
        <w:spacing w:after="120"/>
      </w:pPr>
      <w:r>
        <w:t xml:space="preserve">To be concrete: at a 40% estate tax rate on the amount above the existing $15M unified credit, the estate tax liability at each valuation level is approximately: $25M business → $4M liability; $50M → $14M; $100M → $34M; $150M → $54M; $200M → $74M; $250M → $94M. A $250M MERA credit wipes out the entire liability at every level up to the cap. A $150M MERA credit would solve the problem for businesses valued below $150M but leave a $20M–$34M liability for businesses in the $150M–$250M band—still enough to force a partial sale, </w:t>
      </w:r>
      <w:proofErr w:type="spellStart"/>
      <w:r>
        <w:t>Graegin</w:t>
      </w:r>
      <w:proofErr w:type="spellEnd"/>
      <w:r>
        <w:t xml:space="preserve"> loan, or capital drain for 12,000–15,000 manufacturing employers.</w:t>
      </w:r>
    </w:p>
    <w:p w14:paraId="070D06C3" w14:textId="77777777" w:rsidR="00D73EBD" w:rsidRDefault="00D73EBD" w:rsidP="00D73EBD">
      <w:pPr>
        <w:spacing w:before="160" w:after="60"/>
      </w:pPr>
      <w:r>
        <w:rPr>
          <w:b/>
          <w:bCs/>
          <w:color w:val="3A7AB5"/>
          <w:sz w:val="23"/>
          <w:szCs w:val="23"/>
        </w:rPr>
        <w:t>The Internal Tension: Employee Count vs. Valuation Cap</w:t>
      </w:r>
    </w:p>
    <w:p w14:paraId="19C915BF" w14:textId="77777777" w:rsidR="00D73EBD" w:rsidRDefault="00D73EBD" w:rsidP="00D73EBD">
      <w:pPr>
        <w:spacing w:after="120"/>
      </w:pPr>
      <w:r>
        <w:t>There is a structural tension between MERA’s 2,500-employee size limit and the $250M valuation cap that Congress should explicitly consider. A manufacturer operating near the upper bound of the size limit—say, 2,400 employees in aerospace components or industrial equipment—is likely valued well above $250M. Using conservative revenue-per-employee ratios ($200K–$400K, typical for NAICS 31–33 at that scale) and standard private-market EBITDA multiples (4–7×), a 2,400-employee manufacturer carries a plausible enterprise value of $150M–$800M, with the median near $350M–$450M. For firms in that upper range, the $250M cap is binding—leaving $100M–$250M of value exposed to the 40% estate tax and generating a residual liability of $40M–$100M that can still force a sale. Congress faces three calibration choices.</w:t>
      </w:r>
    </w:p>
    <w:p w14:paraId="52540EFC" w14:textId="77777777" w:rsidR="00D73EBD" w:rsidRDefault="00D73EBD" w:rsidP="00D73EBD">
      <w:pPr>
        <w:spacing w:after="80"/>
        <w:ind w:left="360"/>
      </w:pPr>
      <w:r>
        <w:rPr>
          <w:b/>
          <w:bCs/>
        </w:rPr>
        <w:t>Option A — Lower the employee threshold.</w:t>
      </w:r>
      <w:r>
        <w:t xml:space="preserve"> Reduce the size limit to ~500 employees, making the eligible class internally consistent with the $250M cap. Most 500-employee manufacturers are valued below $250M. Tradeoff: excludes a large portion of the boomer cohort (firms with 500–2,500 employees represent a disproportionate share of manufacturing employment and supply chain criticality).</w:t>
      </w:r>
    </w:p>
    <w:p w14:paraId="7DCFC823" w14:textId="77777777" w:rsidR="00D73EBD" w:rsidRDefault="00D73EBD" w:rsidP="00D73EBD">
      <w:pPr>
        <w:spacing w:after="80"/>
        <w:ind w:left="360"/>
      </w:pPr>
      <w:r>
        <w:rPr>
          <w:b/>
          <w:bCs/>
        </w:rPr>
        <w:t>Option B — Raise the cap to $400M–$500M.</w:t>
      </w:r>
      <w:r>
        <w:t xml:space="preserve"> Fully consistent with the 2,500-employee size limit; eliminates residual exposure for upper-quartile firms. Tradeoff: higher CBO revenue cost (modest in absolute terms, since so few firms are in this band) and potential political vulnerability to the headline number.</w:t>
      </w:r>
    </w:p>
    <w:p w14:paraId="273DEAD1" w14:textId="77777777" w:rsidR="00D73EBD" w:rsidRDefault="00D73EBD" w:rsidP="00D73EBD">
      <w:pPr>
        <w:spacing w:after="120"/>
        <w:ind w:left="360"/>
      </w:pPr>
      <w:r>
        <w:rPr>
          <w:b/>
          <w:bCs/>
        </w:rPr>
        <w:t>Option C — Acknowledge the gap explicitly.</w:t>
      </w:r>
      <w:r>
        <w:t xml:space="preserve"> Retain both the 2,500-employee limit and the $250M </w:t>
      </w:r>
      <w:proofErr w:type="gramStart"/>
      <w:r>
        <w:t>cap, and</w:t>
      </w:r>
      <w:proofErr w:type="gramEnd"/>
      <w:r>
        <w:t xml:space="preserve"> acknowledge that MERA provides substantial but not complete relief for the largest eligible </w:t>
      </w:r>
      <w:r>
        <w:lastRenderedPageBreak/>
        <w:t>firms, which retain recourse to Section 6166 and conventional estate planning for residual exposure. This is the most politically pragmatic choice and is defensible, but the Explainer should be transparent about the gap rather than claiming universal coverage.</w:t>
      </w:r>
    </w:p>
    <w:p w14:paraId="0D661065" w14:textId="77777777" w:rsidR="00D73EBD" w:rsidRDefault="00D73EBD" w:rsidP="00D73EBD">
      <w:pPr>
        <w:spacing w:before="160" w:after="60"/>
      </w:pPr>
      <w:r>
        <w:rPr>
          <w:b/>
          <w:bCs/>
          <w:color w:val="3A7AB5"/>
          <w:sz w:val="23"/>
          <w:szCs w:val="23"/>
        </w:rPr>
        <w:t>Sensitivity Analysis: Alternative Cap Calibrations</w:t>
      </w:r>
    </w:p>
    <w:p w14:paraId="1F8FBC93" w14:textId="77777777" w:rsidR="00D73EBD" w:rsidRDefault="00D73EBD" w:rsidP="00D73EBD">
      <w:pPr>
        <w:spacing w:after="80"/>
      </w:pPr>
      <w:r>
        <w:t>The table below presents the policy tradeoffs at four alternative cap levels. Because the boomer cohort is heavily concentrated below $100M in valuation, the revenue cost differential between a $150M cap and a $250M cap is small—but the policy coverage difference for the 12,000–15,000 firms in the $100M–$250M band is material. Revenue estimates are illustrative ranges using the same methodology as the CBA (estate tax filers in qualifying NAICS sectors under the current exemption, plus projected Track 2 capital gains events</w:t>
      </w:r>
      <w:proofErr w:type="gramStart"/>
      <w:r>
        <w:t>), and</w:t>
      </w:r>
      <w:proofErr w:type="gramEnd"/>
      <w:r>
        <w:t xml:space="preserve"> would require CBO refinement against Treasury data on manufacturing capital gains realizations not publicly available at the business level.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60"/>
        <w:gridCol w:w="1440"/>
        <w:gridCol w:w="1440"/>
        <w:gridCol w:w="5220"/>
      </w:tblGrid>
      <w:tr w:rsidR="00D73EBD" w14:paraId="7F0A83D6" w14:textId="77777777" w:rsidTr="0040156E">
        <w:tc>
          <w:tcPr>
            <w:tcW w:w="126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68420A9F" w14:textId="77777777" w:rsidR="00D73EBD" w:rsidRDefault="00D73EBD" w:rsidP="0040156E">
            <w:r>
              <w:rPr>
                <w:b/>
                <w:bCs/>
                <w:color w:val="FFFFFF"/>
                <w:sz w:val="18"/>
                <w:szCs w:val="18"/>
              </w:rPr>
              <w:t>Cap Level</w:t>
            </w:r>
          </w:p>
        </w:tc>
        <w:tc>
          <w:tcPr>
            <w:tcW w:w="144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489E70F2" w14:textId="77777777" w:rsidR="00D73EBD" w:rsidRDefault="00D73EBD" w:rsidP="0040156E">
            <w:r>
              <w:rPr>
                <w:b/>
                <w:bCs/>
                <w:color w:val="FFFFFF"/>
                <w:sz w:val="18"/>
                <w:szCs w:val="18"/>
              </w:rPr>
              <w:t>Cohort Coverage (Track 1)</w:t>
            </w:r>
          </w:p>
        </w:tc>
        <w:tc>
          <w:tcPr>
            <w:tcW w:w="144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015FBF12" w14:textId="77777777" w:rsidR="00D73EBD" w:rsidRDefault="00D73EBD" w:rsidP="0040156E">
            <w:r>
              <w:rPr>
                <w:b/>
                <w:bCs/>
                <w:color w:val="FFFFFF"/>
                <w:sz w:val="18"/>
                <w:szCs w:val="18"/>
              </w:rPr>
              <w:t>Est. 10-Yr Revenue Cost</w:t>
            </w:r>
          </w:p>
        </w:tc>
        <w:tc>
          <w:tcPr>
            <w:tcW w:w="522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5131D022" w14:textId="77777777" w:rsidR="00D73EBD" w:rsidRDefault="00D73EBD" w:rsidP="0040156E">
            <w:r>
              <w:rPr>
                <w:b/>
                <w:bCs/>
                <w:color w:val="FFFFFF"/>
                <w:sz w:val="18"/>
                <w:szCs w:val="18"/>
              </w:rPr>
              <w:t>Policy Implications</w:t>
            </w:r>
          </w:p>
        </w:tc>
      </w:tr>
      <w:tr w:rsidR="00D73EBD" w14:paraId="52373FF8" w14:textId="77777777" w:rsidTr="0040156E">
        <w:tc>
          <w:tcPr>
            <w:tcW w:w="126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5170AC17" w14:textId="77777777" w:rsidR="00D73EBD" w:rsidRDefault="00D73EBD" w:rsidP="0040156E">
            <w:r>
              <w:rPr>
                <w:b/>
                <w:bCs/>
                <w:sz w:val="18"/>
                <w:szCs w:val="18"/>
              </w:rPr>
              <w:t>$100M</w:t>
            </w:r>
          </w:p>
        </w:tc>
        <w:tc>
          <w:tcPr>
            <w:tcW w:w="144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6A86D83A" w14:textId="77777777" w:rsidR="00D73EBD" w:rsidRDefault="00D73EBD" w:rsidP="0040156E">
            <w:r>
              <w:rPr>
                <w:sz w:val="18"/>
                <w:szCs w:val="18"/>
              </w:rPr>
              <w:t>~95% of cohort fully covered</w:t>
            </w:r>
          </w:p>
        </w:tc>
        <w:tc>
          <w:tcPr>
            <w:tcW w:w="144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52221C29" w14:textId="77777777" w:rsidR="00D73EBD" w:rsidRDefault="00D73EBD" w:rsidP="0040156E">
            <w:r>
              <w:rPr>
                <w:sz w:val="18"/>
                <w:szCs w:val="18"/>
              </w:rPr>
              <w:t>~$3–8B</w:t>
            </w:r>
          </w:p>
        </w:tc>
        <w:tc>
          <w:tcPr>
            <w:tcW w:w="522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19F2ABD" w14:textId="77777777" w:rsidR="00D73EBD" w:rsidRDefault="00D73EBD" w:rsidP="0040156E">
            <w:r>
              <w:rPr>
                <w:sz w:val="18"/>
                <w:szCs w:val="18"/>
              </w:rPr>
              <w:t>Eliminates the forced-sale problem for 95% of the boomer cohort. Leaves ~15,000 firms in the $100M–$250M band with partial exposure ($14M–$34M residual estate tax liability). Minimum viable threshold—below this level, the provision fails to solve the problem for a significant share of the most consequential (i.e., largest-employing) firms in the cohort.</w:t>
            </w:r>
          </w:p>
        </w:tc>
      </w:tr>
      <w:tr w:rsidR="00D73EBD" w14:paraId="235EE3A1" w14:textId="77777777" w:rsidTr="0040156E">
        <w:tc>
          <w:tcPr>
            <w:tcW w:w="126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2C9DE67C" w14:textId="77777777" w:rsidR="00D73EBD" w:rsidRDefault="00D73EBD" w:rsidP="0040156E">
            <w:r>
              <w:rPr>
                <w:b/>
                <w:bCs/>
                <w:sz w:val="18"/>
                <w:szCs w:val="18"/>
              </w:rPr>
              <w:t>$150M</w:t>
            </w:r>
          </w:p>
        </w:tc>
        <w:tc>
          <w:tcPr>
            <w:tcW w:w="144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409FFCBD" w14:textId="77777777" w:rsidR="00D73EBD" w:rsidRDefault="00D73EBD" w:rsidP="0040156E">
            <w:r>
              <w:rPr>
                <w:sz w:val="18"/>
                <w:szCs w:val="18"/>
              </w:rPr>
              <w:t>~97% of cohort fully covered</w:t>
            </w:r>
          </w:p>
        </w:tc>
        <w:tc>
          <w:tcPr>
            <w:tcW w:w="144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54AFA265" w14:textId="77777777" w:rsidR="00D73EBD" w:rsidRDefault="00D73EBD" w:rsidP="0040156E">
            <w:r>
              <w:rPr>
                <w:sz w:val="18"/>
                <w:szCs w:val="18"/>
              </w:rPr>
              <w:t>~$4–10B</w:t>
            </w:r>
          </w:p>
        </w:tc>
        <w:tc>
          <w:tcPr>
            <w:tcW w:w="5220" w:type="dxa"/>
            <w:tcBorders>
              <w:top w:val="single" w:sz="1" w:space="0" w:color="B0B0B0"/>
              <w:left w:val="single" w:sz="1" w:space="0" w:color="B0B0B0"/>
              <w:bottom w:val="single" w:sz="1" w:space="0" w:color="B0B0B0"/>
              <w:right w:val="single" w:sz="1" w:space="0" w:color="B0B0B0"/>
            </w:tcBorders>
            <w:shd w:val="clear" w:color="auto" w:fill="FFFFFF"/>
            <w:tcMar>
              <w:top w:w="50" w:type="dxa"/>
              <w:left w:w="80" w:type="dxa"/>
              <w:bottom w:w="50" w:type="dxa"/>
              <w:right w:w="80" w:type="dxa"/>
            </w:tcMar>
          </w:tcPr>
          <w:p w14:paraId="70F5DE52" w14:textId="77777777" w:rsidR="00D73EBD" w:rsidRDefault="00D73EBD" w:rsidP="0040156E">
            <w:r>
              <w:rPr>
                <w:sz w:val="18"/>
                <w:szCs w:val="18"/>
              </w:rPr>
              <w:t xml:space="preserve">Covers 97% of cohort; leaves ~3,000–4,000 firms in the $150M–$250M band with $20M–$34M residual liability—still sufficient to force a partial sale or capital drain. Lowest-cost cap that substantially solves the </w:t>
            </w:r>
            <w:proofErr w:type="gramStart"/>
            <w:r>
              <w:rPr>
                <w:sz w:val="18"/>
                <w:szCs w:val="18"/>
              </w:rPr>
              <w:t>problem, but</w:t>
            </w:r>
            <w:proofErr w:type="gramEnd"/>
            <w:r>
              <w:rPr>
                <w:sz w:val="18"/>
                <w:szCs w:val="18"/>
              </w:rPr>
              <w:t xml:space="preserve"> does not eliminate forced-sale dynamics for the mid-market segment most likely to employ 200–800 workers per firm. Revenue cost increment above $100M is modest because the $100M–$150M firm band is small.</w:t>
            </w:r>
          </w:p>
        </w:tc>
      </w:tr>
      <w:tr w:rsidR="00D73EBD" w14:paraId="47398B97" w14:textId="77777777" w:rsidTr="0040156E">
        <w:tc>
          <w:tcPr>
            <w:tcW w:w="1260" w:type="dxa"/>
            <w:tcBorders>
              <w:top w:val="single" w:sz="1" w:space="0" w:color="B0B0B0"/>
              <w:left w:val="single" w:sz="1" w:space="0" w:color="B0B0B0"/>
              <w:bottom w:val="single" w:sz="1" w:space="0" w:color="B0B0B0"/>
              <w:right w:val="single" w:sz="1" w:space="0" w:color="B0B0B0"/>
            </w:tcBorders>
            <w:shd w:val="clear" w:color="auto" w:fill="D5E8F0"/>
            <w:tcMar>
              <w:top w:w="50" w:type="dxa"/>
              <w:left w:w="80" w:type="dxa"/>
              <w:bottom w:w="50" w:type="dxa"/>
              <w:right w:w="80" w:type="dxa"/>
            </w:tcMar>
          </w:tcPr>
          <w:p w14:paraId="0A4F6A4A" w14:textId="77777777" w:rsidR="00D73EBD" w:rsidRDefault="00D73EBD" w:rsidP="0040156E">
            <w:r>
              <w:rPr>
                <w:b/>
                <w:bCs/>
                <w:color w:val="1B3A5C"/>
                <w:sz w:val="18"/>
                <w:szCs w:val="18"/>
              </w:rPr>
              <w:t xml:space="preserve">$250M </w:t>
            </w:r>
            <w:r>
              <w:rPr>
                <w:rFonts w:ascii="Segoe UI Symbol" w:hAnsi="Segoe UI Symbol" w:cs="Segoe UI Symbol"/>
                <w:b/>
                <w:bCs/>
                <w:color w:val="1B3A5C"/>
                <w:sz w:val="18"/>
                <w:szCs w:val="18"/>
              </w:rPr>
              <w:t>★</w:t>
            </w:r>
          </w:p>
        </w:tc>
        <w:tc>
          <w:tcPr>
            <w:tcW w:w="1440" w:type="dxa"/>
            <w:tcBorders>
              <w:top w:val="single" w:sz="1" w:space="0" w:color="B0B0B0"/>
              <w:left w:val="single" w:sz="1" w:space="0" w:color="B0B0B0"/>
              <w:bottom w:val="single" w:sz="1" w:space="0" w:color="B0B0B0"/>
              <w:right w:val="single" w:sz="1" w:space="0" w:color="B0B0B0"/>
            </w:tcBorders>
            <w:shd w:val="clear" w:color="auto" w:fill="D5E8F0"/>
            <w:tcMar>
              <w:top w:w="50" w:type="dxa"/>
              <w:left w:w="80" w:type="dxa"/>
              <w:bottom w:w="50" w:type="dxa"/>
              <w:right w:w="80" w:type="dxa"/>
            </w:tcMar>
          </w:tcPr>
          <w:p w14:paraId="23AD4159" w14:textId="77777777" w:rsidR="00D73EBD" w:rsidRDefault="00D73EBD" w:rsidP="0040156E">
            <w:r>
              <w:rPr>
                <w:sz w:val="18"/>
                <w:szCs w:val="18"/>
              </w:rPr>
              <w:t>~99% of cohort fully covered</w:t>
            </w:r>
          </w:p>
        </w:tc>
        <w:tc>
          <w:tcPr>
            <w:tcW w:w="1440" w:type="dxa"/>
            <w:tcBorders>
              <w:top w:val="single" w:sz="1" w:space="0" w:color="B0B0B0"/>
              <w:left w:val="single" w:sz="1" w:space="0" w:color="B0B0B0"/>
              <w:bottom w:val="single" w:sz="1" w:space="0" w:color="B0B0B0"/>
              <w:right w:val="single" w:sz="1" w:space="0" w:color="B0B0B0"/>
            </w:tcBorders>
            <w:shd w:val="clear" w:color="auto" w:fill="D5E8F0"/>
            <w:tcMar>
              <w:top w:w="50" w:type="dxa"/>
              <w:left w:w="80" w:type="dxa"/>
              <w:bottom w:w="50" w:type="dxa"/>
              <w:right w:w="80" w:type="dxa"/>
            </w:tcMar>
          </w:tcPr>
          <w:p w14:paraId="48B0AA1B" w14:textId="77777777" w:rsidR="00D73EBD" w:rsidRDefault="00D73EBD" w:rsidP="0040156E">
            <w:r>
              <w:rPr>
                <w:sz w:val="18"/>
                <w:szCs w:val="18"/>
              </w:rPr>
              <w:t>~$5–15B</w:t>
            </w:r>
          </w:p>
        </w:tc>
        <w:tc>
          <w:tcPr>
            <w:tcW w:w="5220" w:type="dxa"/>
            <w:tcBorders>
              <w:top w:val="single" w:sz="1" w:space="0" w:color="B0B0B0"/>
              <w:left w:val="single" w:sz="1" w:space="0" w:color="B0B0B0"/>
              <w:bottom w:val="single" w:sz="1" w:space="0" w:color="B0B0B0"/>
              <w:right w:val="single" w:sz="1" w:space="0" w:color="B0B0B0"/>
            </w:tcBorders>
            <w:shd w:val="clear" w:color="auto" w:fill="D5E8F0"/>
            <w:tcMar>
              <w:top w:w="50" w:type="dxa"/>
              <w:left w:w="80" w:type="dxa"/>
              <w:bottom w:w="50" w:type="dxa"/>
              <w:right w:w="80" w:type="dxa"/>
            </w:tcMar>
          </w:tcPr>
          <w:p w14:paraId="3C7A9F2E" w14:textId="77777777" w:rsidR="00D73EBD" w:rsidRDefault="00D73EBD" w:rsidP="0040156E">
            <w:r>
              <w:rPr>
                <w:b/>
                <w:bCs/>
                <w:sz w:val="18"/>
                <w:szCs w:val="18"/>
              </w:rPr>
              <w:t xml:space="preserve">Recommended. </w:t>
            </w:r>
            <w:r>
              <w:rPr>
                <w:sz w:val="18"/>
                <w:szCs w:val="18"/>
              </w:rPr>
              <w:t>Solves the estate tax mechanics for virtually all family manufacturers below the cap. The $2–5B revenue cost increment above $150M is small relative to the preservation of 12,000–15,000 additional manufacturing employers. Creates clean planning certainty with no cliff effects in the $150M–$250M band. Consistent with the first-principles derivation: fully eliminates the maximum estate tax problem MERA is designed to solve. Residual exposure only for the ~3% of firms above the cap.</w:t>
            </w:r>
          </w:p>
        </w:tc>
      </w:tr>
      <w:tr w:rsidR="00D73EBD" w14:paraId="49197601" w14:textId="77777777" w:rsidTr="0040156E">
        <w:tc>
          <w:tcPr>
            <w:tcW w:w="126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05ACFE92" w14:textId="77777777" w:rsidR="00D73EBD" w:rsidRDefault="00D73EBD" w:rsidP="0040156E">
            <w:r>
              <w:rPr>
                <w:b/>
                <w:bCs/>
                <w:sz w:val="18"/>
                <w:szCs w:val="18"/>
              </w:rPr>
              <w:t>$400M–$500M</w:t>
            </w:r>
          </w:p>
        </w:tc>
        <w:tc>
          <w:tcPr>
            <w:tcW w:w="144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58AECAEE" w14:textId="77777777" w:rsidR="00D73EBD" w:rsidRDefault="00D73EBD" w:rsidP="0040156E">
            <w:r>
              <w:rPr>
                <w:sz w:val="18"/>
                <w:szCs w:val="18"/>
              </w:rPr>
              <w:t>~100% of cohort fully covered</w:t>
            </w:r>
          </w:p>
        </w:tc>
        <w:tc>
          <w:tcPr>
            <w:tcW w:w="144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44ABE686" w14:textId="77777777" w:rsidR="00D73EBD" w:rsidRDefault="00D73EBD" w:rsidP="0040156E">
            <w:r>
              <w:rPr>
                <w:sz w:val="18"/>
                <w:szCs w:val="18"/>
              </w:rPr>
              <w:t>~$8–20B</w:t>
            </w:r>
          </w:p>
        </w:tc>
        <w:tc>
          <w:tcPr>
            <w:tcW w:w="5220" w:type="dxa"/>
            <w:tcBorders>
              <w:top w:val="single" w:sz="1" w:space="0" w:color="B0B0B0"/>
              <w:left w:val="single" w:sz="1" w:space="0" w:color="B0B0B0"/>
              <w:bottom w:val="single" w:sz="1" w:space="0" w:color="B0B0B0"/>
              <w:right w:val="single" w:sz="1" w:space="0" w:color="B0B0B0"/>
            </w:tcBorders>
            <w:shd w:val="clear" w:color="auto" w:fill="EAEFF5"/>
            <w:tcMar>
              <w:top w:w="50" w:type="dxa"/>
              <w:left w:w="80" w:type="dxa"/>
              <w:bottom w:w="50" w:type="dxa"/>
              <w:right w:w="80" w:type="dxa"/>
            </w:tcMar>
          </w:tcPr>
          <w:p w14:paraId="11B78942" w14:textId="77777777" w:rsidR="00D73EBD" w:rsidRDefault="00D73EBD" w:rsidP="0040156E">
            <w:r>
              <w:rPr>
                <w:sz w:val="18"/>
                <w:szCs w:val="18"/>
              </w:rPr>
              <w:t>Fully consistent with the 2,500-employee size limit; eliminates all residual exposure for upper-quartile firms and resolves the employee-count/valuation-cap structural tension identified above. Marginal revenue cost increment above $250M is small in absolute terms (~$3–5B over 10 years, given how few firms are in the $250M–$500M band). Primary tradeoff is political: the headline maximum benefit ($160M–$200M of estate tax avoided per business) is more vulnerable to criticism than the $94M maximum at the $250M cap, even though the actual population benefiting is tiny.</w:t>
            </w:r>
          </w:p>
        </w:tc>
      </w:tr>
    </w:tbl>
    <w:p w14:paraId="70D0D3B6" w14:textId="77777777" w:rsidR="00D73EBD" w:rsidRDefault="00D73EBD" w:rsidP="00D73EBD">
      <w:pPr>
        <w:spacing w:after="120"/>
      </w:pPr>
      <w:r>
        <w:rPr>
          <w:rFonts w:ascii="Segoe UI Symbol" w:hAnsi="Segoe UI Symbol" w:cs="Segoe UI Symbol"/>
          <w:i/>
          <w:iCs/>
          <w:sz w:val="20"/>
          <w:szCs w:val="20"/>
        </w:rPr>
        <w:t>★</w:t>
      </w:r>
      <w:r>
        <w:rPr>
          <w:i/>
          <w:iCs/>
          <w:sz w:val="20"/>
          <w:szCs w:val="20"/>
        </w:rPr>
        <w:t xml:space="preserve"> Recommended. Revenue estimates are illustrative ranges based on the distribution of manufacturing estate tax filers under the current exemption and projected Track 2 capital gains events. Actual CBO scoring would require Treasury data on manufacturing capital gains realizations not publicly available at the business level. The $5–15B Track 1 revenue cost cited in the “Revenue context” paragraph below is consistent with the $250M cap and should be read in conjunction with this sensitivity analysis.</w:t>
      </w:r>
    </w:p>
    <w:p w14:paraId="1656D4AC" w14:textId="77777777" w:rsidR="00D73EBD" w:rsidRDefault="00D73EBD" w:rsidP="00D73EBD">
      <w:pPr>
        <w:spacing w:after="120"/>
      </w:pPr>
      <w:r>
        <w:rPr>
          <w:b/>
          <w:bCs/>
        </w:rPr>
        <w:t xml:space="preserve">Revenue context: </w:t>
      </w:r>
      <w:r>
        <w:t xml:space="preserve">If only approximately 300 estates with majority business/farm assets paid estate tax in 2023 under the current exemption, and the $250M MERA credit would apply only to domestic </w:t>
      </w:r>
      <w:r>
        <w:lastRenderedPageBreak/>
        <w:t>manufacturing businesses meeting NAICS, DVA, size, and private-company requirements, the revenue cost of Track 1 is modest—estimated at $5–15B over 10 years—while the preservation of manufacturing capacity is substantial.</w:t>
      </w:r>
    </w:p>
    <w:p w14:paraId="1C297F03" w14:textId="77777777" w:rsidR="00D73EBD" w:rsidRDefault="00D73EBD" w:rsidP="00D73EBD">
      <w:pPr>
        <w:spacing w:before="240" w:after="80"/>
      </w:pPr>
      <w:r>
        <w:rPr>
          <w:b/>
          <w:bCs/>
          <w:color w:val="2C5F8A"/>
          <w:sz w:val="26"/>
          <w:szCs w:val="26"/>
        </w:rPr>
        <w:t>3.6 Worked Example: The Martinez Family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73EBD" w14:paraId="597507B5" w14:textId="77777777" w:rsidTr="0040156E">
        <w:tc>
          <w:tcPr>
            <w:tcW w:w="9360" w:type="dxa"/>
            <w:tcBorders>
              <w:top w:val="single" w:sz="2" w:space="0" w:color="2C5F8A"/>
              <w:left w:val="single" w:sz="2" w:space="0" w:color="2C5F8A"/>
              <w:bottom w:val="single" w:sz="2" w:space="0" w:color="2C5F8A"/>
              <w:right w:val="single" w:sz="2" w:space="0" w:color="2C5F8A"/>
            </w:tcBorders>
            <w:shd w:val="clear" w:color="auto" w:fill="F5F7FA"/>
            <w:tcMar>
              <w:top w:w="80" w:type="dxa"/>
              <w:left w:w="120" w:type="dxa"/>
              <w:bottom w:w="80" w:type="dxa"/>
              <w:right w:w="120" w:type="dxa"/>
            </w:tcMar>
          </w:tcPr>
          <w:p w14:paraId="7EFA563A" w14:textId="77777777" w:rsidR="00D73EBD" w:rsidRDefault="00D73EBD" w:rsidP="0040156E">
            <w:pPr>
              <w:spacing w:after="60"/>
            </w:pPr>
            <w:r>
              <w:rPr>
                <w:b/>
                <w:bCs/>
                <w:color w:val="1B3A5C"/>
                <w:sz w:val="21"/>
                <w:szCs w:val="21"/>
              </w:rPr>
              <w:t>Example 1: The Martinez Family — Precision Machining</w:t>
            </w:r>
          </w:p>
          <w:p w14:paraId="64CADB7D" w14:textId="77777777" w:rsidR="00D73EBD" w:rsidRDefault="00D73EBD" w:rsidP="0040156E">
            <w:pPr>
              <w:spacing w:after="60"/>
            </w:pPr>
            <w:r>
              <w:rPr>
                <w:sz w:val="21"/>
                <w:szCs w:val="21"/>
              </w:rPr>
              <w:t>Maria Martinez, age 68, founded a precision machining company in 2001. The business has 180 employees, $45M annual revenue, 62% domestic value-added, and is valued at $38M. Maria wants to transfer the business to her daughter Elena, who has managed the shop floor for 12 years.</w:t>
            </w:r>
          </w:p>
          <w:p w14:paraId="55534451" w14:textId="77777777" w:rsidR="00D73EBD" w:rsidRDefault="00D73EBD" w:rsidP="0040156E">
            <w:pPr>
              <w:spacing w:after="60"/>
            </w:pPr>
            <w:r>
              <w:rPr>
                <w:b/>
                <w:bCs/>
                <w:sz w:val="21"/>
                <w:szCs w:val="21"/>
              </w:rPr>
              <w:t xml:space="preserve">Without MERA: </w:t>
            </w:r>
            <w:r>
              <w:rPr>
                <w:sz w:val="21"/>
                <w:szCs w:val="21"/>
              </w:rPr>
              <w:t>Maria gifts the company to Elena. The $38M transfer exceeds the $15M unified credit by $23M. At the 40% gift tax rate, Maria owes $9.2M in gift tax—forcing either a partial sale of the business, personal debt, or outside capital to pay the tax. Alternatively, if Maria dies holding the business, her estate could elect Section 6166 and make 14 years of payments totaling approximately $12M including interest, with IRS liens on all business assets throughout.</w:t>
            </w:r>
          </w:p>
          <w:p w14:paraId="7670C591" w14:textId="77777777" w:rsidR="00D73EBD" w:rsidRDefault="00D73EBD" w:rsidP="0040156E">
            <w:pPr>
              <w:spacing w:after="60"/>
            </w:pPr>
            <w:r>
              <w:rPr>
                <w:b/>
                <w:bCs/>
                <w:sz w:val="21"/>
                <w:szCs w:val="21"/>
              </w:rPr>
              <w:t xml:space="preserve">With MERA Track 1: </w:t>
            </w:r>
            <w:r>
              <w:rPr>
                <w:sz w:val="21"/>
                <w:szCs w:val="21"/>
              </w:rPr>
              <w:t>Maria claims the §2505A additional unified credit. Maria has held the business for over 24 years (founded 2001), satisfying the 10-year holding period. The $38M transfer is fully covered by the $250M manufacturing business exclusion amount. Gift tax owed: $0. Elena receives the business with carryover basis and Maria’s tacked holding period. If Elena later sells externally after satisfying the 10-year hold (using Maria’s founding date), she can claim the Track 2 exclusion.</w:t>
            </w:r>
          </w:p>
          <w:p w14:paraId="5F584C53" w14:textId="77777777" w:rsidR="00D73EBD" w:rsidRDefault="00D73EBD" w:rsidP="0040156E">
            <w:r>
              <w:rPr>
                <w:b/>
                <w:bCs/>
                <w:color w:val="1B3A5C"/>
                <w:sz w:val="21"/>
                <w:szCs w:val="21"/>
              </w:rPr>
              <w:t xml:space="preserve">Tax savings: $9.2 million. </w:t>
            </w:r>
            <w:r>
              <w:rPr>
                <w:color w:val="1B3A5C"/>
                <w:sz w:val="21"/>
                <w:szCs w:val="21"/>
              </w:rPr>
              <w:t>Jobs preserved: 180. Supply chain maintained.</w:t>
            </w:r>
          </w:p>
        </w:tc>
      </w:tr>
    </w:tbl>
    <w:p w14:paraId="79B598BF" w14:textId="77777777" w:rsidR="00D73EBD" w:rsidRDefault="00D73EBD" w:rsidP="00D73EBD">
      <w:pPr>
        <w:pageBreakBefore/>
        <w:spacing w:after="120"/>
      </w:pPr>
      <w:r>
        <w:rPr>
          <w:b/>
          <w:bCs/>
          <w:color w:val="1B3A5C"/>
          <w:sz w:val="32"/>
          <w:szCs w:val="32"/>
        </w:rPr>
        <w:lastRenderedPageBreak/>
        <w:t>4. Track 2: External Sales (§1202A)</w:t>
      </w:r>
    </w:p>
    <w:p w14:paraId="46B1CA1A" w14:textId="77777777" w:rsidR="00D73EBD" w:rsidRDefault="00D73EBD" w:rsidP="00D73EBD">
      <w:pPr>
        <w:spacing w:before="240" w:after="80"/>
      </w:pPr>
      <w:r>
        <w:rPr>
          <w:b/>
          <w:bCs/>
          <w:color w:val="2C5F8A"/>
          <w:sz w:val="26"/>
          <w:szCs w:val="26"/>
        </w:rPr>
        <w:t>4.1 Mechanism</w:t>
      </w:r>
    </w:p>
    <w:p w14:paraId="2DA324E2" w14:textId="77777777" w:rsidR="00D73EBD" w:rsidRDefault="00D73EBD" w:rsidP="00D73EBD">
      <w:pPr>
        <w:spacing w:after="120"/>
      </w:pPr>
      <w:r>
        <w:t>New §1202A provides a 100% exclusion from gross income of gain recognized on the sale of a qualified manufacturing business interest to an unrelated purchaser. The exclusion is capped at $250 million per qualified manufacturing business (inflation-adjusted for taxable years beginning after December 31, 2027) (not per taxpayer—a critical distinction from QSBS, which is per-taxpayer).</w:t>
      </w:r>
    </w:p>
    <w:p w14:paraId="66CAB8FB" w14:textId="77777777" w:rsidR="00D73EBD" w:rsidRDefault="00D73EBD" w:rsidP="00D73EBD">
      <w:pPr>
        <w:spacing w:before="240" w:after="80"/>
      </w:pPr>
      <w:r>
        <w:rPr>
          <w:b/>
          <w:bCs/>
          <w:color w:val="2C5F8A"/>
          <w:sz w:val="26"/>
          <w:szCs w:val="26"/>
        </w:rPr>
        <w:t>4.2 Key Requirements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D73EBD" w14:paraId="68AF3C01" w14:textId="77777777" w:rsidTr="0040156E">
        <w:tc>
          <w:tcPr>
            <w:tcW w:w="28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0A276EF2" w14:textId="77777777" w:rsidR="00D73EBD" w:rsidRDefault="00D73EBD" w:rsidP="0040156E">
            <w:r>
              <w:rPr>
                <w:b/>
                <w:bCs/>
                <w:color w:val="FFFFFF"/>
                <w:sz w:val="20"/>
                <w:szCs w:val="20"/>
              </w:rPr>
              <w:t>Element</w:t>
            </w:r>
          </w:p>
        </w:tc>
        <w:tc>
          <w:tcPr>
            <w:tcW w:w="656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25D7F3C3" w14:textId="77777777" w:rsidR="00D73EBD" w:rsidRDefault="00D73EBD" w:rsidP="0040156E">
            <w:r>
              <w:rPr>
                <w:b/>
                <w:bCs/>
                <w:color w:val="FFFFFF"/>
                <w:sz w:val="20"/>
                <w:szCs w:val="20"/>
              </w:rPr>
              <w:t>Rule</w:t>
            </w:r>
          </w:p>
        </w:tc>
      </w:tr>
      <w:tr w:rsidR="00D73EBD" w14:paraId="5807DBB4" w14:textId="77777777" w:rsidTr="0040156E">
        <w:tc>
          <w:tcPr>
            <w:tcW w:w="28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259DED19" w14:textId="77777777" w:rsidR="00D73EBD" w:rsidRDefault="00D73EBD" w:rsidP="0040156E">
            <w:r>
              <w:rPr>
                <w:b/>
                <w:bCs/>
                <w:sz w:val="20"/>
                <w:szCs w:val="20"/>
              </w:rPr>
              <w:t>Holding Period</w:t>
            </w:r>
          </w:p>
        </w:tc>
        <w:tc>
          <w:tcPr>
            <w:tcW w:w="6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369D9FCA" w14:textId="77777777" w:rsidR="00D73EBD" w:rsidRDefault="00D73EBD" w:rsidP="0040156E">
            <w:r>
              <w:rPr>
                <w:sz w:val="20"/>
                <w:szCs w:val="20"/>
              </w:rPr>
              <w:t>More than 10 years (tacking permitted for inheritance, gift, divorce)</w:t>
            </w:r>
          </w:p>
        </w:tc>
      </w:tr>
      <w:tr w:rsidR="00D73EBD" w14:paraId="391CED13" w14:textId="77777777" w:rsidTr="0040156E">
        <w:tc>
          <w:tcPr>
            <w:tcW w:w="28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408461A1" w14:textId="77777777" w:rsidR="00D73EBD" w:rsidRDefault="00D73EBD" w:rsidP="0040156E">
            <w:r>
              <w:rPr>
                <w:b/>
                <w:bCs/>
                <w:sz w:val="20"/>
                <w:szCs w:val="20"/>
              </w:rPr>
              <w:t>Buyer Restriction</w:t>
            </w:r>
          </w:p>
        </w:tc>
        <w:tc>
          <w:tcPr>
            <w:tcW w:w="65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1A24424" w14:textId="77777777" w:rsidR="00D73EBD" w:rsidRDefault="00D73EBD" w:rsidP="0040156E">
            <w:r>
              <w:rPr>
                <w:sz w:val="20"/>
                <w:szCs w:val="20"/>
              </w:rPr>
              <w:t>Must be a non-family buyer (qualifying family member transfers go through Track 1)</w:t>
            </w:r>
          </w:p>
        </w:tc>
      </w:tr>
      <w:tr w:rsidR="00D73EBD" w14:paraId="4BF62260" w14:textId="77777777" w:rsidTr="0040156E">
        <w:tc>
          <w:tcPr>
            <w:tcW w:w="28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25BFBD22" w14:textId="77777777" w:rsidR="00D73EBD" w:rsidRDefault="00D73EBD" w:rsidP="0040156E">
            <w:r>
              <w:rPr>
                <w:b/>
                <w:bCs/>
                <w:sz w:val="20"/>
                <w:szCs w:val="20"/>
              </w:rPr>
              <w:t>Cap</w:t>
            </w:r>
          </w:p>
        </w:tc>
        <w:tc>
          <w:tcPr>
            <w:tcW w:w="6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7C782EA" w14:textId="77777777" w:rsidR="00D73EBD" w:rsidRDefault="00D73EBD" w:rsidP="0040156E">
            <w:r>
              <w:rPr>
                <w:sz w:val="20"/>
                <w:szCs w:val="20"/>
              </w:rPr>
              <w:t>$250M per business (inflation-adjusted after 2027 per §2010(c)(3) methodology, rounded to the nearest $1,000,000), allocated via pro-rata equity allocation</w:t>
            </w:r>
          </w:p>
        </w:tc>
      </w:tr>
      <w:tr w:rsidR="00D73EBD" w14:paraId="3CCA2526" w14:textId="77777777" w:rsidTr="0040156E">
        <w:tc>
          <w:tcPr>
            <w:tcW w:w="28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C918EC6" w14:textId="77777777" w:rsidR="00D73EBD" w:rsidRDefault="00D73EBD" w:rsidP="0040156E">
            <w:r>
              <w:rPr>
                <w:b/>
                <w:bCs/>
                <w:sz w:val="20"/>
                <w:szCs w:val="20"/>
              </w:rPr>
              <w:t>Entity Types</w:t>
            </w:r>
          </w:p>
        </w:tc>
        <w:tc>
          <w:tcPr>
            <w:tcW w:w="65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71F09DD" w14:textId="77777777" w:rsidR="00D73EBD" w:rsidRDefault="00D73EBD" w:rsidP="0040156E">
            <w:r>
              <w:rPr>
                <w:sz w:val="20"/>
                <w:szCs w:val="20"/>
              </w:rPr>
              <w:t>C corps, S corps, partnerships, LLCs, sole proprietorships (broader than QSBS)</w:t>
            </w:r>
          </w:p>
        </w:tc>
      </w:tr>
      <w:tr w:rsidR="00D73EBD" w14:paraId="47DD2C57" w14:textId="77777777" w:rsidTr="0040156E">
        <w:tc>
          <w:tcPr>
            <w:tcW w:w="28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31FFEFAF" w14:textId="77777777" w:rsidR="00D73EBD" w:rsidRDefault="00D73EBD" w:rsidP="0040156E">
            <w:r>
              <w:rPr>
                <w:b/>
                <w:bCs/>
                <w:sz w:val="20"/>
                <w:szCs w:val="20"/>
              </w:rPr>
              <w:t>IPO Acceleration</w:t>
            </w:r>
          </w:p>
        </w:tc>
        <w:tc>
          <w:tcPr>
            <w:tcW w:w="6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29ACDFD" w14:textId="77777777" w:rsidR="00D73EBD" w:rsidRDefault="00D73EBD" w:rsidP="0040156E">
            <w:r>
              <w:rPr>
                <w:sz w:val="20"/>
                <w:szCs w:val="20"/>
              </w:rPr>
              <w:t>Qualified public offering satisfies holding period (SPACs and reverse mergers excluded)</w:t>
            </w:r>
          </w:p>
        </w:tc>
      </w:tr>
      <w:tr w:rsidR="00D73EBD" w14:paraId="54ECCEF1" w14:textId="77777777" w:rsidTr="0040156E">
        <w:tc>
          <w:tcPr>
            <w:tcW w:w="28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0AFADFBF" w14:textId="77777777" w:rsidR="00D73EBD" w:rsidRDefault="00D73EBD" w:rsidP="0040156E">
            <w:r>
              <w:rPr>
                <w:b/>
                <w:bCs/>
                <w:sz w:val="20"/>
                <w:szCs w:val="20"/>
              </w:rPr>
              <w:t>Coordination</w:t>
            </w:r>
          </w:p>
        </w:tc>
        <w:tc>
          <w:tcPr>
            <w:tcW w:w="65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55666991" w14:textId="77777777" w:rsidR="00D73EBD" w:rsidRDefault="00D73EBD" w:rsidP="0040156E">
            <w:r>
              <w:rPr>
                <w:sz w:val="20"/>
                <w:szCs w:val="20"/>
              </w:rPr>
              <w:t>Taxpayer may elect §1202A or §1202 (QSBS) if both apply; no double benefit</w:t>
            </w:r>
          </w:p>
        </w:tc>
      </w:tr>
      <w:tr w:rsidR="00D73EBD" w14:paraId="36C9952C" w14:textId="77777777" w:rsidTr="0040156E">
        <w:tc>
          <w:tcPr>
            <w:tcW w:w="28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1BCBE9A4" w14:textId="77777777" w:rsidR="00D73EBD" w:rsidRDefault="00D73EBD" w:rsidP="0040156E">
            <w:r>
              <w:rPr>
                <w:b/>
                <w:bCs/>
                <w:sz w:val="20"/>
                <w:szCs w:val="20"/>
              </w:rPr>
              <w:t>Transitional Rule</w:t>
            </w:r>
          </w:p>
        </w:tc>
        <w:tc>
          <w:tcPr>
            <w:tcW w:w="6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78CEF63E" w14:textId="77777777" w:rsidR="00D73EBD" w:rsidRDefault="00D73EBD" w:rsidP="0040156E">
            <w:r>
              <w:rPr>
                <w:sz w:val="20"/>
                <w:szCs w:val="20"/>
              </w:rPr>
              <w:t>Pre-enactment holding period counts; owner who has held 10+ years at enactment qualifies immediately</w:t>
            </w:r>
          </w:p>
        </w:tc>
      </w:tr>
    </w:tbl>
    <w:p w14:paraId="6E6C7AFE" w14:textId="77777777" w:rsidR="00D73EBD" w:rsidRDefault="00D73EBD" w:rsidP="00D73EBD">
      <w:pPr>
        <w:spacing w:before="240" w:after="80"/>
      </w:pPr>
      <w:r>
        <w:rPr>
          <w:b/>
          <w:bCs/>
          <w:color w:val="2C5F8A"/>
          <w:sz w:val="26"/>
          <w:szCs w:val="26"/>
        </w:rPr>
        <w:t>4.3 Cross-Track Interaction: Same Business, Both Tracks</w:t>
      </w:r>
    </w:p>
    <w:p w14:paraId="52B76373" w14:textId="77777777" w:rsidR="00D73EBD" w:rsidRDefault="00D73EBD" w:rsidP="00D73EBD">
      <w:pPr>
        <w:spacing w:after="120"/>
      </w:pPr>
      <w:r>
        <w:t>The Track 1 gift/estate tax credit and Track 2 capital gains exclusion address different taxes and operate under separate Code sections. Both can apply to the same business, but each cap is consumed once and permanently per EIN—yielding a maximum combined tax benefit of $500M per business ($250M Track 1 + $250M Track 2). In practice, the typical succession pattern is not a clean single-event transfer. A parent who has built a manufacturing business over 30 years has likely been gifting shares to children throughout their lifetimes—using annual gift tax exclusions, minority-interest discounts, GRATs, or other planning techniques—so the children may already own 20–40% of the business by the time the parent is ready to step back. The Track 1 credit covers the parent’s remaining interest (the final gift or bequest), while the children’s total stake—including both the Track 1 transferred shares and shares acquired through years of prior gifting—is eligible for Track 2 when they eventually sell to an external buyer, provided the 10-year holding period is met. For shares received by gift, the holding period tacks from the date the parent originally acquired or founded the business, so long-gifted shares will typically already satisfy the 10-year requirement. Once both caps are exhausted, no subsequent owner can claim either benefit on that business.</w:t>
      </w:r>
    </w:p>
    <w:p w14:paraId="606F124F" w14:textId="77777777" w:rsidR="00D73EBD" w:rsidRDefault="00D73EBD" w:rsidP="00D73EBD">
      <w:pPr>
        <w:pageBreakBefore/>
        <w:spacing w:after="120"/>
      </w:pPr>
      <w:r>
        <w:rPr>
          <w:b/>
          <w:bCs/>
          <w:color w:val="1B3A5C"/>
          <w:sz w:val="32"/>
          <w:szCs w:val="32"/>
        </w:rPr>
        <w:lastRenderedPageBreak/>
        <w:t>5. The Determination Date and Pro-Rata Equity Allocation</w:t>
      </w:r>
    </w:p>
    <w:p w14:paraId="201E513E" w14:textId="77777777" w:rsidR="00D73EBD" w:rsidRDefault="00D73EBD" w:rsidP="00D73EBD">
      <w:pPr>
        <w:spacing w:after="120"/>
      </w:pPr>
      <w:r>
        <w:t>The per-business cap of $250M must be fairly allocated among multiple equity holders who may sell at different times, to different buyers, and through different capital structures. MERA achieves this through two interlocking mechanisms: the Determination Date and the Pro-Rata Equity Allocation.</w:t>
      </w:r>
    </w:p>
    <w:p w14:paraId="461F8A9E" w14:textId="77777777" w:rsidR="00D73EBD" w:rsidRDefault="00D73EBD" w:rsidP="00D73EBD">
      <w:pPr>
        <w:spacing w:before="240" w:after="80"/>
      </w:pPr>
      <w:r>
        <w:rPr>
          <w:b/>
          <w:bCs/>
          <w:color w:val="2C5F8A"/>
          <w:sz w:val="26"/>
          <w:szCs w:val="26"/>
        </w:rPr>
        <w:t>5.1 The Determination Date</w:t>
      </w:r>
    </w:p>
    <w:p w14:paraId="4315BA19" w14:textId="77777777" w:rsidR="00D73EBD" w:rsidRDefault="00D73EBD" w:rsidP="00D73EBD">
      <w:pPr>
        <w:spacing w:after="120"/>
      </w:pPr>
      <w:r>
        <w:t xml:space="preserve">There is exactly </w:t>
      </w:r>
      <w:r>
        <w:rPr>
          <w:b/>
          <w:bCs/>
        </w:rPr>
        <w:t>one</w:t>
      </w:r>
      <w:r>
        <w:t xml:space="preserve"> determination date per qualified manufacturing business. It is triggered by the earliest of:</w:t>
      </w:r>
    </w:p>
    <w:p w14:paraId="33911DBC" w14:textId="77777777" w:rsidR="00D73EBD" w:rsidRDefault="00D73EBD" w:rsidP="00D73EBD">
      <w:pPr>
        <w:pStyle w:val="ListParagraph"/>
        <w:numPr>
          <w:ilvl w:val="0"/>
          <w:numId w:val="2"/>
        </w:numPr>
        <w:spacing w:after="60"/>
        <w:contextualSpacing w:val="0"/>
      </w:pPr>
      <w:r>
        <w:t xml:space="preserve">The date of the </w:t>
      </w:r>
      <w:r>
        <w:rPr>
          <w:b/>
          <w:bCs/>
        </w:rPr>
        <w:t>first qualifying sale</w:t>
      </w:r>
      <w:r>
        <w:t xml:space="preserve"> (i.e., the first time any holder satisfies the 10-year hold and claims the §1202A exclusion)</w:t>
      </w:r>
    </w:p>
    <w:p w14:paraId="612E882A" w14:textId="77777777" w:rsidR="00D73EBD" w:rsidRDefault="00D73EBD" w:rsidP="00D73EBD">
      <w:pPr>
        <w:pStyle w:val="ListParagraph"/>
        <w:numPr>
          <w:ilvl w:val="0"/>
          <w:numId w:val="2"/>
        </w:numPr>
        <w:spacing w:after="60"/>
        <w:contextualSpacing w:val="0"/>
      </w:pPr>
      <w:r>
        <w:t xml:space="preserve">The date of a </w:t>
      </w:r>
      <w:r>
        <w:rPr>
          <w:b/>
          <w:bCs/>
        </w:rPr>
        <w:t>qualified public offering</w:t>
      </w:r>
      <w:r>
        <w:t xml:space="preserve"> (IPO or direct listing)</w:t>
      </w:r>
    </w:p>
    <w:p w14:paraId="512AAF6A" w14:textId="77777777" w:rsidR="00D73EBD" w:rsidRDefault="00D73EBD" w:rsidP="00D73EBD">
      <w:pPr>
        <w:pStyle w:val="ListParagraph"/>
        <w:numPr>
          <w:ilvl w:val="0"/>
          <w:numId w:val="2"/>
        </w:numPr>
        <w:spacing w:after="60"/>
        <w:contextualSpacing w:val="0"/>
      </w:pPr>
      <w:r>
        <w:t xml:space="preserve">A date elected by </w:t>
      </w:r>
      <w:r>
        <w:rPr>
          <w:b/>
          <w:bCs/>
        </w:rPr>
        <w:t>unanimous written consent</w:t>
      </w:r>
      <w:r>
        <w:t xml:space="preserve"> of all equity holders, filed with the Secretary</w:t>
      </w:r>
    </w:p>
    <w:p w14:paraId="6D984E85" w14:textId="77777777" w:rsidR="00D73EBD" w:rsidRDefault="00D73EBD" w:rsidP="00D73EBD">
      <w:pPr>
        <w:spacing w:after="120"/>
      </w:pPr>
      <w:r>
        <w:rPr>
          <w:b/>
          <w:bCs/>
        </w:rPr>
        <w:t xml:space="preserve">Critical principle: </w:t>
      </w:r>
      <w:r>
        <w:t xml:space="preserve">Pre-determination sales (e.g., a PE firm buying a minority stake before anyone qualifies for the exclusion) are fully taxable ordinary transactions with zero impact on the $250M cap or the allocation mechanism. The MERA machinery only activates when someone </w:t>
      </w:r>
      <w:proofErr w:type="gramStart"/>
      <w:r>
        <w:t>actually claims</w:t>
      </w:r>
      <w:proofErr w:type="gramEnd"/>
      <w:r>
        <w:t xml:space="preserve"> the exclusion.</w:t>
      </w:r>
    </w:p>
    <w:p w14:paraId="07093C6E" w14:textId="77777777" w:rsidR="00D73EBD" w:rsidRDefault="00D73EBD" w:rsidP="00D73EBD">
      <w:pPr>
        <w:spacing w:before="240" w:after="80"/>
      </w:pPr>
      <w:r>
        <w:rPr>
          <w:b/>
          <w:bCs/>
          <w:color w:val="2C5F8A"/>
          <w:sz w:val="26"/>
          <w:szCs w:val="26"/>
        </w:rPr>
        <w:t>5.2 Applicable Equity Percentage</w:t>
      </w:r>
    </w:p>
    <w:p w14:paraId="08600209" w14:textId="77777777" w:rsidR="00D73EBD" w:rsidRDefault="00D73EBD" w:rsidP="00D73EBD">
      <w:pPr>
        <w:spacing w:after="120"/>
      </w:pPr>
      <w:r>
        <w:t>Each holder’s “applicable equity percentage”—their share of the $250M cap—is simply their percentage of total outstanding equity interests as of the determination date. This straightforward snapshot approach avoids the distortions that would arise from attempting to look back to prior ownership percentages, which cannot distinguish between voluntary sales for value (where the seller received fair consideration), primary issuances (where the company raised capital), and abusive dilution (where a controlling holder manipulates the cap table). Determination-date percentages reflect the cumulative result of every negotiated transaction, capital raise, and recapitalization that has occurred—all presumably at arm’s length. To prevent manipulation, §1202A(b)(4)(A) provides a 2-year anti-abuse lookback: if the Secretary determines that an equity change within the 2-year period ending on the determination date was undertaken with a principal purpose of increasing any taxpayer’s allocation, the Secretary may disregard the change and determine percentages based on the ownership structure immediately before such change.</w:t>
      </w:r>
    </w:p>
    <w:p w14:paraId="663ABDFA" w14:textId="77777777" w:rsidR="00D73EBD" w:rsidRDefault="00D73EBD" w:rsidP="00D73EBD">
      <w:pPr>
        <w:spacing w:before="240" w:after="80"/>
      </w:pPr>
      <w:r>
        <w:rPr>
          <w:b/>
          <w:bCs/>
          <w:color w:val="2C5F8A"/>
          <w:sz w:val="26"/>
          <w:szCs w:val="26"/>
        </w:rPr>
        <w:t>5.3 Post-Determination Equity</w:t>
      </w:r>
    </w:p>
    <w:p w14:paraId="76970E30" w14:textId="77777777" w:rsidR="00D73EBD" w:rsidRDefault="00D73EBD" w:rsidP="00D73EBD">
      <w:pPr>
        <w:spacing w:after="120"/>
      </w:pPr>
      <w:r>
        <w:rPr>
          <w:b/>
          <w:bCs/>
        </w:rPr>
        <w:t xml:space="preserve">Convertible Notes and SAFEs. </w:t>
      </w:r>
      <w:r>
        <w:t>Instruments not yet converted to equity—including convertible debt, simple agreements for future equity (SAFEs), options, warrants, and any other instrument treated as debt for federal income tax purposes—are excluded from “total outstanding equity interests” when determining applicable equity percentages. Only actual equity on the cap table counts. Upon conversion, the resulting equity is treated as outstanding from the conversion date. This prevents phantom dilution from unexercised instruments and ensures that equity percentages reflect actual ownership.</w:t>
      </w:r>
    </w:p>
    <w:p w14:paraId="1C0836A2" w14:textId="77777777" w:rsidR="00D73EBD" w:rsidRDefault="00D73EBD" w:rsidP="00D73EBD">
      <w:pPr>
        <w:spacing w:after="120"/>
      </w:pPr>
      <w:r>
        <w:rPr>
          <w:b/>
          <w:bCs/>
        </w:rPr>
        <w:t xml:space="preserve">Excess Leverage Tolling During Holding Period. </w:t>
      </w:r>
      <w:r>
        <w:t xml:space="preserve">The 10-year holding period clock pauses for any taxable year in which the 3-year rolling average debt-to-EBITDA ratio exceeds 3.5:1. This prevents owners from running a heavily leveraged capital extraction strategy for 10 years and then claiming the exclusion on exit. A manufacturer who spikes leverage for a single capex year adds one year to their required holding; a PE firm that sustains 5x leverage for three years adds three. The rolling average smooths cyclical </w:t>
      </w:r>
      <w:r>
        <w:lastRenderedPageBreak/>
        <w:t>borrowing while catching sustained overleveraging. This tolling rule applies to both Track 1 (§2010A(a)(5)) and Track 2 (§1202A(a)(1)(A)).</w:t>
      </w:r>
    </w:p>
    <w:p w14:paraId="0224AD9C" w14:textId="77777777" w:rsidR="00D73EBD" w:rsidRDefault="00D73EBD" w:rsidP="00D73EBD">
      <w:pPr>
        <w:spacing w:after="120"/>
      </w:pPr>
      <w:r>
        <w:t xml:space="preserve">Equity interests issued AFTER the determination date (management incentive pools, new investor tranches, warrant exercises, convertible debt conversions) do not receive a guaranteed allocation from the $250M cap. </w:t>
      </w:r>
      <w:proofErr w:type="gramStart"/>
      <w:r>
        <w:t>Post-determination</w:t>
      </w:r>
      <w:proofErr w:type="gramEnd"/>
      <w:r>
        <w:t xml:space="preserve"> holders may access only whatever remains of the cap after all determination-date holders have had their opportunity to claim exclusions.</w:t>
      </w:r>
    </w:p>
    <w:p w14:paraId="5424FB75" w14:textId="77777777" w:rsidR="00D73EBD" w:rsidRDefault="00D73EBD" w:rsidP="00D73EBD">
      <w:pPr>
        <w:spacing w:before="240" w:after="80"/>
      </w:pPr>
      <w:r>
        <w:rPr>
          <w:b/>
          <w:bCs/>
          <w:color w:val="2C5F8A"/>
          <w:sz w:val="26"/>
          <w:szCs w:val="26"/>
        </w:rPr>
        <w:t>5.4 Worked Example: Staggered Sale with PE Recapitalization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73EBD" w14:paraId="2589E694" w14:textId="77777777" w:rsidTr="0040156E">
        <w:tc>
          <w:tcPr>
            <w:tcW w:w="9360" w:type="dxa"/>
            <w:tcBorders>
              <w:top w:val="single" w:sz="2" w:space="0" w:color="2C5F8A"/>
              <w:left w:val="single" w:sz="2" w:space="0" w:color="2C5F8A"/>
              <w:bottom w:val="single" w:sz="2" w:space="0" w:color="2C5F8A"/>
              <w:right w:val="single" w:sz="2" w:space="0" w:color="2C5F8A"/>
            </w:tcBorders>
            <w:shd w:val="clear" w:color="auto" w:fill="F5F7FA"/>
            <w:tcMar>
              <w:top w:w="80" w:type="dxa"/>
              <w:left w:w="120" w:type="dxa"/>
              <w:bottom w:w="80" w:type="dxa"/>
              <w:right w:w="120" w:type="dxa"/>
            </w:tcMar>
          </w:tcPr>
          <w:p w14:paraId="29CFA3C8" w14:textId="77777777" w:rsidR="00D73EBD" w:rsidRDefault="00D73EBD" w:rsidP="0040156E">
            <w:pPr>
              <w:spacing w:after="60"/>
            </w:pPr>
            <w:r>
              <w:rPr>
                <w:b/>
                <w:bCs/>
                <w:color w:val="1B3A5C"/>
                <w:sz w:val="21"/>
                <w:szCs w:val="21"/>
              </w:rPr>
              <w:t>Example 2: Staggered Sale — Industrial Coatings Business</w:t>
            </w:r>
          </w:p>
          <w:p w14:paraId="1DCAE5D5" w14:textId="77777777" w:rsidR="00D73EBD" w:rsidRDefault="00D73EBD" w:rsidP="0040156E">
            <w:pPr>
              <w:spacing w:after="60"/>
            </w:pPr>
            <w:r>
              <w:rPr>
                <w:b/>
                <w:bCs/>
                <w:sz w:val="21"/>
                <w:szCs w:val="21"/>
              </w:rPr>
              <w:t xml:space="preserve">Year 0: </w:t>
            </w:r>
            <w:r>
              <w:rPr>
                <w:sz w:val="21"/>
                <w:szCs w:val="21"/>
              </w:rPr>
              <w:t>Founder (A) starts an industrial coatings manufacturer. A owns 100%.</w:t>
            </w:r>
          </w:p>
          <w:p w14:paraId="0BDFDC5F" w14:textId="77777777" w:rsidR="00D73EBD" w:rsidRDefault="00D73EBD" w:rsidP="0040156E">
            <w:pPr>
              <w:spacing w:after="60"/>
            </w:pPr>
            <w:r>
              <w:rPr>
                <w:b/>
                <w:bCs/>
                <w:sz w:val="21"/>
                <w:szCs w:val="21"/>
              </w:rPr>
              <w:t xml:space="preserve">Year 6: </w:t>
            </w:r>
            <w:r>
              <w:rPr>
                <w:sz w:val="21"/>
                <w:szCs w:val="21"/>
              </w:rPr>
              <w:t>PE Fund buys 40% from A for $60M. A has NOT held for 10 years. This sale is FULLY TAXABLE—no MERA exclusion. A pays capital gains tax on the $60M sale normally. PE owns 40%, A retains 60%. No determination date is triggered.</w:t>
            </w:r>
          </w:p>
          <w:p w14:paraId="2615E0A3" w14:textId="77777777" w:rsidR="00D73EBD" w:rsidRDefault="00D73EBD" w:rsidP="0040156E">
            <w:pPr>
              <w:spacing w:after="60"/>
            </w:pPr>
            <w:r>
              <w:rPr>
                <w:b/>
                <w:bCs/>
                <w:sz w:val="21"/>
                <w:szCs w:val="21"/>
              </w:rPr>
              <w:t xml:space="preserve">Year 7: </w:t>
            </w:r>
            <w:r>
              <w:rPr>
                <w:sz w:val="21"/>
                <w:szCs w:val="21"/>
              </w:rPr>
              <w:t>PE recapitalizes, issues a 15% management equity pool. New structure: A (51%), PE (34%), Management (15%).</w:t>
            </w:r>
          </w:p>
          <w:p w14:paraId="30578291" w14:textId="77777777" w:rsidR="00D73EBD" w:rsidRDefault="00D73EBD" w:rsidP="0040156E">
            <w:pPr>
              <w:spacing w:after="60"/>
            </w:pPr>
            <w:r>
              <w:rPr>
                <w:b/>
                <w:bCs/>
                <w:sz w:val="21"/>
                <w:szCs w:val="21"/>
              </w:rPr>
              <w:t xml:space="preserve">Year 10: </w:t>
            </w:r>
            <w:r>
              <w:rPr>
                <w:sz w:val="21"/>
                <w:szCs w:val="21"/>
              </w:rPr>
              <w:t>A has now held for 10 years. A sells remaining 51% stake for $153M. THIS is the first qualifying sale. The Determination Date is triggered.</w:t>
            </w:r>
          </w:p>
          <w:p w14:paraId="2838B4BE" w14:textId="77777777" w:rsidR="00D73EBD" w:rsidRDefault="00D73EBD" w:rsidP="0040156E">
            <w:pPr>
              <w:spacing w:after="60"/>
            </w:pPr>
            <w:r>
              <w:rPr>
                <w:b/>
                <w:bCs/>
                <w:sz w:val="21"/>
                <w:szCs w:val="21"/>
              </w:rPr>
              <w:t>Allocation at determination date:</w:t>
            </w:r>
          </w:p>
          <w:p w14:paraId="227A9C1D" w14:textId="77777777" w:rsidR="00D73EBD" w:rsidRDefault="00D73EBD" w:rsidP="0040156E">
            <w:pPr>
              <w:spacing w:after="30"/>
            </w:pPr>
            <w:r>
              <w:rPr>
                <w:sz w:val="21"/>
                <w:szCs w:val="21"/>
              </w:rPr>
              <w:t xml:space="preserve">• A: 51% at determination date = </w:t>
            </w:r>
            <w:r>
              <w:rPr>
                <w:b/>
                <w:bCs/>
                <w:sz w:val="21"/>
                <w:szCs w:val="21"/>
              </w:rPr>
              <w:t>51% × $250M = $127.5M max exclusion</w:t>
            </w:r>
          </w:p>
          <w:p w14:paraId="54C3DC20" w14:textId="77777777" w:rsidR="00D73EBD" w:rsidRDefault="00D73EBD" w:rsidP="0040156E">
            <w:pPr>
              <w:spacing w:after="30"/>
            </w:pPr>
            <w:r>
              <w:rPr>
                <w:sz w:val="21"/>
                <w:szCs w:val="21"/>
              </w:rPr>
              <w:t xml:space="preserve">• PE: 34% at determination date = </w:t>
            </w:r>
            <w:r>
              <w:rPr>
                <w:b/>
                <w:bCs/>
                <w:sz w:val="21"/>
                <w:szCs w:val="21"/>
              </w:rPr>
              <w:t>34% × $250M = $85M max exclusion</w:t>
            </w:r>
            <w:r>
              <w:rPr>
                <w:sz w:val="21"/>
                <w:szCs w:val="21"/>
              </w:rPr>
              <w:t xml:space="preserve"> (accessible when PE satisfies 10-year hold at Year 16)</w:t>
            </w:r>
          </w:p>
          <w:p w14:paraId="78E09E6C" w14:textId="77777777" w:rsidR="00D73EBD" w:rsidRDefault="00D73EBD" w:rsidP="0040156E">
            <w:pPr>
              <w:spacing w:after="60"/>
            </w:pPr>
            <w:r>
              <w:rPr>
                <w:sz w:val="21"/>
                <w:szCs w:val="21"/>
              </w:rPr>
              <w:t xml:space="preserve">• Management: 15% = </w:t>
            </w:r>
            <w:r>
              <w:rPr>
                <w:b/>
                <w:bCs/>
                <w:sz w:val="21"/>
                <w:szCs w:val="21"/>
              </w:rPr>
              <w:t>15% × $250M = $37.5M max exclusion</w:t>
            </w:r>
            <w:r>
              <w:rPr>
                <w:sz w:val="21"/>
                <w:szCs w:val="21"/>
              </w:rPr>
              <w:t xml:space="preserve"> (accessible at Year 17, when they satisfy 10-year hold)</w:t>
            </w:r>
          </w:p>
          <w:p w14:paraId="5C2A9D87" w14:textId="77777777" w:rsidR="00D73EBD" w:rsidRDefault="00D73EBD" w:rsidP="0040156E">
            <w:pPr>
              <w:spacing w:after="60"/>
            </w:pPr>
            <w:r>
              <w:rPr>
                <w:sz w:val="21"/>
                <w:szCs w:val="21"/>
              </w:rPr>
              <w:t>A’s actual gain is $153M. A’s allocation is $127.5M. A excludes $127.5M and pays capital gains on the remaining $25.5M.</w:t>
            </w:r>
          </w:p>
          <w:p w14:paraId="69EA2D77" w14:textId="77777777" w:rsidR="00D73EBD" w:rsidRDefault="00D73EBD" w:rsidP="0040156E">
            <w:pPr>
              <w:spacing w:after="60"/>
            </w:pPr>
            <w:r>
              <w:rPr>
                <w:b/>
                <w:bCs/>
                <w:sz w:val="21"/>
                <w:szCs w:val="21"/>
              </w:rPr>
              <w:t xml:space="preserve">Year 16: </w:t>
            </w:r>
            <w:r>
              <w:rPr>
                <w:sz w:val="21"/>
                <w:szCs w:val="21"/>
              </w:rPr>
              <w:t xml:space="preserve">PE sells its 34% for $120M. PE’s allocation is $85M. Remaining cap after A: $250M − $127.5M = $122.5M. PE can exclude up to </w:t>
            </w:r>
            <w:proofErr w:type="gramStart"/>
            <w:r>
              <w:rPr>
                <w:sz w:val="21"/>
                <w:szCs w:val="21"/>
              </w:rPr>
              <w:t>MIN(</w:t>
            </w:r>
            <w:proofErr w:type="gramEnd"/>
            <w:r>
              <w:rPr>
                <w:sz w:val="21"/>
                <w:szCs w:val="21"/>
              </w:rPr>
              <w:t>$85M, $122.5M) = $85M. PE pays capital gains on $35M.</w:t>
            </w:r>
          </w:p>
          <w:p w14:paraId="57DF1DDF" w14:textId="77777777" w:rsidR="00D73EBD" w:rsidRDefault="00D73EBD" w:rsidP="0040156E">
            <w:r>
              <w:rPr>
                <w:b/>
                <w:bCs/>
                <w:sz w:val="21"/>
                <w:szCs w:val="21"/>
              </w:rPr>
              <w:t xml:space="preserve">Year 17: </w:t>
            </w:r>
            <w:r>
              <w:rPr>
                <w:sz w:val="21"/>
                <w:szCs w:val="21"/>
              </w:rPr>
              <w:t xml:space="preserve">Management sells. Remaining cap: $122.5M − $85M = $37.5M. Management can exclude up to </w:t>
            </w:r>
            <w:proofErr w:type="gramStart"/>
            <w:r>
              <w:rPr>
                <w:sz w:val="21"/>
                <w:szCs w:val="21"/>
              </w:rPr>
              <w:t>MIN(</w:t>
            </w:r>
            <w:proofErr w:type="gramEnd"/>
            <w:r>
              <w:rPr>
                <w:sz w:val="21"/>
                <w:szCs w:val="21"/>
              </w:rPr>
              <w:t>$37.5M, $37.5M) = $37.5M.</w:t>
            </w:r>
          </w:p>
        </w:tc>
      </w:tr>
    </w:tbl>
    <w:p w14:paraId="365F8B31" w14:textId="77777777" w:rsidR="00D73EBD" w:rsidRDefault="00D73EBD" w:rsidP="00D73EBD">
      <w:pPr>
        <w:pageBreakBefore/>
        <w:spacing w:after="120"/>
      </w:pPr>
      <w:r>
        <w:rPr>
          <w:b/>
          <w:bCs/>
          <w:color w:val="1B3A5C"/>
          <w:sz w:val="32"/>
          <w:szCs w:val="32"/>
        </w:rPr>
        <w:lastRenderedPageBreak/>
        <w:t>6. Anti-Abuse Guardrails and Recapture</w:t>
      </w:r>
    </w:p>
    <w:p w14:paraId="0A6B9EF6" w14:textId="77777777" w:rsidR="00D73EBD" w:rsidRDefault="00D73EBD" w:rsidP="00D73EBD">
      <w:pPr>
        <w:spacing w:after="120"/>
      </w:pPr>
      <w:r>
        <w:t>MERA’s recapture regime is designed to prevent the exclusion from subsidizing financial engineering at the expense of manufacturing operations. The guardrails address five specific abuse vectors:</w:t>
      </w:r>
    </w:p>
    <w:p w14:paraId="5DBDF3C5" w14:textId="77777777" w:rsidR="00D73EBD" w:rsidRDefault="00D73EBD" w:rsidP="00D73EBD">
      <w:pPr>
        <w:spacing w:before="240" w:after="80"/>
      </w:pPr>
      <w:r>
        <w:rPr>
          <w:b/>
          <w:bCs/>
          <w:color w:val="2C5F8A"/>
          <w:sz w:val="26"/>
          <w:szCs w:val="26"/>
        </w:rPr>
        <w:t>6.1 Recapture Triggers</w:t>
      </w:r>
    </w:p>
    <w:p w14:paraId="5B3DB371" w14:textId="77777777" w:rsidR="00D73EBD" w:rsidRDefault="00D73EBD" w:rsidP="00D73EBD">
      <w:pPr>
        <w:spacing w:before="180" w:after="60"/>
      </w:pPr>
      <w:r>
        <w:rPr>
          <w:b/>
          <w:bCs/>
          <w:color w:val="3A7AB5"/>
          <w:sz w:val="23"/>
          <w:szCs w:val="23"/>
        </w:rPr>
        <w:t>Excess Leverage (3.5:1 Debt/EBITDA)</w:t>
      </w:r>
    </w:p>
    <w:p w14:paraId="6919DEF3" w14:textId="77777777" w:rsidR="00D73EBD" w:rsidRDefault="00D73EBD" w:rsidP="00D73EBD">
      <w:pPr>
        <w:spacing w:after="120"/>
      </w:pPr>
      <w:r>
        <w:t>If the total indebtedness of the business exceeds 3.5 times EBITDA at the close of any taxable year during the 7-year recapture period, recapture is triggered. The 3.5:1 threshold reflects the reality that healthy manufacturers typically operate at 1.5–3.0x leverage; a buyer who needs 4–5x leverage to finance the acquisition is engaged in financial engineering, not manufacturing continuity.</w:t>
      </w:r>
    </w:p>
    <w:p w14:paraId="208AF582" w14:textId="77777777" w:rsidR="00D73EBD" w:rsidRDefault="00D73EBD" w:rsidP="00D73EBD">
      <w:pPr>
        <w:spacing w:before="180" w:after="60"/>
      </w:pPr>
      <w:r>
        <w:rPr>
          <w:b/>
          <w:bCs/>
          <w:color w:val="3A7AB5"/>
          <w:sz w:val="23"/>
          <w:szCs w:val="23"/>
        </w:rPr>
        <w:t>Employment Reduction (50% Floor)</w:t>
      </w:r>
    </w:p>
    <w:p w14:paraId="0DF93EEB" w14:textId="77777777" w:rsidR="00D73EBD" w:rsidRDefault="00D73EBD" w:rsidP="00D73EBD">
      <w:pPr>
        <w:spacing w:after="120"/>
      </w:pPr>
      <w:r>
        <w:t>If headcount falls below 50% of the pre-sale 3-year average during the recapture period, recapture is triggered. An exception applies for force majeure events and general economic downturns affecting the manufacturing sector, as determined by the Secretary.</w:t>
      </w:r>
    </w:p>
    <w:p w14:paraId="2DEF63D0" w14:textId="77777777" w:rsidR="00D73EBD" w:rsidRDefault="00D73EBD" w:rsidP="00D73EBD">
      <w:pPr>
        <w:spacing w:before="180" w:after="60"/>
      </w:pPr>
      <w:r>
        <w:rPr>
          <w:b/>
          <w:bCs/>
          <w:color w:val="3A7AB5"/>
          <w:sz w:val="23"/>
          <w:szCs w:val="23"/>
        </w:rPr>
        <w:t>Offshoring (30% Threshold)</w:t>
      </w:r>
    </w:p>
    <w:p w14:paraId="53D4DD01" w14:textId="77777777" w:rsidR="00D73EBD" w:rsidRDefault="00D73EBD" w:rsidP="00D73EBD">
      <w:pPr>
        <w:spacing w:after="120"/>
      </w:pPr>
      <w:r>
        <w:t>If more than 30% of domestic production activities (measured by labor hours or units of production) are relocated outside the United States during the recapture period, recapture is triggered.</w:t>
      </w:r>
    </w:p>
    <w:p w14:paraId="282F6347" w14:textId="77777777" w:rsidR="00D73EBD" w:rsidRDefault="00D73EBD" w:rsidP="00D73EBD">
      <w:pPr>
        <w:spacing w:before="180" w:after="60"/>
      </w:pPr>
      <w:r>
        <w:rPr>
          <w:b/>
          <w:bCs/>
          <w:color w:val="3A7AB5"/>
          <w:sz w:val="23"/>
          <w:szCs w:val="23"/>
        </w:rPr>
        <w:t>Early Disposition (5-Year Floor)</w:t>
      </w:r>
    </w:p>
    <w:p w14:paraId="3D00748F" w14:textId="77777777" w:rsidR="00D73EBD" w:rsidRDefault="00D73EBD" w:rsidP="00D73EBD">
      <w:pPr>
        <w:spacing w:after="120"/>
      </w:pPr>
      <w:r>
        <w:t xml:space="preserve">If the acquirer sells substantially </w:t>
      </w:r>
      <w:proofErr w:type="gramStart"/>
      <w:r>
        <w:t>all of</w:t>
      </w:r>
      <w:proofErr w:type="gramEnd"/>
      <w:r>
        <w:t xml:space="preserve"> the business within 5 years, recapture is triggered. This prevents “flipping” behavior where the buyer acquires the business to capture the seller’s tax benefit through a higher purchase price, then immediately resells.</w:t>
      </w:r>
    </w:p>
    <w:p w14:paraId="55845CA7" w14:textId="77777777" w:rsidR="00D73EBD" w:rsidRDefault="00D73EBD" w:rsidP="00D73EBD">
      <w:pPr>
        <w:spacing w:before="180" w:after="60"/>
      </w:pPr>
      <w:r>
        <w:rPr>
          <w:b/>
          <w:bCs/>
          <w:color w:val="3A7AB5"/>
          <w:sz w:val="23"/>
          <w:szCs w:val="23"/>
        </w:rPr>
        <w:t>Excessive Economic Extraction (New)</w:t>
      </w:r>
    </w:p>
    <w:p w14:paraId="51E3502D" w14:textId="77777777" w:rsidR="00D73EBD" w:rsidRDefault="00D73EBD" w:rsidP="00D73EBD">
      <w:pPr>
        <w:spacing w:after="120"/>
      </w:pPr>
      <w:r>
        <w:t>This is a novel provision targeting non-debt extraction mechanisms commonly used by PE firms. Recapture is triggered if the cumulative sum of management/advisory/monitoring/consulting fees paid to the acquirer or affiliates, plus total distributions to equity holders, plus non-arm’s-length related-party payments exceeds cumulative net income plus 10% of cumulative gross revenue. This captures dividend recaps, excessive fee loads, and related-party transfers that drain the operating company.</w:t>
      </w:r>
    </w:p>
    <w:p w14:paraId="1887C290" w14:textId="77777777" w:rsidR="00D73EBD" w:rsidRDefault="00D73EBD" w:rsidP="00D73EBD">
      <w:pPr>
        <w:spacing w:before="240" w:after="80"/>
      </w:pPr>
      <w:r>
        <w:rPr>
          <w:b/>
          <w:bCs/>
          <w:color w:val="2C5F8A"/>
          <w:sz w:val="26"/>
          <w:szCs w:val="26"/>
        </w:rPr>
        <w:t>6.2 Seller Recapture Liability</w:t>
      </w:r>
    </w:p>
    <w:p w14:paraId="2B3FDD97" w14:textId="77777777" w:rsidR="00D73EBD" w:rsidRDefault="00D73EBD" w:rsidP="00D73EBD">
      <w:pPr>
        <w:spacing w:after="120"/>
      </w:pPr>
      <w:r>
        <w:t>MERA introduces a novel incentive alignment mechanism: the seller who claimed the exclusion is jointly and severally liable for 50% of the recapture amount if a recapture event occurs within 5 years of the sale.</w:t>
      </w:r>
    </w:p>
    <w:p w14:paraId="4C24A413" w14:textId="77777777" w:rsidR="00D73EBD" w:rsidRDefault="00D73EBD" w:rsidP="00D73EBD">
      <w:pPr>
        <w:spacing w:after="120"/>
      </w:pPr>
      <w:r>
        <w:t>This gives sellers a powerful incentive to vet buyers carefully and, where appropriate, negotiate operating covenants into the purchase agreement. The seller knew who they were selling to. If they sell to a buyer who strips the business, they share responsibility for the policy failure.</w:t>
      </w:r>
    </w:p>
    <w:p w14:paraId="34B74BEA" w14:textId="77777777" w:rsidR="00D73EBD" w:rsidRDefault="00D73EBD" w:rsidP="00D73EBD">
      <w:pPr>
        <w:spacing w:after="120"/>
      </w:pPr>
      <w:r>
        <w:t>Private indemnification agreements between buyer and seller are permitted but do not affect liability to the IRS.</w:t>
      </w:r>
    </w:p>
    <w:p w14:paraId="76E80FC5" w14:textId="77777777" w:rsidR="00D73EBD" w:rsidRDefault="00D73EBD" w:rsidP="00D73EBD">
      <w:pPr>
        <w:spacing w:before="240" w:after="80"/>
      </w:pPr>
      <w:r>
        <w:rPr>
          <w:b/>
          <w:bCs/>
          <w:color w:val="2C5F8A"/>
          <w:sz w:val="26"/>
          <w:szCs w:val="26"/>
        </w:rPr>
        <w:t>6.3 Change of Control and Constructive Control</w:t>
      </w:r>
    </w:p>
    <w:p w14:paraId="3FB1E882" w14:textId="77777777" w:rsidR="00D73EBD" w:rsidRDefault="00D73EBD" w:rsidP="00D73EBD">
      <w:pPr>
        <w:spacing w:after="120"/>
      </w:pPr>
      <w:r>
        <w:lastRenderedPageBreak/>
        <w:t>Change of control is defined as acquisition of &gt;50% of total voting power or constructive control. Constructive control is deemed to exist when any person or group possesses:</w:t>
      </w:r>
    </w:p>
    <w:p w14:paraId="2731AB4E" w14:textId="77777777" w:rsidR="00D73EBD" w:rsidRDefault="00D73EBD" w:rsidP="00D73EBD">
      <w:pPr>
        <w:pStyle w:val="ListParagraph"/>
        <w:numPr>
          <w:ilvl w:val="0"/>
          <w:numId w:val="1"/>
        </w:numPr>
        <w:spacing w:after="60"/>
        <w:contextualSpacing w:val="0"/>
      </w:pPr>
      <w:r>
        <w:t xml:space="preserve">The right to appoint or remove </w:t>
      </w:r>
      <w:proofErr w:type="gramStart"/>
      <w:r>
        <w:t>a majority of</w:t>
      </w:r>
      <w:proofErr w:type="gramEnd"/>
      <w:r>
        <w:t xml:space="preserve"> the board (or equivalent governing body)</w:t>
      </w:r>
    </w:p>
    <w:p w14:paraId="37858E47" w14:textId="77777777" w:rsidR="00D73EBD" w:rsidRDefault="00D73EBD" w:rsidP="00D73EBD">
      <w:pPr>
        <w:pStyle w:val="ListParagraph"/>
        <w:numPr>
          <w:ilvl w:val="0"/>
          <w:numId w:val="1"/>
        </w:numPr>
        <w:spacing w:after="60"/>
        <w:contextualSpacing w:val="0"/>
      </w:pPr>
      <w:r>
        <w:t>Contractual authority over management, operations, or strategic direction (including through management services agreements)</w:t>
      </w:r>
    </w:p>
    <w:p w14:paraId="19B00373" w14:textId="77777777" w:rsidR="00D73EBD" w:rsidRDefault="00D73EBD" w:rsidP="00D73EBD">
      <w:pPr>
        <w:pStyle w:val="ListParagraph"/>
        <w:numPr>
          <w:ilvl w:val="0"/>
          <w:numId w:val="1"/>
        </w:numPr>
        <w:spacing w:after="60"/>
        <w:contextualSpacing w:val="0"/>
      </w:pPr>
      <w:r>
        <w:t>Veto rights over capital expenditures, senior management decisions, material contracts, or incurrence of indebtedness</w:t>
      </w:r>
    </w:p>
    <w:p w14:paraId="10811B76" w14:textId="77777777" w:rsidR="00D73EBD" w:rsidRDefault="00D73EBD" w:rsidP="00D73EBD">
      <w:pPr>
        <w:pStyle w:val="ListParagraph"/>
        <w:numPr>
          <w:ilvl w:val="0"/>
          <w:numId w:val="1"/>
        </w:numPr>
        <w:spacing w:after="60"/>
        <w:contextualSpacing w:val="0"/>
      </w:pPr>
      <w:r>
        <w:t>Any other arrangement that provides, in substance, the ability to direct the management and policies of the business</w:t>
      </w:r>
    </w:p>
    <w:p w14:paraId="440738B0" w14:textId="77777777" w:rsidR="00D73EBD" w:rsidRDefault="00D73EBD" w:rsidP="00D73EBD">
      <w:pPr>
        <w:spacing w:after="120"/>
      </w:pPr>
      <w:r>
        <w:t>This provision is designed to capture PE governance structures that exercise effective control through minority stakes with governance protections—a standard feature of PE transactions.</w:t>
      </w:r>
    </w:p>
    <w:p w14:paraId="641681F7" w14:textId="77777777" w:rsidR="00D73EBD" w:rsidRDefault="00D73EBD" w:rsidP="00D73EBD">
      <w:pPr>
        <w:spacing w:before="240" w:after="80"/>
      </w:pPr>
      <w:r>
        <w:rPr>
          <w:b/>
          <w:bCs/>
          <w:color w:val="2C5F8A"/>
          <w:sz w:val="26"/>
          <w:szCs w:val="26"/>
        </w:rPr>
        <w:t>6.4 36-Month Aggregation Rule</w:t>
      </w:r>
    </w:p>
    <w:p w14:paraId="4E84CC41" w14:textId="77777777" w:rsidR="00D73EBD" w:rsidRDefault="00D73EBD" w:rsidP="00D73EBD">
      <w:pPr>
        <w:spacing w:after="120"/>
      </w:pPr>
      <w:r>
        <w:t>Sales by any seller to the same person (or related/affiliated persons acting in concert) are aggregated over a rolling 36-month window for purposes of determining change of control and commencing the recapture clock. This prevents “salami-slicing”—acquiring 20%, then 15%, then 20% over three years to stay under thresholds.</w:t>
      </w:r>
    </w:p>
    <w:p w14:paraId="579CA630" w14:textId="77777777" w:rsidR="00D73EBD" w:rsidRDefault="00D73EBD" w:rsidP="00D73EBD">
      <w:pPr>
        <w:spacing w:before="240" w:after="80"/>
      </w:pPr>
      <w:r>
        <w:rPr>
          <w:b/>
          <w:bCs/>
          <w:color w:val="2C5F8A"/>
          <w:sz w:val="26"/>
          <w:szCs w:val="26"/>
        </w:rPr>
        <w:t>6.5 Worked Example: PE Recapture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73EBD" w14:paraId="5632742B" w14:textId="77777777" w:rsidTr="0040156E">
        <w:tc>
          <w:tcPr>
            <w:tcW w:w="9360" w:type="dxa"/>
            <w:tcBorders>
              <w:top w:val="single" w:sz="2" w:space="0" w:color="2C5F8A"/>
              <w:left w:val="single" w:sz="2" w:space="0" w:color="2C5F8A"/>
              <w:bottom w:val="single" w:sz="2" w:space="0" w:color="2C5F8A"/>
              <w:right w:val="single" w:sz="2" w:space="0" w:color="2C5F8A"/>
            </w:tcBorders>
            <w:shd w:val="clear" w:color="auto" w:fill="F5F7FA"/>
            <w:tcMar>
              <w:top w:w="80" w:type="dxa"/>
              <w:left w:w="120" w:type="dxa"/>
              <w:bottom w:w="80" w:type="dxa"/>
              <w:right w:w="120" w:type="dxa"/>
            </w:tcMar>
          </w:tcPr>
          <w:p w14:paraId="2FA071B4" w14:textId="77777777" w:rsidR="00D73EBD" w:rsidRDefault="00D73EBD" w:rsidP="0040156E">
            <w:pPr>
              <w:spacing w:after="60"/>
            </w:pPr>
            <w:r>
              <w:rPr>
                <w:b/>
                <w:bCs/>
                <w:color w:val="1B3A5C"/>
                <w:sz w:val="21"/>
                <w:szCs w:val="21"/>
              </w:rPr>
              <w:t>Example 3: Recapture Triggered — Aerospace Parts Manufacturer</w:t>
            </w:r>
          </w:p>
          <w:p w14:paraId="3936E04E" w14:textId="77777777" w:rsidR="00D73EBD" w:rsidRDefault="00D73EBD" w:rsidP="0040156E">
            <w:pPr>
              <w:spacing w:after="60"/>
            </w:pPr>
            <w:r>
              <w:rPr>
                <w:sz w:val="21"/>
                <w:szCs w:val="21"/>
              </w:rPr>
              <w:t>Bob, who founded an aerospace parts manufacturer 15 years ago, sells 100% to Alpha Capital Partners for $200M. Bob claims $200M of the §1202A exclusion, saving $47.6M in federal tax (23.8% rate).</w:t>
            </w:r>
          </w:p>
          <w:p w14:paraId="0947E8FB" w14:textId="77777777" w:rsidR="00D73EBD" w:rsidRDefault="00D73EBD" w:rsidP="0040156E">
            <w:pPr>
              <w:spacing w:after="60"/>
            </w:pPr>
            <w:r>
              <w:rPr>
                <w:b/>
                <w:bCs/>
                <w:sz w:val="21"/>
                <w:szCs w:val="21"/>
              </w:rPr>
              <w:t xml:space="preserve">Year 2 post-sale: </w:t>
            </w:r>
            <w:r>
              <w:rPr>
                <w:sz w:val="21"/>
                <w:szCs w:val="21"/>
              </w:rPr>
              <w:t>Alpha loads the company with $80M in debt (4.2x EBITDA of $19M), exceeding the 3.5:1 threshold. Recapture is triggered.</w:t>
            </w:r>
          </w:p>
          <w:p w14:paraId="26C19417" w14:textId="77777777" w:rsidR="00D73EBD" w:rsidRDefault="00D73EBD" w:rsidP="0040156E">
            <w:pPr>
              <w:spacing w:after="60"/>
            </w:pPr>
            <w:r>
              <w:rPr>
                <w:b/>
                <w:bCs/>
                <w:sz w:val="21"/>
                <w:szCs w:val="21"/>
              </w:rPr>
              <w:t>Recapture calculation:</w:t>
            </w:r>
          </w:p>
          <w:p w14:paraId="6B5B04F4" w14:textId="77777777" w:rsidR="00D73EBD" w:rsidRDefault="00D73EBD" w:rsidP="0040156E">
            <w:pPr>
              <w:spacing w:after="30"/>
            </w:pPr>
            <w:r>
              <w:rPr>
                <w:sz w:val="21"/>
                <w:szCs w:val="21"/>
              </w:rPr>
              <w:t>• Recapture amount: $47.6M (the tax that would have been owed) + underpayment interest from the original return due date.</w:t>
            </w:r>
          </w:p>
          <w:p w14:paraId="1DD9F33D" w14:textId="77777777" w:rsidR="00D73EBD" w:rsidRDefault="00D73EBD" w:rsidP="0040156E">
            <w:pPr>
              <w:spacing w:after="30"/>
            </w:pPr>
            <w:r>
              <w:rPr>
                <w:sz w:val="21"/>
                <w:szCs w:val="21"/>
              </w:rPr>
              <w:t>• Alpha Capital (acquirer) is liable for 100% of recapture: $47.6M + interest.</w:t>
            </w:r>
          </w:p>
          <w:p w14:paraId="4D552288" w14:textId="77777777" w:rsidR="00D73EBD" w:rsidRDefault="00D73EBD" w:rsidP="0040156E">
            <w:pPr>
              <w:spacing w:after="60"/>
            </w:pPr>
            <w:r>
              <w:rPr>
                <w:sz w:val="21"/>
                <w:szCs w:val="21"/>
              </w:rPr>
              <w:t>• Bob (seller) is jointly and severally liable for 50%: ~$23.8M + interest (because the event occurred within 5 years of sale).</w:t>
            </w:r>
          </w:p>
          <w:p w14:paraId="561A9E29" w14:textId="77777777" w:rsidR="00D73EBD" w:rsidRDefault="00D73EBD" w:rsidP="0040156E">
            <w:r>
              <w:rPr>
                <w:b/>
                <w:bCs/>
                <w:sz w:val="21"/>
                <w:szCs w:val="21"/>
              </w:rPr>
              <w:t xml:space="preserve">Result: </w:t>
            </w:r>
            <w:r>
              <w:rPr>
                <w:sz w:val="21"/>
                <w:szCs w:val="21"/>
              </w:rPr>
              <w:t xml:space="preserve">Alpha and Bob both face substantial liability. This creates a powerful pre-sale incentive: Bob will either sell to a buyer he trusts to maintain </w:t>
            </w:r>
            <w:proofErr w:type="gramStart"/>
            <w:r>
              <w:rPr>
                <w:sz w:val="21"/>
                <w:szCs w:val="21"/>
              </w:rPr>
              <w:t>operations, or</w:t>
            </w:r>
            <w:proofErr w:type="gramEnd"/>
            <w:r>
              <w:rPr>
                <w:sz w:val="21"/>
                <w:szCs w:val="21"/>
              </w:rPr>
              <w:t xml:space="preserve"> negotiate debt covenants into the purchase agreement.</w:t>
            </w:r>
          </w:p>
        </w:tc>
      </w:tr>
    </w:tbl>
    <w:p w14:paraId="689F7753" w14:textId="77777777" w:rsidR="00D73EBD" w:rsidRDefault="00D73EBD" w:rsidP="00D73EBD">
      <w:pPr>
        <w:pageBreakBefore/>
        <w:spacing w:after="80"/>
      </w:pPr>
      <w:r>
        <w:rPr>
          <w:b/>
          <w:bCs/>
          <w:color w:val="2C5F8A"/>
          <w:sz w:val="26"/>
          <w:szCs w:val="26"/>
        </w:rPr>
        <w:lastRenderedPageBreak/>
        <w:t>6.6 Voluntary Determination Letters (§303(b))</w:t>
      </w:r>
    </w:p>
    <w:p w14:paraId="48B1A5F6" w14:textId="77777777" w:rsidR="00D73EBD" w:rsidRDefault="00D73EBD" w:rsidP="00D73EBD">
      <w:pPr>
        <w:spacing w:after="120"/>
      </w:pPr>
      <w:r>
        <w:t>Any taxpayer who holds or proposes to acquire a qualified manufacturing business interest may request a determination letter from the Secretary confirming that: (A) the business qualifies under §1202B, (B) a proposed or completed transaction satisfies §1202A or §2010A, and (C) applicable equity percentages have been correctly determined. The Secretary has 90 days to respond after determining the submission is complete in form and substance under published guidance; if no response is issued within that period, the determination is deemed favorable. A favorable determination (express or deemed) is binding on the IRS absent fraud or material misrepresentation. This is modeled on the ERISA plan qualification letter process and gives buyers closing certainty without creating a mandatory pre-approval bottleneck. The determination letter is entirely voluntary—no taxpayer is required to obtain one as a condition of claiming the credit or exclusion. The Secretary may charge a reasonable user fee.</w:t>
      </w:r>
    </w:p>
    <w:p w14:paraId="62389D0A" w14:textId="77777777" w:rsidR="00D73EBD" w:rsidRDefault="00D73EBD" w:rsidP="00D73EBD">
      <w:pPr>
        <w:spacing w:before="120" w:after="120"/>
      </w:pPr>
      <w:r>
        <w:rPr>
          <w:b/>
          <w:bCs/>
          <w:color w:val="1B3A5C"/>
          <w:sz w:val="32"/>
          <w:szCs w:val="32"/>
        </w:rPr>
        <w:t>7. Comparison: MERA vs. QSBS (§1202)</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3680"/>
        <w:gridCol w:w="3680"/>
      </w:tblGrid>
      <w:tr w:rsidR="00D73EBD" w14:paraId="59C59AFC"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30ED7E32" w14:textId="77777777" w:rsidR="00D73EBD" w:rsidRDefault="00D73EBD" w:rsidP="0040156E">
            <w:r>
              <w:rPr>
                <w:b/>
                <w:bCs/>
                <w:color w:val="FFFFFF"/>
                <w:sz w:val="20"/>
                <w:szCs w:val="20"/>
              </w:rPr>
              <w:t>Feature</w:t>
            </w:r>
          </w:p>
        </w:tc>
        <w:tc>
          <w:tcPr>
            <w:tcW w:w="368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220F1DC8" w14:textId="77777777" w:rsidR="00D73EBD" w:rsidRDefault="00D73EBD" w:rsidP="0040156E">
            <w:r>
              <w:rPr>
                <w:b/>
                <w:bCs/>
                <w:color w:val="FFFFFF"/>
                <w:sz w:val="20"/>
                <w:szCs w:val="20"/>
              </w:rPr>
              <w:t>MERA (§1202A)</w:t>
            </w:r>
          </w:p>
        </w:tc>
        <w:tc>
          <w:tcPr>
            <w:tcW w:w="368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38F63E6D" w14:textId="77777777" w:rsidR="00D73EBD" w:rsidRDefault="00D73EBD" w:rsidP="0040156E">
            <w:r>
              <w:rPr>
                <w:b/>
                <w:bCs/>
                <w:color w:val="FFFFFF"/>
                <w:sz w:val="20"/>
                <w:szCs w:val="20"/>
              </w:rPr>
              <w:t>QSBS (§1202)</w:t>
            </w:r>
          </w:p>
        </w:tc>
      </w:tr>
      <w:tr w:rsidR="00D73EBD" w14:paraId="38F485E1"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0CD7A904" w14:textId="77777777" w:rsidR="00D73EBD" w:rsidRDefault="00D73EBD" w:rsidP="0040156E">
            <w:r>
              <w:rPr>
                <w:b/>
                <w:bCs/>
                <w:sz w:val="20"/>
                <w:szCs w:val="20"/>
              </w:rPr>
              <w:t>Exclusion Cap</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87BAE68" w14:textId="77777777" w:rsidR="00D73EBD" w:rsidRDefault="00D73EBD" w:rsidP="0040156E">
            <w:r>
              <w:rPr>
                <w:sz w:val="20"/>
                <w:szCs w:val="20"/>
              </w:rPr>
              <w:t>$250M per business (inflation-adjusted)</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BDEAF36" w14:textId="77777777" w:rsidR="00D73EBD" w:rsidRDefault="00D73EBD" w:rsidP="0040156E">
            <w:r>
              <w:rPr>
                <w:sz w:val="20"/>
                <w:szCs w:val="20"/>
              </w:rPr>
              <w:t>$15M per taxpayer per issuer (or 10x basis)</w:t>
            </w:r>
          </w:p>
        </w:tc>
      </w:tr>
      <w:tr w:rsidR="00D73EBD" w14:paraId="404F813B"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7C0EBB9" w14:textId="77777777" w:rsidR="00D73EBD" w:rsidRDefault="00D73EBD" w:rsidP="0040156E">
            <w:r>
              <w:rPr>
                <w:b/>
                <w:bCs/>
                <w:sz w:val="20"/>
                <w:szCs w:val="20"/>
              </w:rPr>
              <w:t>Holding Period</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5F1FC9A8" w14:textId="77777777" w:rsidR="00D73EBD" w:rsidRDefault="00D73EBD" w:rsidP="0040156E">
            <w:r>
              <w:rPr>
                <w:sz w:val="20"/>
                <w:szCs w:val="20"/>
              </w:rPr>
              <w:t>10 years</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61882DBC" w14:textId="77777777" w:rsidR="00D73EBD" w:rsidRDefault="00D73EBD" w:rsidP="0040156E">
            <w:r>
              <w:rPr>
                <w:sz w:val="20"/>
                <w:szCs w:val="20"/>
              </w:rPr>
              <w:t>3–5 years (post-OBBBA)</w:t>
            </w:r>
          </w:p>
        </w:tc>
      </w:tr>
      <w:tr w:rsidR="00D73EBD" w14:paraId="1626D82B"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51D788B" w14:textId="77777777" w:rsidR="00D73EBD" w:rsidRDefault="00D73EBD" w:rsidP="0040156E">
            <w:r>
              <w:rPr>
                <w:b/>
                <w:bCs/>
                <w:sz w:val="20"/>
                <w:szCs w:val="20"/>
              </w:rPr>
              <w:t>Entity Types</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16A64A9C" w14:textId="77777777" w:rsidR="00D73EBD" w:rsidRDefault="00D73EBD" w:rsidP="0040156E">
            <w:r>
              <w:rPr>
                <w:sz w:val="20"/>
                <w:szCs w:val="20"/>
              </w:rPr>
              <w:t xml:space="preserve">C </w:t>
            </w:r>
            <w:proofErr w:type="spellStart"/>
            <w:r>
              <w:rPr>
                <w:sz w:val="20"/>
                <w:szCs w:val="20"/>
              </w:rPr>
              <w:t>corp</w:t>
            </w:r>
            <w:proofErr w:type="spellEnd"/>
            <w:r>
              <w:rPr>
                <w:sz w:val="20"/>
                <w:szCs w:val="20"/>
              </w:rPr>
              <w:t xml:space="preserve">, S </w:t>
            </w:r>
            <w:proofErr w:type="spellStart"/>
            <w:r>
              <w:rPr>
                <w:sz w:val="20"/>
                <w:szCs w:val="20"/>
              </w:rPr>
              <w:t>corp</w:t>
            </w:r>
            <w:proofErr w:type="spellEnd"/>
            <w:r>
              <w:rPr>
                <w:sz w:val="20"/>
                <w:szCs w:val="20"/>
              </w:rPr>
              <w:t>, partnership, LLC, sole prop</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0488FB8C" w14:textId="77777777" w:rsidR="00D73EBD" w:rsidRDefault="00D73EBD" w:rsidP="0040156E">
            <w:r>
              <w:rPr>
                <w:sz w:val="20"/>
                <w:szCs w:val="20"/>
              </w:rPr>
              <w:t>C corporations only</w:t>
            </w:r>
          </w:p>
        </w:tc>
      </w:tr>
      <w:tr w:rsidR="00D73EBD" w14:paraId="75828F72"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6B3FA6D6" w14:textId="77777777" w:rsidR="00D73EBD" w:rsidRDefault="00D73EBD" w:rsidP="0040156E">
            <w:r>
              <w:rPr>
                <w:b/>
                <w:bCs/>
                <w:sz w:val="20"/>
                <w:szCs w:val="20"/>
              </w:rPr>
              <w:t>Original Issuance</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03F048F2" w14:textId="77777777" w:rsidR="00D73EBD" w:rsidRDefault="00D73EBD" w:rsidP="0040156E">
            <w:r>
              <w:rPr>
                <w:sz w:val="20"/>
                <w:szCs w:val="20"/>
              </w:rPr>
              <w:t>Not required—secondary acquisitions qualify</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42B204A" w14:textId="77777777" w:rsidR="00D73EBD" w:rsidRDefault="00D73EBD" w:rsidP="0040156E">
            <w:r>
              <w:rPr>
                <w:sz w:val="20"/>
                <w:szCs w:val="20"/>
              </w:rPr>
              <w:t>Required—must be acquired at original issuance</w:t>
            </w:r>
          </w:p>
        </w:tc>
      </w:tr>
      <w:tr w:rsidR="00D73EBD" w14:paraId="615F0159"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2CC5FD14" w14:textId="77777777" w:rsidR="00D73EBD" w:rsidRDefault="00D73EBD" w:rsidP="0040156E">
            <w:r>
              <w:rPr>
                <w:b/>
                <w:bCs/>
                <w:sz w:val="20"/>
                <w:szCs w:val="20"/>
              </w:rPr>
              <w:t>Gross Asset Cap</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28ABB10" w14:textId="77777777" w:rsidR="00D73EBD" w:rsidRDefault="00D73EBD" w:rsidP="0040156E">
            <w:r>
              <w:rPr>
                <w:sz w:val="20"/>
                <w:szCs w:val="20"/>
              </w:rPr>
              <w:t>None (size tested by employee count)</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F3723A3" w14:textId="77777777" w:rsidR="00D73EBD" w:rsidRDefault="00D73EBD" w:rsidP="0040156E">
            <w:r>
              <w:rPr>
                <w:sz w:val="20"/>
                <w:szCs w:val="20"/>
              </w:rPr>
              <w:t>$75M (post-OBBBA)</w:t>
            </w:r>
          </w:p>
        </w:tc>
      </w:tr>
      <w:tr w:rsidR="00D73EBD" w14:paraId="137E5E5E"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4C3AB12" w14:textId="77777777" w:rsidR="00D73EBD" w:rsidRDefault="00D73EBD" w:rsidP="0040156E">
            <w:r>
              <w:rPr>
                <w:b/>
                <w:bCs/>
                <w:sz w:val="20"/>
                <w:szCs w:val="20"/>
              </w:rPr>
              <w:t>Industry</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31868F0E" w14:textId="77777777" w:rsidR="00D73EBD" w:rsidRDefault="00D73EBD" w:rsidP="0040156E">
            <w:r>
              <w:rPr>
                <w:sz w:val="20"/>
                <w:szCs w:val="20"/>
              </w:rPr>
              <w:t>Manufacturing only (NAICS 31–33)</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22AEACC" w14:textId="77777777" w:rsidR="00D73EBD" w:rsidRDefault="00D73EBD" w:rsidP="0040156E">
            <w:r>
              <w:rPr>
                <w:sz w:val="20"/>
                <w:szCs w:val="20"/>
              </w:rPr>
              <w:t>Most active businesses (broad)</w:t>
            </w:r>
          </w:p>
        </w:tc>
      </w:tr>
      <w:tr w:rsidR="00D73EBD" w14:paraId="05FCBA35"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71F6EFD9" w14:textId="77777777" w:rsidR="00D73EBD" w:rsidRDefault="00D73EBD" w:rsidP="0040156E">
            <w:r>
              <w:rPr>
                <w:b/>
                <w:bCs/>
                <w:sz w:val="20"/>
                <w:szCs w:val="20"/>
              </w:rPr>
              <w:t>Recapture</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295C3E69" w14:textId="77777777" w:rsidR="00D73EBD" w:rsidRDefault="00D73EBD" w:rsidP="0040156E">
            <w:r>
              <w:rPr>
                <w:sz w:val="20"/>
                <w:szCs w:val="20"/>
              </w:rPr>
              <w:t>Yes—7-year period; buyer + seller liable</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2D30F3F" w14:textId="77777777" w:rsidR="00D73EBD" w:rsidRDefault="00D73EBD" w:rsidP="0040156E">
            <w:r>
              <w:rPr>
                <w:sz w:val="20"/>
                <w:szCs w:val="20"/>
              </w:rPr>
              <w:t>None</w:t>
            </w:r>
          </w:p>
        </w:tc>
      </w:tr>
      <w:tr w:rsidR="00D73EBD" w14:paraId="00B97F36"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4B804052" w14:textId="77777777" w:rsidR="00D73EBD" w:rsidRDefault="00D73EBD" w:rsidP="0040156E">
            <w:r>
              <w:rPr>
                <w:b/>
                <w:bCs/>
                <w:sz w:val="20"/>
                <w:szCs w:val="20"/>
              </w:rPr>
              <w:t>Family Transfers</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230650E" w14:textId="77777777" w:rsidR="00D73EBD" w:rsidRDefault="00D73EBD" w:rsidP="0040156E">
            <w:r>
              <w:rPr>
                <w:sz w:val="20"/>
                <w:szCs w:val="20"/>
              </w:rPr>
              <w:t>Separate track via gift/estate tax credit (10-year hold required)</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65A186B3" w14:textId="77777777" w:rsidR="00D73EBD" w:rsidRDefault="00D73EBD" w:rsidP="0040156E">
            <w:r>
              <w:rPr>
                <w:sz w:val="20"/>
                <w:szCs w:val="20"/>
              </w:rPr>
              <w:t>Not addressed</w:t>
            </w:r>
          </w:p>
        </w:tc>
      </w:tr>
      <w:tr w:rsidR="00D73EBD" w14:paraId="7666A21D"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6751E998" w14:textId="77777777" w:rsidR="00D73EBD" w:rsidRDefault="00D73EBD" w:rsidP="0040156E">
            <w:r>
              <w:rPr>
                <w:b/>
                <w:bCs/>
                <w:sz w:val="20"/>
                <w:szCs w:val="20"/>
              </w:rPr>
              <w:t>Staggered Sales</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4C7B6827" w14:textId="77777777" w:rsidR="00D73EBD" w:rsidRDefault="00D73EBD" w:rsidP="0040156E">
            <w:r>
              <w:rPr>
                <w:sz w:val="20"/>
                <w:szCs w:val="20"/>
              </w:rPr>
              <w:t>Pro-rata equity allocation with determination date</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35576FBE" w14:textId="77777777" w:rsidR="00D73EBD" w:rsidRDefault="00D73EBD" w:rsidP="0040156E">
            <w:r>
              <w:rPr>
                <w:sz w:val="20"/>
                <w:szCs w:val="20"/>
              </w:rPr>
              <w:t>Per-taxpayer cap handles naturally</w:t>
            </w:r>
          </w:p>
        </w:tc>
      </w:tr>
      <w:tr w:rsidR="00D73EBD" w14:paraId="2D9392AD" w14:textId="77777777" w:rsidTr="0040156E">
        <w:tc>
          <w:tcPr>
            <w:tcW w:w="20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5A66276C" w14:textId="77777777" w:rsidR="00D73EBD" w:rsidRDefault="00D73EBD" w:rsidP="0040156E">
            <w:r>
              <w:rPr>
                <w:b/>
                <w:bCs/>
                <w:sz w:val="20"/>
                <w:szCs w:val="20"/>
              </w:rPr>
              <w:t>Inflation Adj.</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C0341DD" w14:textId="77777777" w:rsidR="00D73EBD" w:rsidRDefault="00D73EBD" w:rsidP="0040156E">
            <w:r>
              <w:rPr>
                <w:sz w:val="20"/>
                <w:szCs w:val="20"/>
              </w:rPr>
              <w:t>Yes—CPI-U per §2010(c)(3) methodology</w:t>
            </w:r>
          </w:p>
        </w:tc>
        <w:tc>
          <w:tcPr>
            <w:tcW w:w="368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440276C7" w14:textId="77777777" w:rsidR="00D73EBD" w:rsidRDefault="00D73EBD" w:rsidP="0040156E">
            <w:r>
              <w:rPr>
                <w:sz w:val="20"/>
                <w:szCs w:val="20"/>
              </w:rPr>
              <w:t>No—$10M cap unchanged since 1993</w:t>
            </w:r>
          </w:p>
        </w:tc>
      </w:tr>
      <w:tr w:rsidR="00D73EBD" w14:paraId="2B3BAA86" w14:textId="77777777" w:rsidTr="0040156E">
        <w:tc>
          <w:tcPr>
            <w:tcW w:w="20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116EBD49" w14:textId="77777777" w:rsidR="00D73EBD" w:rsidRDefault="00D73EBD" w:rsidP="0040156E">
            <w:r>
              <w:rPr>
                <w:b/>
                <w:bCs/>
                <w:sz w:val="20"/>
                <w:szCs w:val="20"/>
              </w:rPr>
              <w:t>Policy Target</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6060431A" w14:textId="77777777" w:rsidR="00D73EBD" w:rsidRDefault="00D73EBD" w:rsidP="0040156E">
            <w:r>
              <w:rPr>
                <w:sz w:val="20"/>
                <w:szCs w:val="20"/>
              </w:rPr>
              <w:t>Manufacturing succession and preservation</w:t>
            </w:r>
          </w:p>
        </w:tc>
        <w:tc>
          <w:tcPr>
            <w:tcW w:w="368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67FB3561" w14:textId="77777777" w:rsidR="00D73EBD" w:rsidRDefault="00D73EBD" w:rsidP="0040156E">
            <w:r>
              <w:rPr>
                <w:sz w:val="20"/>
                <w:szCs w:val="20"/>
              </w:rPr>
              <w:t>Venture capital formation for startups</w:t>
            </w:r>
          </w:p>
        </w:tc>
      </w:tr>
    </w:tbl>
    <w:p w14:paraId="2B0999D1" w14:textId="77777777" w:rsidR="00D73EBD" w:rsidRDefault="00D73EBD" w:rsidP="00D73EBD">
      <w:pPr>
        <w:spacing w:after="120"/>
      </w:pPr>
      <w:r>
        <w:t>MERA and QSBS serve different but complementary policy objectives. QSBS encourages early-stage venture investment. MERA encourages long-term stewardship of manufacturing capacity. A manufacturer could theoretically benefit from both—QSBS at founding, MERA at succession—reflecting a full lifecycle of Congressional support for domestic production.</w:t>
      </w:r>
    </w:p>
    <w:p w14:paraId="2A5EB72D" w14:textId="77777777" w:rsidR="00D73EBD" w:rsidRDefault="00D73EBD" w:rsidP="00D73EBD">
      <w:pPr>
        <w:pageBreakBefore/>
        <w:spacing w:after="120"/>
      </w:pPr>
      <w:r>
        <w:rPr>
          <w:b/>
          <w:bCs/>
          <w:color w:val="1B3A5C"/>
          <w:sz w:val="32"/>
          <w:szCs w:val="32"/>
        </w:rPr>
        <w:lastRenderedPageBreak/>
        <w:t>8. Quick-Reference Rules Summary</w:t>
      </w:r>
    </w:p>
    <w:p w14:paraId="0EA6016F" w14:textId="77777777" w:rsidR="00D73EBD" w:rsidRDefault="00D73EBD" w:rsidP="00D73EBD">
      <w:pPr>
        <w:spacing w:before="240" w:after="80"/>
      </w:pPr>
      <w:r>
        <w:rPr>
          <w:b/>
          <w:bCs/>
          <w:color w:val="2C5F8A"/>
          <w:sz w:val="26"/>
          <w:szCs w:val="26"/>
        </w:rPr>
        <w:t>Inflation Adjustment (§1202A(b)(1)(B) / §2010A(c))</w:t>
      </w:r>
    </w:p>
    <w:p w14:paraId="1191A8C3" w14:textId="77777777" w:rsidR="00D73EBD" w:rsidRDefault="00D73EBD" w:rsidP="00D73EBD">
      <w:pPr>
        <w:spacing w:after="120"/>
      </w:pPr>
      <w:r>
        <w:t>The $250,000,000 per-business limitation is adjusted for inflation for taxable years beginning after December 31, 2027. The adjustment uses the cost-of-living adjustment methodology of §2010(c)(3)(B) (CPI-U, calendar year over calendar year), with calendar year 2027 as the base period. The adjusted amount is rounded to the nearest $1,000,000. Unlike QSBS (§1202), which has never inflation-indexed its $10M cap since 1993, MERA ensures the real value of the exclusion is maintained over time.</w:t>
      </w:r>
    </w:p>
    <w:p w14:paraId="1C04057A" w14:textId="77777777" w:rsidR="00D73EBD" w:rsidRDefault="00D73EBD" w:rsidP="00D73EBD">
      <w:pPr>
        <w:spacing w:before="240" w:after="80"/>
      </w:pPr>
      <w:r>
        <w:rPr>
          <w:b/>
          <w:bCs/>
          <w:color w:val="2C5F8A"/>
          <w:sz w:val="26"/>
          <w:szCs w:val="26"/>
        </w:rPr>
        <w:t>Track 1 Rules (Gift/Estate — §2010A / §2505A)</w:t>
      </w:r>
    </w:p>
    <w:p w14:paraId="6152DB7B" w14:textId="77777777" w:rsidR="00D73EBD" w:rsidRDefault="00D73EBD" w:rsidP="00D73EBD">
      <w:pPr>
        <w:pStyle w:val="ListParagraph"/>
        <w:numPr>
          <w:ilvl w:val="0"/>
          <w:numId w:val="3"/>
        </w:numPr>
        <w:spacing w:after="60"/>
        <w:contextualSpacing w:val="0"/>
      </w:pPr>
      <w:r>
        <w:t>Transfer must be to a qualifying family member</w:t>
      </w:r>
    </w:p>
    <w:p w14:paraId="42BAE66F" w14:textId="77777777" w:rsidR="00D73EBD" w:rsidRDefault="00D73EBD" w:rsidP="00D73EBD">
      <w:pPr>
        <w:pStyle w:val="ListParagraph"/>
        <w:numPr>
          <w:ilvl w:val="0"/>
          <w:numId w:val="3"/>
        </w:numPr>
        <w:spacing w:after="60"/>
        <w:contextualSpacing w:val="0"/>
      </w:pPr>
      <w:r>
        <w:t>Transferor must have held the business interest for more than 10 years (measured from founding or original acquisition; pre-enactment holding counts)</w:t>
      </w:r>
    </w:p>
    <w:p w14:paraId="1727079E" w14:textId="77777777" w:rsidR="00D73EBD" w:rsidRDefault="00D73EBD" w:rsidP="00D73EBD">
      <w:pPr>
        <w:pStyle w:val="ListParagraph"/>
        <w:numPr>
          <w:ilvl w:val="0"/>
          <w:numId w:val="3"/>
        </w:numPr>
        <w:spacing w:after="60"/>
        <w:contextualSpacing w:val="0"/>
      </w:pPr>
      <w:r>
        <w:t>Business must meet all four §1202B requirements at time of transfer</w:t>
      </w:r>
    </w:p>
    <w:p w14:paraId="4F5C0353" w14:textId="77777777" w:rsidR="00D73EBD" w:rsidRDefault="00D73EBD" w:rsidP="00D73EBD">
      <w:pPr>
        <w:pStyle w:val="ListParagraph"/>
        <w:numPr>
          <w:ilvl w:val="0"/>
          <w:numId w:val="3"/>
        </w:numPr>
        <w:spacing w:after="60"/>
        <w:contextualSpacing w:val="0"/>
      </w:pPr>
      <w:r>
        <w:t>Additional unified credit of up to $250M per business (inflation-adjusted after 2027, rounded to nearest $1M)</w:t>
      </w:r>
    </w:p>
    <w:p w14:paraId="17F87992" w14:textId="77777777" w:rsidR="00D73EBD" w:rsidRDefault="00D73EBD" w:rsidP="00D73EBD">
      <w:pPr>
        <w:pStyle w:val="ListParagraph"/>
        <w:numPr>
          <w:ilvl w:val="0"/>
          <w:numId w:val="3"/>
        </w:numPr>
        <w:spacing w:after="60"/>
        <w:contextualSpacing w:val="0"/>
      </w:pPr>
      <w:r>
        <w:t>Supplements (does not replace) existing $15M unified credit</w:t>
      </w:r>
    </w:p>
    <w:p w14:paraId="325C9787" w14:textId="77777777" w:rsidR="00D73EBD" w:rsidRDefault="00D73EBD" w:rsidP="00D73EBD">
      <w:pPr>
        <w:pStyle w:val="ListParagraph"/>
        <w:numPr>
          <w:ilvl w:val="0"/>
          <w:numId w:val="3"/>
        </w:numPr>
        <w:spacing w:after="60"/>
        <w:contextualSpacing w:val="0"/>
      </w:pPr>
      <w:r>
        <w:t>Gift: carryover basis, tacked holding period</w:t>
      </w:r>
    </w:p>
    <w:p w14:paraId="252DE671" w14:textId="77777777" w:rsidR="00D73EBD" w:rsidRDefault="00D73EBD" w:rsidP="00D73EBD">
      <w:pPr>
        <w:pStyle w:val="ListParagraph"/>
        <w:numPr>
          <w:ilvl w:val="0"/>
          <w:numId w:val="3"/>
        </w:numPr>
        <w:spacing w:after="60"/>
        <w:contextualSpacing w:val="0"/>
      </w:pPr>
      <w:r>
        <w:t>Bequest: stepped-up basis, tacked holding period for §1202A purposes</w:t>
      </w:r>
    </w:p>
    <w:p w14:paraId="6CEE5311" w14:textId="77777777" w:rsidR="00D73EBD" w:rsidRDefault="00D73EBD" w:rsidP="00D73EBD">
      <w:pPr>
        <w:pStyle w:val="ListParagraph"/>
        <w:numPr>
          <w:ilvl w:val="0"/>
          <w:numId w:val="3"/>
        </w:numPr>
        <w:spacing w:after="60"/>
        <w:contextualSpacing w:val="0"/>
      </w:pPr>
      <w:r>
        <w:t>No recapture obligations on family transferees</w:t>
      </w:r>
    </w:p>
    <w:p w14:paraId="0DF5A119" w14:textId="77777777" w:rsidR="00D73EBD" w:rsidRDefault="00D73EBD" w:rsidP="00D73EBD">
      <w:pPr>
        <w:pStyle w:val="ListParagraph"/>
        <w:numPr>
          <w:ilvl w:val="0"/>
          <w:numId w:val="3"/>
        </w:numPr>
        <w:spacing w:after="60"/>
        <w:contextualSpacing w:val="0"/>
      </w:pPr>
      <w:r>
        <w:t>Mutually exclusive with Track 2—same transfer cannot use both</w:t>
      </w:r>
    </w:p>
    <w:p w14:paraId="2332018B" w14:textId="77777777" w:rsidR="00D73EBD" w:rsidRDefault="00D73EBD" w:rsidP="00D73EBD">
      <w:pPr>
        <w:spacing w:before="240" w:after="80"/>
      </w:pPr>
      <w:r>
        <w:rPr>
          <w:b/>
          <w:bCs/>
          <w:color w:val="2C5F8A"/>
          <w:sz w:val="26"/>
          <w:szCs w:val="26"/>
        </w:rPr>
        <w:t>Track 2 Rules (Income Tax — §1202A)</w:t>
      </w:r>
    </w:p>
    <w:p w14:paraId="5071F395" w14:textId="77777777" w:rsidR="00D73EBD" w:rsidRDefault="00D73EBD" w:rsidP="00D73EBD">
      <w:pPr>
        <w:pStyle w:val="ListParagraph"/>
        <w:numPr>
          <w:ilvl w:val="0"/>
          <w:numId w:val="4"/>
        </w:numPr>
        <w:spacing w:after="60"/>
        <w:contextualSpacing w:val="0"/>
      </w:pPr>
      <w:r>
        <w:t>Seller must have held for more than 10 years (tacking permitted)</w:t>
      </w:r>
    </w:p>
    <w:p w14:paraId="3E9A7CE9" w14:textId="77777777" w:rsidR="00D73EBD" w:rsidRDefault="00D73EBD" w:rsidP="00D73EBD">
      <w:pPr>
        <w:pStyle w:val="ListParagraph"/>
        <w:numPr>
          <w:ilvl w:val="0"/>
          <w:numId w:val="4"/>
        </w:numPr>
        <w:spacing w:after="60"/>
        <w:contextualSpacing w:val="0"/>
      </w:pPr>
      <w:r>
        <w:t>Sale must be to a non-family buyer</w:t>
      </w:r>
    </w:p>
    <w:p w14:paraId="47B6D20F" w14:textId="77777777" w:rsidR="00D73EBD" w:rsidRDefault="00D73EBD" w:rsidP="00D73EBD">
      <w:pPr>
        <w:pStyle w:val="ListParagraph"/>
        <w:numPr>
          <w:ilvl w:val="0"/>
          <w:numId w:val="4"/>
        </w:numPr>
        <w:spacing w:after="60"/>
        <w:contextualSpacing w:val="0"/>
      </w:pPr>
      <w:r>
        <w:t>100% exclusion of gain, up to $250M per business (inflation-adjusted after 2027, rounded to nearest $1M)</w:t>
      </w:r>
    </w:p>
    <w:p w14:paraId="4BA55401" w14:textId="77777777" w:rsidR="00D73EBD" w:rsidRDefault="00D73EBD" w:rsidP="00D73EBD">
      <w:pPr>
        <w:pStyle w:val="ListParagraph"/>
        <w:numPr>
          <w:ilvl w:val="0"/>
          <w:numId w:val="4"/>
        </w:numPr>
        <w:spacing w:after="60"/>
        <w:contextualSpacing w:val="0"/>
      </w:pPr>
      <w:r>
        <w:t>Per-business cap tracked by EIN; allocated via pro-rata equity allocation</w:t>
      </w:r>
    </w:p>
    <w:p w14:paraId="209479F0" w14:textId="77777777" w:rsidR="00D73EBD" w:rsidRDefault="00D73EBD" w:rsidP="00D73EBD">
      <w:pPr>
        <w:pStyle w:val="ListParagraph"/>
        <w:numPr>
          <w:ilvl w:val="0"/>
          <w:numId w:val="4"/>
        </w:numPr>
        <w:spacing w:after="60"/>
        <w:contextualSpacing w:val="0"/>
      </w:pPr>
      <w:r>
        <w:t>Single determination date per business (first qualifying sale, IPO, or unanimous election)</w:t>
      </w:r>
    </w:p>
    <w:p w14:paraId="7B16C247" w14:textId="77777777" w:rsidR="00D73EBD" w:rsidRDefault="00D73EBD" w:rsidP="00D73EBD">
      <w:pPr>
        <w:pStyle w:val="ListParagraph"/>
        <w:numPr>
          <w:ilvl w:val="0"/>
          <w:numId w:val="4"/>
        </w:numPr>
        <w:spacing w:after="60"/>
        <w:contextualSpacing w:val="0"/>
      </w:pPr>
      <w:r>
        <w:t>Applicable equity percentage based on determination-date ownership; 2-year anti-abuse lookback (§1202A(b)(4)(A)) prevents manipulation</w:t>
      </w:r>
    </w:p>
    <w:p w14:paraId="332812AF" w14:textId="77777777" w:rsidR="00D73EBD" w:rsidRDefault="00D73EBD" w:rsidP="00D73EBD">
      <w:pPr>
        <w:pStyle w:val="ListParagraph"/>
        <w:numPr>
          <w:ilvl w:val="0"/>
          <w:numId w:val="4"/>
        </w:numPr>
        <w:spacing w:after="60"/>
        <w:contextualSpacing w:val="0"/>
      </w:pPr>
      <w:r>
        <w:t>Post-determination equity holders access only remaining cap</w:t>
      </w:r>
    </w:p>
    <w:p w14:paraId="236184D7" w14:textId="77777777" w:rsidR="00D73EBD" w:rsidRDefault="00D73EBD" w:rsidP="00D73EBD">
      <w:pPr>
        <w:pStyle w:val="ListParagraph"/>
        <w:numPr>
          <w:ilvl w:val="0"/>
          <w:numId w:val="4"/>
        </w:numPr>
        <w:spacing w:after="60"/>
        <w:contextualSpacing w:val="0"/>
      </w:pPr>
      <w:r>
        <w:t>7-year recapture period with five triggers (leverage, employment, offshoring, early disposition, economic extraction)</w:t>
      </w:r>
    </w:p>
    <w:p w14:paraId="6F31E799" w14:textId="77777777" w:rsidR="00D73EBD" w:rsidRDefault="00D73EBD" w:rsidP="00D73EBD">
      <w:pPr>
        <w:pStyle w:val="ListParagraph"/>
        <w:numPr>
          <w:ilvl w:val="0"/>
          <w:numId w:val="4"/>
        </w:numPr>
        <w:spacing w:after="60"/>
        <w:contextualSpacing w:val="0"/>
      </w:pPr>
      <w:r>
        <w:t>Seller jointly and severally liable for 50% of recapture if event occurs within 5 years</w:t>
      </w:r>
    </w:p>
    <w:p w14:paraId="688EBAF6" w14:textId="77777777" w:rsidR="00D73EBD" w:rsidRDefault="00D73EBD" w:rsidP="00D73EBD">
      <w:pPr>
        <w:pStyle w:val="ListParagraph"/>
        <w:numPr>
          <w:ilvl w:val="0"/>
          <w:numId w:val="4"/>
        </w:numPr>
        <w:spacing w:after="60"/>
        <w:contextualSpacing w:val="0"/>
      </w:pPr>
      <w:r>
        <w:t>Change of control includes constructive control (board, management, veto rights)</w:t>
      </w:r>
    </w:p>
    <w:p w14:paraId="46A75C3D" w14:textId="77777777" w:rsidR="00D73EBD" w:rsidRDefault="00D73EBD" w:rsidP="00D73EBD">
      <w:pPr>
        <w:pStyle w:val="ListParagraph"/>
        <w:numPr>
          <w:ilvl w:val="0"/>
          <w:numId w:val="4"/>
        </w:numPr>
        <w:spacing w:after="60"/>
        <w:contextualSpacing w:val="0"/>
      </w:pPr>
      <w:r>
        <w:t>36-month aggregation rule for related-party sales</w:t>
      </w:r>
    </w:p>
    <w:p w14:paraId="1D8A6714" w14:textId="77777777" w:rsidR="00D73EBD" w:rsidRDefault="00D73EBD" w:rsidP="00D73EBD">
      <w:pPr>
        <w:pStyle w:val="ListParagraph"/>
        <w:numPr>
          <w:ilvl w:val="0"/>
          <w:numId w:val="4"/>
        </w:numPr>
        <w:spacing w:after="60"/>
        <w:contextualSpacing w:val="0"/>
      </w:pPr>
      <w:r>
        <w:t>Qualified IPO satisfies holding period; SPACs and reverse mergers excluded</w:t>
      </w:r>
    </w:p>
    <w:p w14:paraId="61A138B7" w14:textId="77777777" w:rsidR="00D73EBD" w:rsidRDefault="00D73EBD" w:rsidP="00D73EBD">
      <w:pPr>
        <w:pStyle w:val="ListParagraph"/>
        <w:numPr>
          <w:ilvl w:val="0"/>
          <w:numId w:val="4"/>
        </w:numPr>
        <w:spacing w:after="60"/>
        <w:contextualSpacing w:val="0"/>
      </w:pPr>
      <w:r>
        <w:t>No double benefit with QSBS (§1202)—taxpayer elects one</w:t>
      </w:r>
    </w:p>
    <w:p w14:paraId="0109A524" w14:textId="77777777" w:rsidR="00D73EBD" w:rsidRDefault="00D73EBD" w:rsidP="00D73EBD">
      <w:pPr>
        <w:pStyle w:val="ListParagraph"/>
        <w:numPr>
          <w:ilvl w:val="0"/>
          <w:numId w:val="4"/>
        </w:numPr>
        <w:spacing w:after="60"/>
        <w:contextualSpacing w:val="0"/>
      </w:pPr>
      <w:r>
        <w:t>Transitional rule: existing holders may count pre-enactment holding period</w:t>
      </w:r>
    </w:p>
    <w:p w14:paraId="6A1115B1" w14:textId="77777777" w:rsidR="00D73EBD" w:rsidRDefault="00D73EBD" w:rsidP="00D73EBD">
      <w:pPr>
        <w:pStyle w:val="ListParagraph"/>
        <w:numPr>
          <w:ilvl w:val="0"/>
          <w:numId w:val="4"/>
        </w:numPr>
        <w:spacing w:after="60"/>
        <w:contextualSpacing w:val="0"/>
      </w:pPr>
      <w:r>
        <w:lastRenderedPageBreak/>
        <w:t>Convertible notes, SAFEs, options, and warrants excluded from equity for PREA purposes until converted</w:t>
      </w:r>
    </w:p>
    <w:p w14:paraId="2C7A094F" w14:textId="77777777" w:rsidR="00D73EBD" w:rsidRDefault="00D73EBD" w:rsidP="00D73EBD">
      <w:pPr>
        <w:pStyle w:val="ListParagraph"/>
        <w:numPr>
          <w:ilvl w:val="0"/>
          <w:numId w:val="4"/>
        </w:numPr>
        <w:spacing w:after="60"/>
        <w:contextualSpacing w:val="0"/>
      </w:pPr>
      <w:r>
        <w:t>Holding period tolled for any year 3-year rolling average debt/EBITDA exceeds 3.5:1</w:t>
      </w:r>
    </w:p>
    <w:p w14:paraId="60C3F11E" w14:textId="77777777" w:rsidR="00D73EBD" w:rsidRDefault="00D73EBD" w:rsidP="00D73EBD">
      <w:pPr>
        <w:pStyle w:val="ListParagraph"/>
        <w:numPr>
          <w:ilvl w:val="0"/>
          <w:numId w:val="4"/>
        </w:numPr>
        <w:spacing w:after="60"/>
        <w:contextualSpacing w:val="0"/>
      </w:pPr>
      <w:r>
        <w:t xml:space="preserve">Voluntary determination letter available (§303(b)); 90-day response period starts after completeness determination; deemed favorable if no response; binding absent fraud </w:t>
      </w:r>
    </w:p>
    <w:p w14:paraId="5805E86F" w14:textId="77777777" w:rsidR="00D73EBD" w:rsidRDefault="00D73EBD" w:rsidP="00D73EBD">
      <w:pPr>
        <w:pageBreakBefore/>
        <w:spacing w:after="120"/>
      </w:pPr>
      <w:r>
        <w:rPr>
          <w:b/>
          <w:bCs/>
          <w:color w:val="1B3A5C"/>
          <w:sz w:val="32"/>
          <w:szCs w:val="32"/>
        </w:rPr>
        <w:lastRenderedPageBreak/>
        <w:t>9. Legislative Structure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2200"/>
        <w:gridCol w:w="5560"/>
      </w:tblGrid>
      <w:tr w:rsidR="00D73EBD" w14:paraId="19551228" w14:textId="77777777" w:rsidTr="0040156E">
        <w:tc>
          <w:tcPr>
            <w:tcW w:w="16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75B2D0AC" w14:textId="77777777" w:rsidR="00D73EBD" w:rsidRDefault="00D73EBD" w:rsidP="0040156E">
            <w:r>
              <w:rPr>
                <w:b/>
                <w:bCs/>
                <w:color w:val="FFFFFF"/>
                <w:sz w:val="20"/>
                <w:szCs w:val="20"/>
              </w:rPr>
              <w:t>Section</w:t>
            </w:r>
          </w:p>
        </w:tc>
        <w:tc>
          <w:tcPr>
            <w:tcW w:w="220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67FC5B55" w14:textId="77777777" w:rsidR="00D73EBD" w:rsidRDefault="00D73EBD" w:rsidP="0040156E">
            <w:r>
              <w:rPr>
                <w:b/>
                <w:bCs/>
                <w:color w:val="FFFFFF"/>
                <w:sz w:val="20"/>
                <w:szCs w:val="20"/>
              </w:rPr>
              <w:t>Title</w:t>
            </w:r>
          </w:p>
        </w:tc>
        <w:tc>
          <w:tcPr>
            <w:tcW w:w="5560" w:type="dxa"/>
            <w:tcBorders>
              <w:top w:val="single" w:sz="1" w:space="0" w:color="B0B0B0"/>
              <w:left w:val="single" w:sz="1" w:space="0" w:color="B0B0B0"/>
              <w:bottom w:val="single" w:sz="1" w:space="0" w:color="B0B0B0"/>
              <w:right w:val="single" w:sz="1" w:space="0" w:color="B0B0B0"/>
            </w:tcBorders>
            <w:shd w:val="clear" w:color="auto" w:fill="1B3A5C"/>
            <w:tcMar>
              <w:top w:w="50" w:type="dxa"/>
              <w:left w:w="80" w:type="dxa"/>
              <w:bottom w:w="50" w:type="dxa"/>
              <w:right w:w="80" w:type="dxa"/>
            </w:tcMar>
          </w:tcPr>
          <w:p w14:paraId="5748A7AA" w14:textId="77777777" w:rsidR="00D73EBD" w:rsidRDefault="00D73EBD" w:rsidP="0040156E">
            <w:r>
              <w:rPr>
                <w:b/>
                <w:bCs/>
                <w:color w:val="FFFFFF"/>
                <w:sz w:val="20"/>
                <w:szCs w:val="20"/>
              </w:rPr>
              <w:t>Description</w:t>
            </w:r>
          </w:p>
        </w:tc>
      </w:tr>
      <w:tr w:rsidR="00D73EBD" w14:paraId="3AC34BEB" w14:textId="77777777" w:rsidTr="0040156E">
        <w:tc>
          <w:tcPr>
            <w:tcW w:w="16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6FA6437F" w14:textId="77777777" w:rsidR="00D73EBD" w:rsidRDefault="00D73EBD" w:rsidP="0040156E">
            <w:r>
              <w:rPr>
                <w:b/>
                <w:bCs/>
                <w:sz w:val="20"/>
                <w:szCs w:val="20"/>
              </w:rPr>
              <w:t>§1 / §2</w:t>
            </w:r>
          </w:p>
        </w:tc>
        <w:tc>
          <w:tcPr>
            <w:tcW w:w="22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8785D77" w14:textId="77777777" w:rsidR="00D73EBD" w:rsidRDefault="00D73EBD" w:rsidP="0040156E">
            <w:r>
              <w:rPr>
                <w:sz w:val="20"/>
                <w:szCs w:val="20"/>
              </w:rPr>
              <w:t>Short Title / Findings</w:t>
            </w:r>
          </w:p>
        </w:tc>
        <w:tc>
          <w:tcPr>
            <w:tcW w:w="5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1CA68183" w14:textId="77777777" w:rsidR="00D73EBD" w:rsidRDefault="00D73EBD" w:rsidP="0040156E">
            <w:r>
              <w:rPr>
                <w:sz w:val="20"/>
                <w:szCs w:val="20"/>
              </w:rPr>
              <w:t>Citation as MERA; Congressional findings on manufacturing succession</w:t>
            </w:r>
          </w:p>
        </w:tc>
      </w:tr>
      <w:tr w:rsidR="00D73EBD" w14:paraId="743743E1" w14:textId="77777777" w:rsidTr="0040156E">
        <w:tc>
          <w:tcPr>
            <w:tcW w:w="16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71443B3A" w14:textId="77777777" w:rsidR="00D73EBD" w:rsidRDefault="00D73EBD" w:rsidP="0040156E">
            <w:r>
              <w:rPr>
                <w:b/>
                <w:bCs/>
                <w:sz w:val="20"/>
                <w:szCs w:val="20"/>
              </w:rPr>
              <w:t>Title I, §101</w:t>
            </w:r>
          </w:p>
        </w:tc>
        <w:tc>
          <w:tcPr>
            <w:tcW w:w="22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61A11D80" w14:textId="77777777" w:rsidR="00D73EBD" w:rsidRDefault="00D73EBD" w:rsidP="0040156E">
            <w:r>
              <w:rPr>
                <w:sz w:val="20"/>
                <w:szCs w:val="20"/>
              </w:rPr>
              <w:t>New §2010A / §2505A</w:t>
            </w:r>
          </w:p>
        </w:tc>
        <w:tc>
          <w:tcPr>
            <w:tcW w:w="55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7CF593E2" w14:textId="77777777" w:rsidR="00D73EBD" w:rsidRDefault="00D73EBD" w:rsidP="0040156E">
            <w:r>
              <w:rPr>
                <w:sz w:val="20"/>
                <w:szCs w:val="20"/>
              </w:rPr>
              <w:t>Additional unified credit for intrafamily transfers of QMB interests; inflation adjustment; qualifying family member definitions</w:t>
            </w:r>
          </w:p>
        </w:tc>
      </w:tr>
      <w:tr w:rsidR="00D73EBD" w14:paraId="4F6CB342" w14:textId="77777777" w:rsidTr="0040156E">
        <w:tc>
          <w:tcPr>
            <w:tcW w:w="16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0733F578" w14:textId="77777777" w:rsidR="00D73EBD" w:rsidRDefault="00D73EBD" w:rsidP="0040156E">
            <w:r>
              <w:rPr>
                <w:b/>
                <w:bCs/>
                <w:sz w:val="20"/>
                <w:szCs w:val="20"/>
              </w:rPr>
              <w:t>Title II, §201</w:t>
            </w:r>
          </w:p>
        </w:tc>
        <w:tc>
          <w:tcPr>
            <w:tcW w:w="22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6F5CB144" w14:textId="77777777" w:rsidR="00D73EBD" w:rsidRDefault="00D73EBD" w:rsidP="0040156E">
            <w:r>
              <w:rPr>
                <w:sz w:val="20"/>
                <w:szCs w:val="20"/>
              </w:rPr>
              <w:t>New §1202A</w:t>
            </w:r>
          </w:p>
        </w:tc>
        <w:tc>
          <w:tcPr>
            <w:tcW w:w="5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52097224" w14:textId="77777777" w:rsidR="00D73EBD" w:rsidRDefault="00D73EBD" w:rsidP="0040156E">
            <w:r>
              <w:rPr>
                <w:sz w:val="20"/>
                <w:szCs w:val="20"/>
              </w:rPr>
              <w:t>Income tax exclusion for external sales; determination date; pro-rata equity allocation; recapture; inflation adjustment</w:t>
            </w:r>
          </w:p>
        </w:tc>
      </w:tr>
      <w:tr w:rsidR="00D73EBD" w14:paraId="5D94DC79" w14:textId="77777777" w:rsidTr="0040156E">
        <w:tc>
          <w:tcPr>
            <w:tcW w:w="16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1825BF33" w14:textId="77777777" w:rsidR="00D73EBD" w:rsidRDefault="00D73EBD" w:rsidP="0040156E">
            <w:r>
              <w:rPr>
                <w:b/>
                <w:bCs/>
                <w:sz w:val="20"/>
                <w:szCs w:val="20"/>
              </w:rPr>
              <w:t>Title III, §301</w:t>
            </w:r>
          </w:p>
        </w:tc>
        <w:tc>
          <w:tcPr>
            <w:tcW w:w="220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7B24C14B" w14:textId="77777777" w:rsidR="00D73EBD" w:rsidRDefault="00D73EBD" w:rsidP="0040156E">
            <w:r>
              <w:rPr>
                <w:sz w:val="20"/>
                <w:szCs w:val="20"/>
              </w:rPr>
              <w:t>New §1202B</w:t>
            </w:r>
          </w:p>
        </w:tc>
        <w:tc>
          <w:tcPr>
            <w:tcW w:w="5560" w:type="dxa"/>
            <w:tcBorders>
              <w:top w:val="single" w:sz="1" w:space="0" w:color="B0B0B0"/>
              <w:left w:val="single" w:sz="1" w:space="0" w:color="B0B0B0"/>
              <w:bottom w:val="single" w:sz="1" w:space="0" w:color="B0B0B0"/>
              <w:right w:val="single" w:sz="1" w:space="0" w:color="B0B0B0"/>
            </w:tcBorders>
            <w:shd w:val="clear" w:color="auto" w:fill="F5F7FA"/>
            <w:tcMar>
              <w:top w:w="50" w:type="dxa"/>
              <w:left w:w="80" w:type="dxa"/>
              <w:bottom w:w="50" w:type="dxa"/>
              <w:right w:w="80" w:type="dxa"/>
            </w:tcMar>
          </w:tcPr>
          <w:p w14:paraId="4C185C2C" w14:textId="77777777" w:rsidR="00D73EBD" w:rsidRDefault="00D73EBD" w:rsidP="0040156E">
            <w:r>
              <w:rPr>
                <w:sz w:val="20"/>
                <w:szCs w:val="20"/>
              </w:rPr>
              <w:t>Common definitions: qualified manufacturing business interest, qualified manufacturing business, domestic value-added percentage</w:t>
            </w:r>
          </w:p>
        </w:tc>
      </w:tr>
      <w:tr w:rsidR="00D73EBD" w14:paraId="60AE2851" w14:textId="77777777" w:rsidTr="0040156E">
        <w:tc>
          <w:tcPr>
            <w:tcW w:w="16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32DAFBA7" w14:textId="77777777" w:rsidR="00D73EBD" w:rsidRDefault="00D73EBD" w:rsidP="0040156E">
            <w:r>
              <w:rPr>
                <w:b/>
                <w:bCs/>
                <w:sz w:val="20"/>
                <w:szCs w:val="20"/>
              </w:rPr>
              <w:t>§§302–304</w:t>
            </w:r>
          </w:p>
        </w:tc>
        <w:tc>
          <w:tcPr>
            <w:tcW w:w="220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15F50C83" w14:textId="77777777" w:rsidR="00D73EBD" w:rsidRDefault="00D73EBD" w:rsidP="0040156E">
            <w:r>
              <w:rPr>
                <w:sz w:val="20"/>
                <w:szCs w:val="20"/>
              </w:rPr>
              <w:t>Admin Provisions</w:t>
            </w:r>
          </w:p>
        </w:tc>
        <w:tc>
          <w:tcPr>
            <w:tcW w:w="5560" w:type="dxa"/>
            <w:tcBorders>
              <w:top w:val="single" w:sz="1" w:space="0" w:color="B0B0B0"/>
              <w:left w:val="single" w:sz="1" w:space="0" w:color="B0B0B0"/>
              <w:bottom w:val="single" w:sz="1" w:space="0" w:color="B0B0B0"/>
              <w:right w:val="single" w:sz="1" w:space="0" w:color="B0B0B0"/>
            </w:tcBorders>
            <w:tcMar>
              <w:top w:w="50" w:type="dxa"/>
              <w:left w:w="80" w:type="dxa"/>
              <w:bottom w:w="50" w:type="dxa"/>
              <w:right w:w="80" w:type="dxa"/>
            </w:tcMar>
          </w:tcPr>
          <w:p w14:paraId="74EDC512" w14:textId="77777777" w:rsidR="00D73EBD" w:rsidRDefault="00D73EBD" w:rsidP="0040156E">
            <w:r>
              <w:rPr>
                <w:sz w:val="20"/>
                <w:szCs w:val="20"/>
              </w:rPr>
              <w:t>Reporting requirements (transferor, seller, acquirer); Treasury guidance (180-day deadline); PAYGO</w:t>
            </w:r>
          </w:p>
        </w:tc>
      </w:tr>
    </w:tbl>
    <w:p w14:paraId="144D911B" w14:textId="77777777" w:rsidR="00D73EBD" w:rsidRDefault="00D73EBD" w:rsidP="00D73EBD">
      <w:pPr>
        <w:spacing w:before="300" w:after="120"/>
      </w:pPr>
      <w:r>
        <w:rPr>
          <w:b/>
          <w:bCs/>
          <w:color w:val="1B3A5C"/>
          <w:sz w:val="32"/>
          <w:szCs w:val="32"/>
        </w:rPr>
        <w:t>10. Key Message</w:t>
      </w:r>
    </w:p>
    <w:p w14:paraId="7EC47EF0" w14:textId="77777777" w:rsidR="00D73EBD" w:rsidRDefault="00D73EBD" w:rsidP="00D73EBD">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73EBD" w14:paraId="5BF3760A" w14:textId="77777777" w:rsidTr="0040156E">
        <w:tc>
          <w:tcPr>
            <w:tcW w:w="9360" w:type="dxa"/>
            <w:tcBorders>
              <w:top w:val="single" w:sz="3" w:space="0" w:color="1B3A5C"/>
              <w:left w:val="single" w:sz="3" w:space="0" w:color="1B3A5C"/>
              <w:bottom w:val="single" w:sz="3" w:space="0" w:color="1B3A5C"/>
              <w:right w:val="single" w:sz="3" w:space="0" w:color="1B3A5C"/>
            </w:tcBorders>
            <w:shd w:val="clear" w:color="auto" w:fill="F0F4F8"/>
            <w:tcMar>
              <w:top w:w="120" w:type="dxa"/>
              <w:left w:w="150" w:type="dxa"/>
              <w:bottom w:w="120" w:type="dxa"/>
              <w:right w:w="150" w:type="dxa"/>
            </w:tcMar>
          </w:tcPr>
          <w:p w14:paraId="5346BDFD" w14:textId="77777777" w:rsidR="00D73EBD" w:rsidRDefault="00D73EBD" w:rsidP="0040156E">
            <w:r>
              <w:rPr>
                <w:i/>
                <w:iCs/>
              </w:rPr>
              <w:t>If Congress believes capital gains exclusions encourage investment in American innovation, that logic applies with equal force to American manufacturing. The Made in America Continuity Act simply extends to factory owners the same treatment Congress already provides to venture and private equity investors—with stronger guardrails to ensure the benefit flows to patient owners who keep production in America and workers on the job. And by completing the work that Section 6166 began decades ago, MERA ensures that the estate tax no longer forces American manufacturing families to choose between keeping the factory and keeping the IRS at bay.</w:t>
            </w:r>
          </w:p>
        </w:tc>
      </w:tr>
    </w:tbl>
    <w:p w14:paraId="26044363" w14:textId="77777777" w:rsidR="00D73EBD" w:rsidRDefault="00D73EBD" w:rsidP="00D73EBD"/>
    <w:p w14:paraId="0C99FA12" w14:textId="77777777" w:rsidR="00D73EBD" w:rsidRDefault="00D73EBD" w:rsidP="00D73EBD">
      <w:pPr>
        <w:spacing w:after="120"/>
      </w:pPr>
      <w:r>
        <w:t>For draft legislative text, district/state impact analysis, or staff briefing requests, contact:</w:t>
      </w:r>
    </w:p>
    <w:p w14:paraId="0A1B347F" w14:textId="77777777" w:rsidR="00D73EBD" w:rsidRDefault="00D73EBD" w:rsidP="00D73EBD">
      <w:pPr>
        <w:spacing w:after="120"/>
      </w:pPr>
      <w:r>
        <w:rPr>
          <w:b/>
          <w:bCs/>
        </w:rPr>
        <w:t>Mark Rosenblatt | Rationalwave | mr@rationalwave.com | 914-584-5400 | @ratwave</w:t>
      </w:r>
    </w:p>
    <w:p w14:paraId="50B9A934" w14:textId="77777777" w:rsidR="00D73EBD" w:rsidRPr="00177AB8" w:rsidRDefault="00D73EBD" w:rsidP="00D73EBD"/>
    <w:p w14:paraId="555E5A80" w14:textId="77777777" w:rsidR="00A808A2" w:rsidRDefault="00A808A2"/>
    <w:sectPr w:rsidR="00A808A2" w:rsidSect="00D73EBD">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4FD25" w14:textId="77777777" w:rsidR="00D75746" w:rsidRDefault="00D75746" w:rsidP="00D73EBD">
      <w:r>
        <w:separator/>
      </w:r>
    </w:p>
  </w:endnote>
  <w:endnote w:type="continuationSeparator" w:id="0">
    <w:p w14:paraId="7688C353" w14:textId="77777777" w:rsidR="00D75746" w:rsidRDefault="00D75746" w:rsidP="00D73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657FB" w14:textId="77777777" w:rsidR="00D73EBD" w:rsidRDefault="00D73EBD">
    <w:pPr>
      <w:jc w:val="center"/>
    </w:pPr>
    <w:r>
      <w:rPr>
        <w:sz w:val="16"/>
        <w:szCs w:val="16"/>
      </w:rPr>
      <w:t xml:space="preserve">Page </w:t>
    </w:r>
    <w:r>
      <w:rPr>
        <w:sz w:val="16"/>
        <w:szCs w:val="16"/>
      </w:rPr>
      <w:fldChar w:fldCharType="begin"/>
    </w:r>
    <w:r>
      <w:rPr>
        <w:sz w:val="16"/>
        <w:szCs w:val="16"/>
      </w:rPr>
      <w:instrText>PAGE</w:instrText>
    </w:r>
    <w:r>
      <w:rPr>
        <w:sz w:val="16"/>
        <w:szCs w:val="16"/>
      </w:rPr>
      <w:fldChar w:fldCharType="separate"/>
    </w:r>
    <w:r>
      <w:rPr>
        <w:noProof/>
        <w:sz w:val="16"/>
        <w:szCs w:val="16"/>
      </w:rPr>
      <w:t>1</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A9769" w14:textId="77777777" w:rsidR="00D75746" w:rsidRDefault="00D75746" w:rsidP="00D73EBD">
      <w:r>
        <w:separator/>
      </w:r>
    </w:p>
  </w:footnote>
  <w:footnote w:type="continuationSeparator" w:id="0">
    <w:p w14:paraId="74F9BE8C" w14:textId="77777777" w:rsidR="00D75746" w:rsidRDefault="00D75746" w:rsidP="00D73E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D0B26" w14:textId="77777777" w:rsidR="00D73EBD" w:rsidRDefault="00D73EBD" w:rsidP="00AF4624">
    <w:pPr>
      <w:rPr>
        <w:i/>
        <w:iCs/>
        <w:color w:val="888888"/>
        <w:sz w:val="16"/>
        <w:szCs w:val="16"/>
      </w:rPr>
    </w:pPr>
    <w:r w:rsidRPr="00AF4624">
      <w:rPr>
        <w:i/>
        <w:iCs/>
        <w:color w:val="888888"/>
        <w:sz w:val="16"/>
        <w:szCs w:val="16"/>
      </w:rPr>
      <w:t>Manufacturing Entrepreneur Rewards Act</w:t>
    </w:r>
    <w:r>
      <w:rPr>
        <w:i/>
        <w:iCs/>
        <w:color w:val="888888"/>
        <w:sz w:val="16"/>
        <w:szCs w:val="16"/>
      </w:rPr>
      <w:t xml:space="preserve"> (MERA)— Comprehensive Explainer</w:t>
    </w:r>
  </w:p>
  <w:p w14:paraId="0CC1BA27" w14:textId="776C146E" w:rsidR="00D73EBD" w:rsidRDefault="00D73EBD" w:rsidP="00AF4624">
    <w:r>
      <w:rPr>
        <w:i/>
        <w:iCs/>
        <w:color w:val="888888"/>
        <w:sz w:val="16"/>
        <w:szCs w:val="16"/>
      </w:rPr>
      <w:t xml:space="preserve">March </w:t>
    </w:r>
    <w:r>
      <w:rPr>
        <w:i/>
        <w:iCs/>
        <w:color w:val="888888"/>
        <w:sz w:val="16"/>
        <w:szCs w:val="16"/>
      </w:rPr>
      <w:t>30</w:t>
    </w:r>
    <w:r>
      <w:rPr>
        <w:i/>
        <w:iCs/>
        <w:color w:val="888888"/>
        <w:sz w:val="16"/>
        <w:szCs w:val="16"/>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8546E"/>
    <w:multiLevelType w:val="hybridMultilevel"/>
    <w:tmpl w:val="7A9ADD2E"/>
    <w:lvl w:ilvl="0" w:tplc="CC323170">
      <w:start w:val="1"/>
      <w:numFmt w:val="bullet"/>
      <w:lvlText w:val="•"/>
      <w:lvlJc w:val="left"/>
      <w:pPr>
        <w:ind w:left="720" w:hanging="360"/>
      </w:pPr>
    </w:lvl>
    <w:lvl w:ilvl="1" w:tplc="244CF5FA">
      <w:numFmt w:val="decimal"/>
      <w:lvlText w:val=""/>
      <w:lvlJc w:val="left"/>
    </w:lvl>
    <w:lvl w:ilvl="2" w:tplc="FF54D540">
      <w:numFmt w:val="decimal"/>
      <w:lvlText w:val=""/>
      <w:lvlJc w:val="left"/>
    </w:lvl>
    <w:lvl w:ilvl="3" w:tplc="813A12DC">
      <w:numFmt w:val="decimal"/>
      <w:lvlText w:val=""/>
      <w:lvlJc w:val="left"/>
    </w:lvl>
    <w:lvl w:ilvl="4" w:tplc="F05C7BE8">
      <w:numFmt w:val="decimal"/>
      <w:lvlText w:val=""/>
      <w:lvlJc w:val="left"/>
    </w:lvl>
    <w:lvl w:ilvl="5" w:tplc="E2542BB4">
      <w:numFmt w:val="decimal"/>
      <w:lvlText w:val=""/>
      <w:lvlJc w:val="left"/>
    </w:lvl>
    <w:lvl w:ilvl="6" w:tplc="1D6C006A">
      <w:numFmt w:val="decimal"/>
      <w:lvlText w:val=""/>
      <w:lvlJc w:val="left"/>
    </w:lvl>
    <w:lvl w:ilvl="7" w:tplc="63704A48">
      <w:numFmt w:val="decimal"/>
      <w:lvlText w:val=""/>
      <w:lvlJc w:val="left"/>
    </w:lvl>
    <w:lvl w:ilvl="8" w:tplc="FF54CF90">
      <w:numFmt w:val="decimal"/>
      <w:lvlText w:val=""/>
      <w:lvlJc w:val="left"/>
    </w:lvl>
  </w:abstractNum>
  <w:abstractNum w:abstractNumId="1" w15:restartNumberingAfterBreak="0">
    <w:nsid w:val="2B8B2713"/>
    <w:multiLevelType w:val="hybridMultilevel"/>
    <w:tmpl w:val="76E0E35A"/>
    <w:lvl w:ilvl="0" w:tplc="BAA26CAE">
      <w:start w:val="1"/>
      <w:numFmt w:val="decimal"/>
      <w:lvlText w:val="%1."/>
      <w:lvlJc w:val="left"/>
      <w:pPr>
        <w:ind w:left="720" w:hanging="360"/>
      </w:pPr>
    </w:lvl>
    <w:lvl w:ilvl="1" w:tplc="B7583EC8">
      <w:numFmt w:val="decimal"/>
      <w:lvlText w:val=""/>
      <w:lvlJc w:val="left"/>
    </w:lvl>
    <w:lvl w:ilvl="2" w:tplc="D00CDA32">
      <w:numFmt w:val="decimal"/>
      <w:lvlText w:val=""/>
      <w:lvlJc w:val="left"/>
    </w:lvl>
    <w:lvl w:ilvl="3" w:tplc="30DE2BA0">
      <w:numFmt w:val="decimal"/>
      <w:lvlText w:val=""/>
      <w:lvlJc w:val="left"/>
    </w:lvl>
    <w:lvl w:ilvl="4" w:tplc="E256949A">
      <w:numFmt w:val="decimal"/>
      <w:lvlText w:val=""/>
      <w:lvlJc w:val="left"/>
    </w:lvl>
    <w:lvl w:ilvl="5" w:tplc="5BF2AB28">
      <w:numFmt w:val="decimal"/>
      <w:lvlText w:val=""/>
      <w:lvlJc w:val="left"/>
    </w:lvl>
    <w:lvl w:ilvl="6" w:tplc="9C2A7A96">
      <w:numFmt w:val="decimal"/>
      <w:lvlText w:val=""/>
      <w:lvlJc w:val="left"/>
    </w:lvl>
    <w:lvl w:ilvl="7" w:tplc="27CE74A4">
      <w:numFmt w:val="decimal"/>
      <w:lvlText w:val=""/>
      <w:lvlJc w:val="left"/>
    </w:lvl>
    <w:lvl w:ilvl="8" w:tplc="3B489012">
      <w:numFmt w:val="decimal"/>
      <w:lvlText w:val=""/>
      <w:lvlJc w:val="left"/>
    </w:lvl>
  </w:abstractNum>
  <w:abstractNum w:abstractNumId="2" w15:restartNumberingAfterBreak="0">
    <w:nsid w:val="606D7D27"/>
    <w:multiLevelType w:val="hybridMultilevel"/>
    <w:tmpl w:val="451A576C"/>
    <w:lvl w:ilvl="0" w:tplc="2E98CB18">
      <w:start w:val="1"/>
      <w:numFmt w:val="decimal"/>
      <w:lvlText w:val="%1."/>
      <w:lvlJc w:val="left"/>
      <w:pPr>
        <w:ind w:left="720" w:hanging="360"/>
      </w:pPr>
    </w:lvl>
    <w:lvl w:ilvl="1" w:tplc="E10888C0">
      <w:numFmt w:val="decimal"/>
      <w:lvlText w:val=""/>
      <w:lvlJc w:val="left"/>
    </w:lvl>
    <w:lvl w:ilvl="2" w:tplc="BF2C8D72">
      <w:numFmt w:val="decimal"/>
      <w:lvlText w:val=""/>
      <w:lvlJc w:val="left"/>
    </w:lvl>
    <w:lvl w:ilvl="3" w:tplc="EE1069E4">
      <w:numFmt w:val="decimal"/>
      <w:lvlText w:val=""/>
      <w:lvlJc w:val="left"/>
    </w:lvl>
    <w:lvl w:ilvl="4" w:tplc="E0FCCD32">
      <w:numFmt w:val="decimal"/>
      <w:lvlText w:val=""/>
      <w:lvlJc w:val="left"/>
    </w:lvl>
    <w:lvl w:ilvl="5" w:tplc="7CE62ADE">
      <w:numFmt w:val="decimal"/>
      <w:lvlText w:val=""/>
      <w:lvlJc w:val="left"/>
    </w:lvl>
    <w:lvl w:ilvl="6" w:tplc="CF9AFCD0">
      <w:numFmt w:val="decimal"/>
      <w:lvlText w:val=""/>
      <w:lvlJc w:val="left"/>
    </w:lvl>
    <w:lvl w:ilvl="7" w:tplc="8056E6E4">
      <w:numFmt w:val="decimal"/>
      <w:lvlText w:val=""/>
      <w:lvlJc w:val="left"/>
    </w:lvl>
    <w:lvl w:ilvl="8" w:tplc="77AEAF0C">
      <w:numFmt w:val="decimal"/>
      <w:lvlText w:val=""/>
      <w:lvlJc w:val="left"/>
    </w:lvl>
  </w:abstractNum>
  <w:abstractNum w:abstractNumId="3" w15:restartNumberingAfterBreak="0">
    <w:nsid w:val="74CA44C7"/>
    <w:multiLevelType w:val="hybridMultilevel"/>
    <w:tmpl w:val="92A43AD0"/>
    <w:lvl w:ilvl="0" w:tplc="A9E09830">
      <w:start w:val="1"/>
      <w:numFmt w:val="decimal"/>
      <w:lvlText w:val="%1."/>
      <w:lvlJc w:val="left"/>
      <w:pPr>
        <w:ind w:left="720" w:hanging="360"/>
      </w:pPr>
    </w:lvl>
    <w:lvl w:ilvl="1" w:tplc="1340CE3C">
      <w:numFmt w:val="decimal"/>
      <w:lvlText w:val=""/>
      <w:lvlJc w:val="left"/>
    </w:lvl>
    <w:lvl w:ilvl="2" w:tplc="5B845458">
      <w:numFmt w:val="decimal"/>
      <w:lvlText w:val=""/>
      <w:lvlJc w:val="left"/>
    </w:lvl>
    <w:lvl w:ilvl="3" w:tplc="398E454A">
      <w:numFmt w:val="decimal"/>
      <w:lvlText w:val=""/>
      <w:lvlJc w:val="left"/>
    </w:lvl>
    <w:lvl w:ilvl="4" w:tplc="B7966EE6">
      <w:numFmt w:val="decimal"/>
      <w:lvlText w:val=""/>
      <w:lvlJc w:val="left"/>
    </w:lvl>
    <w:lvl w:ilvl="5" w:tplc="D62ABE16">
      <w:numFmt w:val="decimal"/>
      <w:lvlText w:val=""/>
      <w:lvlJc w:val="left"/>
    </w:lvl>
    <w:lvl w:ilvl="6" w:tplc="D1261FA8">
      <w:numFmt w:val="decimal"/>
      <w:lvlText w:val=""/>
      <w:lvlJc w:val="left"/>
    </w:lvl>
    <w:lvl w:ilvl="7" w:tplc="D7EC1226">
      <w:numFmt w:val="decimal"/>
      <w:lvlText w:val=""/>
      <w:lvlJc w:val="left"/>
    </w:lvl>
    <w:lvl w:ilvl="8" w:tplc="B3ECF314">
      <w:numFmt w:val="decimal"/>
      <w:lvlText w:val=""/>
      <w:lvlJc w:val="left"/>
    </w:lvl>
  </w:abstractNum>
  <w:num w:numId="1" w16cid:durableId="533810139">
    <w:abstractNumId w:val="0"/>
    <w:lvlOverride w:ilvl="0">
      <w:startOverride w:val="1"/>
    </w:lvlOverride>
  </w:num>
  <w:num w:numId="2" w16cid:durableId="34694046">
    <w:abstractNumId w:val="3"/>
    <w:lvlOverride w:ilvl="0">
      <w:startOverride w:val="1"/>
    </w:lvlOverride>
  </w:num>
  <w:num w:numId="3" w16cid:durableId="53506203">
    <w:abstractNumId w:val="1"/>
    <w:lvlOverride w:ilvl="0">
      <w:startOverride w:val="1"/>
    </w:lvlOverride>
  </w:num>
  <w:num w:numId="4" w16cid:durableId="31394996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BD"/>
    <w:rsid w:val="001A79DC"/>
    <w:rsid w:val="004F411E"/>
    <w:rsid w:val="00A808A2"/>
    <w:rsid w:val="00BA7D62"/>
    <w:rsid w:val="00CD621F"/>
    <w:rsid w:val="00D73EBD"/>
    <w:rsid w:val="00D75746"/>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4ADF06C"/>
  <w15:chartTrackingRefBased/>
  <w15:docId w15:val="{E659AC1E-96C4-7544-90DB-EBD38B919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EBD"/>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D73E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3E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3E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3E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3E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3E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3E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3E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3E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E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E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E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E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E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E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E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E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EBD"/>
    <w:rPr>
      <w:rFonts w:eastAsiaTheme="majorEastAsia" w:cstheme="majorBidi"/>
      <w:color w:val="272727" w:themeColor="text1" w:themeTint="D8"/>
    </w:rPr>
  </w:style>
  <w:style w:type="paragraph" w:styleId="Title">
    <w:name w:val="Title"/>
    <w:basedOn w:val="Normal"/>
    <w:next w:val="Normal"/>
    <w:link w:val="TitleChar"/>
    <w:uiPriority w:val="10"/>
    <w:qFormat/>
    <w:rsid w:val="00D73E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E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E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E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EBD"/>
    <w:pPr>
      <w:spacing w:before="160"/>
      <w:jc w:val="center"/>
    </w:pPr>
    <w:rPr>
      <w:i/>
      <w:iCs/>
      <w:color w:val="404040" w:themeColor="text1" w:themeTint="BF"/>
    </w:rPr>
  </w:style>
  <w:style w:type="character" w:customStyle="1" w:styleId="QuoteChar">
    <w:name w:val="Quote Char"/>
    <w:basedOn w:val="DefaultParagraphFont"/>
    <w:link w:val="Quote"/>
    <w:uiPriority w:val="29"/>
    <w:rsid w:val="00D73EBD"/>
    <w:rPr>
      <w:i/>
      <w:iCs/>
      <w:color w:val="404040" w:themeColor="text1" w:themeTint="BF"/>
    </w:rPr>
  </w:style>
  <w:style w:type="paragraph" w:styleId="ListParagraph">
    <w:name w:val="List Paragraph"/>
    <w:basedOn w:val="Normal"/>
    <w:qFormat/>
    <w:rsid w:val="00D73EBD"/>
    <w:pPr>
      <w:ind w:left="720"/>
      <w:contextualSpacing/>
    </w:pPr>
  </w:style>
  <w:style w:type="character" w:styleId="IntenseEmphasis">
    <w:name w:val="Intense Emphasis"/>
    <w:basedOn w:val="DefaultParagraphFont"/>
    <w:uiPriority w:val="21"/>
    <w:qFormat/>
    <w:rsid w:val="00D73EBD"/>
    <w:rPr>
      <w:i/>
      <w:iCs/>
      <w:color w:val="0F4761" w:themeColor="accent1" w:themeShade="BF"/>
    </w:rPr>
  </w:style>
  <w:style w:type="paragraph" w:styleId="IntenseQuote">
    <w:name w:val="Intense Quote"/>
    <w:basedOn w:val="Normal"/>
    <w:next w:val="Normal"/>
    <w:link w:val="IntenseQuoteChar"/>
    <w:uiPriority w:val="30"/>
    <w:qFormat/>
    <w:rsid w:val="00D73E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EBD"/>
    <w:rPr>
      <w:i/>
      <w:iCs/>
      <w:color w:val="0F4761" w:themeColor="accent1" w:themeShade="BF"/>
    </w:rPr>
  </w:style>
  <w:style w:type="character" w:styleId="IntenseReference">
    <w:name w:val="Intense Reference"/>
    <w:basedOn w:val="DefaultParagraphFont"/>
    <w:uiPriority w:val="32"/>
    <w:qFormat/>
    <w:rsid w:val="00D73EBD"/>
    <w:rPr>
      <w:b/>
      <w:bCs/>
      <w:smallCaps/>
      <w:color w:val="0F4761" w:themeColor="accent1" w:themeShade="BF"/>
      <w:spacing w:val="5"/>
    </w:rPr>
  </w:style>
  <w:style w:type="paragraph" w:styleId="Header">
    <w:name w:val="header"/>
    <w:basedOn w:val="Normal"/>
    <w:link w:val="HeaderChar"/>
    <w:uiPriority w:val="99"/>
    <w:unhideWhenUsed/>
    <w:rsid w:val="00D73EBD"/>
    <w:pPr>
      <w:tabs>
        <w:tab w:val="center" w:pos="4680"/>
        <w:tab w:val="right" w:pos="9360"/>
      </w:tabs>
    </w:pPr>
  </w:style>
  <w:style w:type="character" w:customStyle="1" w:styleId="HeaderChar">
    <w:name w:val="Header Char"/>
    <w:basedOn w:val="DefaultParagraphFont"/>
    <w:link w:val="Header"/>
    <w:uiPriority w:val="99"/>
    <w:rsid w:val="00D73EBD"/>
    <w:rPr>
      <w:rFonts w:ascii="Calibri" w:eastAsia="Calibri" w:hAnsi="Calibri" w:cs="Calibri"/>
      <w:kern w:val="0"/>
      <w:sz w:val="22"/>
      <w:szCs w:val="22"/>
      <w14:ligatures w14:val="none"/>
    </w:rPr>
  </w:style>
  <w:style w:type="paragraph" w:styleId="Footer">
    <w:name w:val="footer"/>
    <w:basedOn w:val="Normal"/>
    <w:link w:val="FooterChar"/>
    <w:uiPriority w:val="99"/>
    <w:unhideWhenUsed/>
    <w:rsid w:val="00D73EBD"/>
    <w:pPr>
      <w:tabs>
        <w:tab w:val="center" w:pos="4680"/>
        <w:tab w:val="right" w:pos="9360"/>
      </w:tabs>
    </w:pPr>
  </w:style>
  <w:style w:type="character" w:customStyle="1" w:styleId="FooterChar">
    <w:name w:val="Footer Char"/>
    <w:basedOn w:val="DefaultParagraphFont"/>
    <w:link w:val="Footer"/>
    <w:uiPriority w:val="99"/>
    <w:rsid w:val="00D73EBD"/>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6711</Words>
  <Characters>38927</Characters>
  <Application>Microsoft Office Word</Application>
  <DocSecurity>0</DocSecurity>
  <Lines>707</Lines>
  <Paragraphs>371</Paragraphs>
  <ScaleCrop>false</ScaleCrop>
  <Company/>
  <LinksUpToDate>false</LinksUpToDate>
  <CharactersWithSpaces>45267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1</cp:revision>
  <dcterms:created xsi:type="dcterms:W3CDTF">2026-03-30T21:17:00Z</dcterms:created>
  <dcterms:modified xsi:type="dcterms:W3CDTF">2026-03-30T21:19:00Z</dcterms:modified>
</cp:coreProperties>
</file>