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5757C" w14:textId="7D98B49A" w:rsidR="00D55B33" w:rsidRPr="00D55B33" w:rsidRDefault="00BA2089" w:rsidP="00D55B33">
      <w:pPr>
        <w:spacing w:after="40"/>
        <w:jc w:val="center"/>
        <w:rPr>
          <w:rFonts w:asciiTheme="majorBidi" w:hAnsiTheme="majorBidi" w:cstheme="majorBidi"/>
        </w:rPr>
      </w:pPr>
      <w:r>
        <w:rPr>
          <w:rFonts w:asciiTheme="majorBidi" w:eastAsia="Calibri" w:hAnsiTheme="majorBidi" w:cstheme="majorBidi"/>
          <w:b/>
          <w:bCs/>
          <w:color w:val="1B3A5C"/>
        </w:rPr>
        <w:t>Manufacturing Entrepreneurs Rewards Act</w:t>
      </w:r>
      <w:r w:rsidR="00D55B33" w:rsidRPr="00D55B33">
        <w:rPr>
          <w:rFonts w:asciiTheme="majorBidi" w:eastAsia="Calibri" w:hAnsiTheme="majorBidi" w:cstheme="majorBidi"/>
          <w:b/>
          <w:bCs/>
          <w:color w:val="1B3A5C"/>
        </w:rPr>
        <w:t xml:space="preserve"> (M</w:t>
      </w:r>
      <w:r>
        <w:rPr>
          <w:rFonts w:asciiTheme="majorBidi" w:eastAsia="Calibri" w:hAnsiTheme="majorBidi" w:cstheme="majorBidi"/>
          <w:b/>
          <w:bCs/>
          <w:color w:val="1B3A5C"/>
        </w:rPr>
        <w:t>ER</w:t>
      </w:r>
      <w:r w:rsidR="00D55B33" w:rsidRPr="00D55B33">
        <w:rPr>
          <w:rFonts w:asciiTheme="majorBidi" w:eastAsia="Calibri" w:hAnsiTheme="majorBidi" w:cstheme="majorBidi"/>
          <w:b/>
          <w:bCs/>
          <w:color w:val="1B3A5C"/>
        </w:rPr>
        <w:t>A)</w:t>
      </w:r>
      <w:r w:rsidR="006F5D5E">
        <w:rPr>
          <w:rStyle w:val="FootnoteReference"/>
          <w:rFonts w:asciiTheme="majorBidi" w:eastAsia="Calibri" w:hAnsiTheme="majorBidi" w:cstheme="majorBidi"/>
          <w:b/>
          <w:bCs/>
          <w:color w:val="1B3A5C"/>
        </w:rPr>
        <w:footnoteReference w:id="1"/>
      </w:r>
    </w:p>
    <w:p w14:paraId="4C58CF11" w14:textId="77777777" w:rsidR="00D55B33" w:rsidRPr="00D55B33" w:rsidRDefault="00D55B33" w:rsidP="00D55B33">
      <w:pPr>
        <w:spacing w:after="120"/>
        <w:jc w:val="center"/>
        <w:rPr>
          <w:rFonts w:asciiTheme="majorBidi" w:hAnsiTheme="majorBidi" w:cstheme="majorBidi"/>
        </w:rPr>
      </w:pPr>
      <w:r w:rsidRPr="00D55B33">
        <w:rPr>
          <w:rFonts w:asciiTheme="majorBidi" w:eastAsia="Calibri" w:hAnsiTheme="majorBidi" w:cstheme="majorBidi"/>
          <w:i/>
          <w:iCs/>
          <w:color w:val="555555"/>
        </w:rPr>
        <w:t>Securing Manufacturing Succession Through Tax-Advantaged Ownership Transitions</w:t>
      </w:r>
    </w:p>
    <w:p w14:paraId="39345CEA" w14:textId="6193A8F6" w:rsidR="00671156" w:rsidRPr="00671156" w:rsidRDefault="00D55B33" w:rsidP="00671156">
      <w:pPr>
        <w:rPr>
          <w:rFonts w:asciiTheme="majorBidi" w:eastAsia="Calibri" w:hAnsiTheme="majorBidi" w:cstheme="majorBidi"/>
          <w:sz w:val="21"/>
          <w:szCs w:val="21"/>
        </w:rPr>
      </w:pPr>
      <w:r w:rsidRPr="00DC3C6D">
        <w:rPr>
          <w:rFonts w:asciiTheme="majorBidi" w:eastAsia="Calibri" w:hAnsiTheme="majorBidi" w:cstheme="majorBidi"/>
          <w:b/>
          <w:bCs/>
          <w:color w:val="1B3A5C"/>
          <w:sz w:val="21"/>
          <w:szCs w:val="21"/>
        </w:rPr>
        <w:t xml:space="preserve">BLUF: </w:t>
      </w:r>
      <w:r w:rsidRPr="00DC3C6D">
        <w:rPr>
          <w:rFonts w:asciiTheme="majorBidi" w:eastAsia="Calibri" w:hAnsiTheme="majorBidi" w:cstheme="majorBidi"/>
          <w:sz w:val="21"/>
          <w:szCs w:val="21"/>
        </w:rPr>
        <w:t xml:space="preserve">An estimated 125,000 U.S. manufacturing firms owned by baby boomers employ ~2.6 million workers and anchor domestic supply chains. </w:t>
      </w:r>
      <w:r w:rsidR="00DC3C6D">
        <w:rPr>
          <w:rFonts w:asciiTheme="majorBidi" w:eastAsia="Calibri" w:hAnsiTheme="majorBidi" w:cstheme="majorBidi"/>
          <w:sz w:val="21"/>
          <w:szCs w:val="21"/>
        </w:rPr>
        <w:t xml:space="preserve">Most of these will transition ownership over the next </w:t>
      </w:r>
      <w:r w:rsidR="00DD6777" w:rsidRPr="00DD6777">
        <w:rPr>
          <w:rFonts w:asciiTheme="majorBidi" w:eastAsia="Calibri" w:hAnsiTheme="majorBidi" w:cstheme="majorBidi"/>
          <w:sz w:val="21"/>
          <w:szCs w:val="21"/>
        </w:rPr>
        <w:t>10–15 years</w:t>
      </w:r>
      <w:r w:rsidR="00DC3C6D">
        <w:rPr>
          <w:rFonts w:asciiTheme="majorBidi" w:eastAsia="Calibri" w:hAnsiTheme="majorBidi" w:cstheme="majorBidi"/>
          <w:sz w:val="21"/>
          <w:szCs w:val="21"/>
        </w:rPr>
        <w:t xml:space="preserve">. </w:t>
      </w:r>
      <w:r w:rsidR="00BA2089">
        <w:rPr>
          <w:rFonts w:asciiTheme="majorBidi" w:eastAsia="Calibri" w:hAnsiTheme="majorBidi" w:cstheme="majorBidi"/>
          <w:sz w:val="21"/>
          <w:szCs w:val="21"/>
        </w:rPr>
        <w:t>MERA</w:t>
      </w:r>
      <w:r w:rsidR="006F5D5E">
        <w:rPr>
          <w:rFonts w:asciiTheme="majorBidi" w:eastAsia="Calibri" w:hAnsiTheme="majorBidi" w:cstheme="majorBidi"/>
          <w:sz w:val="21"/>
          <w:szCs w:val="21"/>
        </w:rPr>
        <w:t xml:space="preserve"> delivers a significant incentive t</w:t>
      </w:r>
      <w:r w:rsidR="00DC3C6D">
        <w:rPr>
          <w:rFonts w:asciiTheme="majorBidi" w:eastAsia="Calibri" w:hAnsiTheme="majorBidi" w:cstheme="majorBidi"/>
          <w:sz w:val="21"/>
          <w:szCs w:val="21"/>
        </w:rPr>
        <w:t xml:space="preserve">o support family </w:t>
      </w:r>
      <w:r w:rsidR="006F5D5E">
        <w:rPr>
          <w:rFonts w:asciiTheme="majorBidi" w:eastAsia="Calibri" w:hAnsiTheme="majorBidi" w:cstheme="majorBidi"/>
          <w:sz w:val="21"/>
          <w:szCs w:val="21"/>
        </w:rPr>
        <w:t xml:space="preserve">ownership </w:t>
      </w:r>
      <w:r w:rsidR="00DC3C6D">
        <w:rPr>
          <w:rFonts w:asciiTheme="majorBidi" w:eastAsia="Calibri" w:hAnsiTheme="majorBidi" w:cstheme="majorBidi"/>
          <w:sz w:val="21"/>
          <w:szCs w:val="21"/>
        </w:rPr>
        <w:t xml:space="preserve">transition </w:t>
      </w:r>
      <w:r w:rsidR="006F5D5E">
        <w:rPr>
          <w:rFonts w:asciiTheme="majorBidi" w:eastAsia="Calibri" w:hAnsiTheme="majorBidi" w:cstheme="majorBidi"/>
          <w:sz w:val="21"/>
          <w:szCs w:val="21"/>
        </w:rPr>
        <w:t xml:space="preserve">or a </w:t>
      </w:r>
      <w:r w:rsidR="00DC3C6D">
        <w:rPr>
          <w:rFonts w:asciiTheme="majorBidi" w:eastAsia="Calibri" w:hAnsiTheme="majorBidi" w:cstheme="majorBidi"/>
          <w:sz w:val="21"/>
          <w:szCs w:val="21"/>
        </w:rPr>
        <w:t xml:space="preserve">sale to entrepreneurs eager to </w:t>
      </w:r>
      <w:r w:rsidR="006F5D5E">
        <w:rPr>
          <w:rFonts w:asciiTheme="majorBidi" w:eastAsia="Calibri" w:hAnsiTheme="majorBidi" w:cstheme="majorBidi"/>
          <w:sz w:val="21"/>
          <w:szCs w:val="21"/>
        </w:rPr>
        <w:t xml:space="preserve">re-energize, grow, and move these companies to the future. </w:t>
      </w:r>
      <w:r w:rsidR="00BA2089">
        <w:rPr>
          <w:rFonts w:asciiTheme="majorBidi" w:eastAsia="Calibri" w:hAnsiTheme="majorBidi" w:cstheme="majorBidi"/>
          <w:sz w:val="21"/>
          <w:szCs w:val="21"/>
        </w:rPr>
        <w:t>MERA</w:t>
      </w:r>
      <w:r w:rsidRPr="00DC3C6D">
        <w:rPr>
          <w:rFonts w:asciiTheme="majorBidi" w:eastAsia="Calibri" w:hAnsiTheme="majorBidi" w:cstheme="majorBidi"/>
          <w:sz w:val="21"/>
          <w:szCs w:val="21"/>
        </w:rPr>
        <w:t xml:space="preserve"> creates a dual-track tax framework: an enhanced unified gift/estate tax credit for intrafamily transfers and a QSBS-style income tax exclusion for external sales. Its aim is to preserve manufacturing businesses during ownership transitions. </w:t>
      </w:r>
      <w:r w:rsidR="00671156" w:rsidRPr="00671156">
        <w:rPr>
          <w:rFonts w:asciiTheme="majorBidi" w:eastAsia="Calibri" w:hAnsiTheme="majorBidi" w:cstheme="majorBidi"/>
          <w:sz w:val="21"/>
          <w:szCs w:val="21"/>
        </w:rPr>
        <w:t>Both tracks provide up to $250 million (inflation adjusted and rounded to the nearest $1,000,000) in tax relief per business, with robust anti-abuse guardrails and aggregate cap coordination.</w:t>
      </w:r>
    </w:p>
    <w:p w14:paraId="06DB0A3A" w14:textId="28DD5580" w:rsidR="00D55B33" w:rsidRPr="00DC3C6D" w:rsidRDefault="00D55B33" w:rsidP="00D55B33">
      <w:pPr>
        <w:rPr>
          <w:rFonts w:asciiTheme="majorBidi" w:hAnsiTheme="majorBidi" w:cstheme="majorBidi"/>
          <w:b/>
          <w:bCs/>
          <w:sz w:val="21"/>
          <w:szCs w:val="21"/>
        </w:rPr>
      </w:pPr>
    </w:p>
    <w:p w14:paraId="1C240068" w14:textId="77777777" w:rsidR="00D55B33" w:rsidRPr="00D55B33" w:rsidRDefault="00D55B33" w:rsidP="00DC3C6D">
      <w:pPr>
        <w:spacing w:before="100" w:after="80"/>
        <w:rPr>
          <w:rFonts w:asciiTheme="majorBidi" w:hAnsiTheme="majorBidi" w:cstheme="majorBidi"/>
        </w:rPr>
      </w:pPr>
      <w:r w:rsidRPr="00D55B33">
        <w:rPr>
          <w:rFonts w:asciiTheme="majorBidi" w:eastAsia="Calibri" w:hAnsiTheme="majorBidi" w:cstheme="majorBidi"/>
          <w:b/>
          <w:bCs/>
          <w:color w:val="1B3A5C"/>
        </w:rPr>
        <w:t>The Two-Track Framework</w:t>
      </w: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12"/>
        <w:gridCol w:w="5112"/>
      </w:tblGrid>
      <w:tr w:rsidR="00D55B33" w:rsidRPr="00D55B33" w14:paraId="6EF10BB5" w14:textId="77777777" w:rsidTr="00DD1FD2">
        <w:tc>
          <w:tcPr>
            <w:tcW w:w="5112" w:type="dxa"/>
            <w:tcBorders>
              <w:top w:val="single" w:sz="1" w:space="0" w:color="B0B0B0"/>
              <w:left w:val="single" w:sz="1" w:space="0" w:color="B0B0B0"/>
              <w:bottom w:val="single" w:sz="1" w:space="0" w:color="B0B0B0"/>
              <w:right w:val="single" w:sz="1" w:space="0" w:color="B0B0B0"/>
            </w:tcBorders>
            <w:shd w:val="clear" w:color="auto" w:fill="1B3A5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304523" w14:textId="77777777" w:rsidR="00D55B33" w:rsidRPr="00D55B33" w:rsidRDefault="00D55B33" w:rsidP="00DD1FD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55B33">
              <w:rPr>
                <w:rFonts w:asciiTheme="majorBidi" w:eastAsia="Calibri" w:hAnsiTheme="majorBidi" w:cstheme="majorBidi"/>
                <w:b/>
                <w:bCs/>
                <w:color w:val="FFFFFF"/>
                <w:sz w:val="20"/>
                <w:szCs w:val="20"/>
              </w:rPr>
              <w:t>Track 1: Family Transfers (Gift/Estate Tax)</w:t>
            </w:r>
          </w:p>
        </w:tc>
        <w:tc>
          <w:tcPr>
            <w:tcW w:w="5112" w:type="dxa"/>
            <w:tcBorders>
              <w:top w:val="single" w:sz="1" w:space="0" w:color="B0B0B0"/>
              <w:left w:val="single" w:sz="1" w:space="0" w:color="B0B0B0"/>
              <w:bottom w:val="single" w:sz="1" w:space="0" w:color="B0B0B0"/>
              <w:right w:val="single" w:sz="1" w:space="0" w:color="B0B0B0"/>
            </w:tcBorders>
            <w:shd w:val="clear" w:color="auto" w:fill="1B3A5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2D921C3" w14:textId="77777777" w:rsidR="00D55B33" w:rsidRPr="00D55B33" w:rsidRDefault="00D55B33" w:rsidP="00DD1FD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55B33">
              <w:rPr>
                <w:rFonts w:asciiTheme="majorBidi" w:eastAsia="Calibri" w:hAnsiTheme="majorBidi" w:cstheme="majorBidi"/>
                <w:b/>
                <w:bCs/>
                <w:color w:val="FFFFFF"/>
                <w:sz w:val="20"/>
                <w:szCs w:val="20"/>
              </w:rPr>
              <w:t>Track 2: External Sales (Income Tax)</w:t>
            </w:r>
          </w:p>
        </w:tc>
      </w:tr>
      <w:tr w:rsidR="00D55B33" w:rsidRPr="00D55B33" w14:paraId="74F10E40" w14:textId="77777777" w:rsidTr="00DD1FD2">
        <w:tc>
          <w:tcPr>
            <w:tcW w:w="5112" w:type="dxa"/>
            <w:tcBorders>
              <w:top w:val="single" w:sz="1" w:space="0" w:color="B0B0B0"/>
              <w:left w:val="single" w:sz="1" w:space="0" w:color="B0B0B0"/>
              <w:bottom w:val="single" w:sz="1" w:space="0" w:color="B0B0B0"/>
              <w:right w:val="single" w:sz="1" w:space="0" w:color="B0B0B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5AFEBD" w14:textId="77777777" w:rsidR="00D55B33" w:rsidRPr="00F22812" w:rsidRDefault="00D55B33" w:rsidP="00DD1FD2">
            <w:pPr>
              <w:spacing w:after="40"/>
              <w:rPr>
                <w:rFonts w:asciiTheme="majorBid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Mechanism: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Additional unified credit (new §2010A/2505A) of up to $250M per business on top of existing $15M exemption</w:t>
            </w:r>
          </w:p>
          <w:p w14:paraId="2DEB665D" w14:textId="77777777" w:rsidR="00D55B33" w:rsidRPr="00F22812" w:rsidRDefault="00D55B33" w:rsidP="00DD1FD2">
            <w:pPr>
              <w:spacing w:after="40"/>
              <w:rPr>
                <w:rFonts w:asciiTheme="majorBid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Trigger: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Gift or bequest to qualifying family member (spouse, lineal descendants, siblings, their spouses)</w:t>
            </w:r>
          </w:p>
          <w:p w14:paraId="3AC2BF20" w14:textId="77777777" w:rsidR="00D55B33" w:rsidRPr="00F22812" w:rsidRDefault="00D55B33" w:rsidP="00DD1FD2">
            <w:pPr>
              <w:spacing w:after="40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Basis: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Carryover basis for gifts; stepped-up basis at death with tacked holding period</w:t>
            </w:r>
          </w:p>
          <w:p w14:paraId="6D9F7603" w14:textId="41873CA3" w:rsidR="00F22812" w:rsidRPr="00F22812" w:rsidRDefault="00F22812" w:rsidP="00F22812">
            <w:pPr>
              <w:spacing w:after="40"/>
              <w:rPr>
                <w:rFonts w:asciiTheme="majorBid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Holding: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10-year holding period required (tacking for inheritance, gift, divorce)</w:t>
            </w:r>
          </w:p>
          <w:p w14:paraId="5C2AF116" w14:textId="77777777" w:rsidR="00D55B33" w:rsidRPr="00F22812" w:rsidRDefault="00D55B33" w:rsidP="00DD1FD2">
            <w:pPr>
              <w:spacing w:after="40"/>
              <w:rPr>
                <w:rFonts w:asciiTheme="majorBid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Recapture: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None—family retains and operates the business</w:t>
            </w:r>
          </w:p>
        </w:tc>
        <w:tc>
          <w:tcPr>
            <w:tcW w:w="5112" w:type="dxa"/>
            <w:tcBorders>
              <w:top w:val="single" w:sz="1" w:space="0" w:color="B0B0B0"/>
              <w:left w:val="single" w:sz="1" w:space="0" w:color="B0B0B0"/>
              <w:bottom w:val="single" w:sz="1" w:space="0" w:color="B0B0B0"/>
              <w:right w:val="single" w:sz="1" w:space="0" w:color="B0B0B0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6FB740" w14:textId="77777777" w:rsidR="00D55B33" w:rsidRPr="00F22812" w:rsidRDefault="00D55B33" w:rsidP="00DD1FD2">
            <w:pPr>
              <w:spacing w:after="40"/>
              <w:rPr>
                <w:rFonts w:asciiTheme="majorBid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Mechanism: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100% capital gains exclusion (new §1202A) up to $250M per business, modeled on QSBS (§1202)</w:t>
            </w:r>
          </w:p>
          <w:p w14:paraId="36D5FF6C" w14:textId="77777777" w:rsidR="00D55B33" w:rsidRPr="00F22812" w:rsidRDefault="00D55B33" w:rsidP="00DD1FD2">
            <w:pPr>
              <w:spacing w:after="40"/>
              <w:rPr>
                <w:rFonts w:asciiTheme="majorBid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Trigger: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Sale to non-family buyer (PE firm, search fund, strategic, or via IPO)</w:t>
            </w:r>
          </w:p>
          <w:p w14:paraId="4AB49EBC" w14:textId="77777777" w:rsidR="00D55B33" w:rsidRPr="00F22812" w:rsidRDefault="00D55B33" w:rsidP="00DD1FD2">
            <w:pPr>
              <w:spacing w:after="40"/>
              <w:rPr>
                <w:rFonts w:asciiTheme="majorBid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Holding: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10-year holding period required (tacking for inheritance, gift, divorce)</w:t>
            </w:r>
          </w:p>
          <w:p w14:paraId="0719CB8A" w14:textId="77777777" w:rsidR="00D55B33" w:rsidRPr="00F22812" w:rsidRDefault="00D55B33" w:rsidP="00DD1FD2">
            <w:pPr>
              <w:spacing w:after="40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2281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Recapture: </w:t>
            </w:r>
            <w:r w:rsidRPr="00F22812">
              <w:rPr>
                <w:rFonts w:asciiTheme="majorBidi" w:eastAsia="Calibri" w:hAnsiTheme="majorBidi" w:cstheme="majorBidi"/>
                <w:sz w:val="18"/>
                <w:szCs w:val="18"/>
              </w:rPr>
              <w:t>7-year window; both buyer and seller liable</w:t>
            </w:r>
          </w:p>
          <w:p w14:paraId="0E3A7D99" w14:textId="4DA5BB5A" w:rsidR="00D55B33" w:rsidRPr="00F22812" w:rsidRDefault="00D55B33" w:rsidP="00DD1FD2">
            <w:pPr>
              <w:spacing w:after="4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14:paraId="2EAFF086" w14:textId="77777777" w:rsidR="002A3F86" w:rsidRPr="00D27A83" w:rsidRDefault="002A3F86" w:rsidP="00DC3C6D">
      <w:pPr>
        <w:spacing w:before="100" w:after="80"/>
        <w:rPr>
          <w:rFonts w:asciiTheme="majorBidi" w:eastAsia="Calibri" w:hAnsiTheme="majorBidi" w:cstheme="majorBidi"/>
          <w:b/>
          <w:bCs/>
          <w:color w:val="1B3A5C"/>
          <w:sz w:val="2"/>
          <w:szCs w:val="2"/>
        </w:rPr>
      </w:pPr>
    </w:p>
    <w:p w14:paraId="071AAF88" w14:textId="35A24EA5" w:rsidR="00D55B33" w:rsidRPr="00D55B33" w:rsidRDefault="00D55B33" w:rsidP="00DC3C6D">
      <w:pPr>
        <w:spacing w:before="100" w:after="80"/>
        <w:rPr>
          <w:rFonts w:asciiTheme="majorBidi" w:hAnsiTheme="majorBidi" w:cstheme="majorBidi"/>
        </w:rPr>
      </w:pPr>
      <w:r w:rsidRPr="00D55B33">
        <w:rPr>
          <w:rFonts w:asciiTheme="majorBidi" w:eastAsia="Calibri" w:hAnsiTheme="majorBidi" w:cstheme="majorBidi"/>
          <w:b/>
          <w:bCs/>
          <w:color w:val="1B3A5C"/>
        </w:rPr>
        <w:t>Qualifying Business Requirements (§1202B)</w:t>
      </w:r>
    </w:p>
    <w:p w14:paraId="38B8AA9C" w14:textId="0EF03AD5" w:rsidR="00D55B33" w:rsidRPr="00D27A83" w:rsidRDefault="00D55B33" w:rsidP="00D55B33">
      <w:pPr>
        <w:spacing w:after="60"/>
        <w:rPr>
          <w:rFonts w:asciiTheme="majorBidi" w:hAnsiTheme="majorBidi" w:cstheme="majorBidi"/>
          <w:sz w:val="21"/>
          <w:szCs w:val="21"/>
        </w:rPr>
      </w:pPr>
      <w:r w:rsidRPr="00D27A83">
        <w:rPr>
          <w:rFonts w:asciiTheme="majorBidi" w:eastAsia="Calibri" w:hAnsiTheme="majorBidi" w:cstheme="majorBidi"/>
          <w:sz w:val="21"/>
          <w:szCs w:val="21"/>
        </w:rPr>
        <w:t>• NAICS 31–33 manufacturers    • ≥40% domestic value-added    • &lt;2,500 employees     • Privately held at acquisition</w:t>
      </w:r>
    </w:p>
    <w:p w14:paraId="08128FAC" w14:textId="77777777" w:rsidR="00D27A83" w:rsidRPr="00D27A83" w:rsidRDefault="00D27A83" w:rsidP="00DC3C6D">
      <w:pPr>
        <w:spacing w:before="100" w:after="80"/>
        <w:rPr>
          <w:rFonts w:asciiTheme="majorBidi" w:eastAsia="Calibri" w:hAnsiTheme="majorBidi" w:cstheme="majorBidi"/>
          <w:b/>
          <w:bCs/>
          <w:color w:val="1B3A5C"/>
        </w:rPr>
      </w:pPr>
      <w:r w:rsidRPr="00D27A83">
        <w:rPr>
          <w:rFonts w:asciiTheme="majorBidi" w:eastAsia="Calibri" w:hAnsiTheme="majorBidi" w:cstheme="majorBidi"/>
          <w:b/>
          <w:bCs/>
          <w:color w:val="1B3A5C"/>
        </w:rPr>
        <w:t xml:space="preserve">Guardrails </w:t>
      </w:r>
    </w:p>
    <w:p w14:paraId="645F88E3" w14:textId="484F29A3" w:rsidR="00D27A83" w:rsidRPr="00D27A83" w:rsidRDefault="00D27A83" w:rsidP="00DC3C6D">
      <w:pPr>
        <w:spacing w:before="100" w:after="80"/>
        <w:rPr>
          <w:rFonts w:asciiTheme="majorBidi" w:eastAsia="Calibri" w:hAnsiTheme="majorBidi" w:cstheme="majorBidi"/>
          <w:b/>
          <w:bCs/>
          <w:color w:val="1B3A5C"/>
          <w:sz w:val="21"/>
          <w:szCs w:val="21"/>
        </w:rPr>
      </w:pPr>
      <w:r w:rsidRPr="00D27A83">
        <w:rPr>
          <w:rFonts w:asciiTheme="majorBidi" w:eastAsia="Calibri" w:hAnsiTheme="majorBidi" w:cstheme="majorBidi"/>
          <w:b/>
          <w:bCs/>
          <w:sz w:val="21"/>
          <w:szCs w:val="21"/>
        </w:rPr>
        <w:t xml:space="preserve">• </w:t>
      </w:r>
      <w:r w:rsidRPr="00D27A83">
        <w:rPr>
          <w:rFonts w:asciiTheme="majorBidi" w:hAnsiTheme="majorBidi" w:cstheme="majorBidi"/>
          <w:sz w:val="21"/>
          <w:szCs w:val="21"/>
        </w:rPr>
        <w:t xml:space="preserve">Excess leverage   </w:t>
      </w:r>
      <w:r w:rsidRPr="00D27A83">
        <w:rPr>
          <w:rFonts w:asciiTheme="majorBidi" w:eastAsia="Calibri" w:hAnsiTheme="majorBidi" w:cstheme="majorBidi"/>
          <w:b/>
          <w:bCs/>
          <w:sz w:val="21"/>
          <w:szCs w:val="21"/>
        </w:rPr>
        <w:t xml:space="preserve">• </w:t>
      </w:r>
      <w:r>
        <w:rPr>
          <w:rFonts w:asciiTheme="majorBidi" w:hAnsiTheme="majorBidi" w:cstheme="majorBidi"/>
          <w:sz w:val="21"/>
          <w:szCs w:val="21"/>
        </w:rPr>
        <w:t>E</w:t>
      </w:r>
      <w:r w:rsidRPr="00D27A83">
        <w:rPr>
          <w:rFonts w:asciiTheme="majorBidi" w:hAnsiTheme="majorBidi" w:cstheme="majorBidi"/>
          <w:sz w:val="21"/>
          <w:szCs w:val="21"/>
        </w:rPr>
        <w:t xml:space="preserve">xcess employment reduction   </w:t>
      </w:r>
      <w:r w:rsidRPr="00D27A83">
        <w:rPr>
          <w:rFonts w:asciiTheme="majorBidi" w:eastAsia="Calibri" w:hAnsiTheme="majorBidi" w:cstheme="majorBidi"/>
          <w:b/>
          <w:bCs/>
          <w:sz w:val="21"/>
          <w:szCs w:val="21"/>
        </w:rPr>
        <w:t xml:space="preserve">• </w:t>
      </w:r>
      <w:r>
        <w:rPr>
          <w:rFonts w:asciiTheme="majorBidi" w:hAnsiTheme="majorBidi" w:cstheme="majorBidi"/>
          <w:sz w:val="21"/>
          <w:szCs w:val="21"/>
        </w:rPr>
        <w:t>O</w:t>
      </w:r>
      <w:r w:rsidRPr="00D27A83">
        <w:rPr>
          <w:rFonts w:asciiTheme="majorBidi" w:hAnsiTheme="majorBidi" w:cstheme="majorBidi"/>
          <w:sz w:val="21"/>
          <w:szCs w:val="21"/>
        </w:rPr>
        <w:t xml:space="preserve">ffshoring  </w:t>
      </w:r>
      <w:r>
        <w:rPr>
          <w:rFonts w:asciiTheme="majorBidi" w:hAnsiTheme="majorBidi" w:cstheme="majorBidi"/>
          <w:sz w:val="21"/>
          <w:szCs w:val="21"/>
        </w:rPr>
        <w:t xml:space="preserve"> </w:t>
      </w:r>
      <w:r w:rsidRPr="00D27A83">
        <w:rPr>
          <w:rFonts w:asciiTheme="majorBidi" w:eastAsia="Calibri" w:hAnsiTheme="majorBidi" w:cstheme="majorBidi"/>
          <w:b/>
          <w:bCs/>
          <w:sz w:val="21"/>
          <w:szCs w:val="21"/>
        </w:rPr>
        <w:t xml:space="preserve">• </w:t>
      </w:r>
      <w:r>
        <w:rPr>
          <w:rFonts w:asciiTheme="majorBidi" w:hAnsiTheme="majorBidi" w:cstheme="majorBidi"/>
          <w:sz w:val="21"/>
          <w:szCs w:val="21"/>
        </w:rPr>
        <w:t>E</w:t>
      </w:r>
      <w:r w:rsidRPr="00D27A83">
        <w:rPr>
          <w:rFonts w:asciiTheme="majorBidi" w:hAnsiTheme="majorBidi" w:cstheme="majorBidi"/>
          <w:sz w:val="21"/>
          <w:szCs w:val="21"/>
        </w:rPr>
        <w:t xml:space="preserve">arly disposition  </w:t>
      </w:r>
      <w:r>
        <w:rPr>
          <w:rFonts w:asciiTheme="majorBidi" w:hAnsiTheme="majorBidi" w:cstheme="majorBidi"/>
          <w:sz w:val="21"/>
          <w:szCs w:val="21"/>
        </w:rPr>
        <w:t xml:space="preserve"> </w:t>
      </w:r>
      <w:r w:rsidRPr="00D27A83">
        <w:rPr>
          <w:rFonts w:asciiTheme="majorBidi" w:eastAsia="Calibri" w:hAnsiTheme="majorBidi" w:cstheme="majorBidi"/>
          <w:b/>
          <w:bCs/>
          <w:sz w:val="21"/>
          <w:szCs w:val="21"/>
        </w:rPr>
        <w:t xml:space="preserve">• </w:t>
      </w:r>
      <w:r>
        <w:rPr>
          <w:rFonts w:asciiTheme="majorBidi" w:hAnsiTheme="majorBidi" w:cstheme="majorBidi"/>
          <w:sz w:val="21"/>
          <w:szCs w:val="21"/>
        </w:rPr>
        <w:t>E</w:t>
      </w:r>
      <w:r w:rsidRPr="00D27A83">
        <w:rPr>
          <w:rFonts w:asciiTheme="majorBidi" w:hAnsiTheme="majorBidi" w:cstheme="majorBidi"/>
          <w:sz w:val="21"/>
          <w:szCs w:val="21"/>
        </w:rPr>
        <w:t>conomic extraction</w:t>
      </w:r>
    </w:p>
    <w:p w14:paraId="1F75EBA8" w14:textId="7BC8E0A8" w:rsidR="00D55B33" w:rsidRPr="00D55B33" w:rsidRDefault="00D55B33" w:rsidP="00DC3C6D">
      <w:pPr>
        <w:spacing w:before="100" w:after="80"/>
        <w:rPr>
          <w:rFonts w:asciiTheme="majorBidi" w:hAnsiTheme="majorBidi" w:cstheme="majorBidi"/>
        </w:rPr>
      </w:pPr>
      <w:r w:rsidRPr="00D55B33">
        <w:rPr>
          <w:rFonts w:asciiTheme="majorBidi" w:eastAsia="Calibri" w:hAnsiTheme="majorBidi" w:cstheme="majorBidi"/>
          <w:b/>
          <w:bCs/>
          <w:color w:val="1B3A5C"/>
        </w:rPr>
        <w:t>Staggered Sales and Equity Allocation</w:t>
      </w:r>
    </w:p>
    <w:p w14:paraId="7DC8ECB4" w14:textId="48BEAD4D" w:rsidR="000E18FC" w:rsidRPr="000E18FC" w:rsidRDefault="000E18FC" w:rsidP="00671156">
      <w:pPr>
        <w:spacing w:before="100" w:after="80"/>
        <w:rPr>
          <w:rFonts w:asciiTheme="majorBidi" w:hAnsiTheme="majorBidi" w:cstheme="majorBidi"/>
          <w:sz w:val="21"/>
          <w:szCs w:val="21"/>
        </w:rPr>
      </w:pPr>
      <w:r w:rsidRPr="000E18FC">
        <w:rPr>
          <w:rFonts w:asciiTheme="majorBidi" w:hAnsiTheme="majorBidi" w:cstheme="majorBidi"/>
          <w:sz w:val="21"/>
          <w:szCs w:val="21"/>
        </w:rPr>
        <w:t>The $250M per-business cap is allocated among equity holders through a Determination Date and Pro-Rata Equity Allocation mechanism based on each holder’s equity percentage at the determination date. A 2-year anti-abuse lookback (§1202A(b)(4)(A)) allows the Secretary to disregard equity changes made with a principal purpose of manipulating allocations. Pre-determination sales are fully taxable and do not consume any portion of the cap.</w:t>
      </w:r>
      <w:r w:rsidR="00671156">
        <w:rPr>
          <w:rFonts w:asciiTheme="majorBidi" w:hAnsiTheme="majorBidi" w:cstheme="majorBidi"/>
          <w:sz w:val="21"/>
          <w:szCs w:val="21"/>
        </w:rPr>
        <w:t xml:space="preserve"> </w:t>
      </w:r>
      <w:r w:rsidR="00671156" w:rsidRPr="00671156">
        <w:rPr>
          <w:rFonts w:asciiTheme="majorBidi" w:hAnsiTheme="majorBidi" w:cstheme="majorBidi"/>
          <w:sz w:val="21"/>
          <w:szCs w:val="21"/>
        </w:rPr>
        <w:t>Both tracks provide up to $250 million (inflation adjusted and rounded to the nearest $1,000,000) in tax relief per business, with robust anti-abuse guardrails and aggregate cap coordination.</w:t>
      </w:r>
    </w:p>
    <w:p w14:paraId="682B7850" w14:textId="77777777" w:rsidR="00D55B33" w:rsidRPr="00D55B33" w:rsidRDefault="00D55B33" w:rsidP="00DC3C6D">
      <w:pPr>
        <w:spacing w:before="100" w:after="80"/>
        <w:rPr>
          <w:rFonts w:asciiTheme="majorBidi" w:hAnsiTheme="majorBidi" w:cstheme="majorBidi"/>
        </w:rPr>
      </w:pPr>
      <w:r w:rsidRPr="00D55B33">
        <w:rPr>
          <w:rFonts w:asciiTheme="majorBidi" w:eastAsia="Calibri" w:hAnsiTheme="majorBidi" w:cstheme="majorBidi"/>
          <w:b/>
          <w:bCs/>
          <w:color w:val="1B3A5C"/>
        </w:rPr>
        <w:t>Why It Matters</w:t>
      </w:r>
    </w:p>
    <w:p w14:paraId="31A26F64" w14:textId="5536C692" w:rsidR="000E18FC" w:rsidRPr="000E18FC" w:rsidRDefault="000E18FC" w:rsidP="000E18FC">
      <w:pPr>
        <w:spacing w:before="100" w:after="80"/>
        <w:rPr>
          <w:rFonts w:asciiTheme="majorBidi" w:eastAsia="Calibri" w:hAnsiTheme="majorBidi" w:cstheme="majorBidi"/>
        </w:rPr>
      </w:pPr>
      <w:r w:rsidRPr="000E18FC">
        <w:rPr>
          <w:rFonts w:asciiTheme="majorBidi" w:eastAsia="Calibri" w:hAnsiTheme="majorBidi" w:cstheme="majorBidi"/>
        </w:rPr>
        <w:t xml:space="preserve">An estimated 125,000 boomer-owned manufacturers face succession in the next decade. </w:t>
      </w:r>
      <w:r w:rsidR="00BA2089">
        <w:rPr>
          <w:rFonts w:asciiTheme="majorBidi" w:eastAsia="Calibri" w:hAnsiTheme="majorBidi" w:cstheme="majorBidi"/>
        </w:rPr>
        <w:t>MERA</w:t>
      </w:r>
      <w:r w:rsidRPr="000E18FC">
        <w:rPr>
          <w:rFonts w:asciiTheme="majorBidi" w:eastAsia="Calibri" w:hAnsiTheme="majorBidi" w:cstheme="majorBidi"/>
        </w:rPr>
        <w:t xml:space="preserve"> rewards patient, onshore owners while discouraging leveraged strip-and-flip models</w:t>
      </w:r>
      <w:r>
        <w:rPr>
          <w:rFonts w:asciiTheme="majorBidi" w:eastAsia="Calibri" w:hAnsiTheme="majorBidi" w:cstheme="majorBidi"/>
        </w:rPr>
        <w:t>. F</w:t>
      </w:r>
      <w:r w:rsidRPr="000E18FC">
        <w:rPr>
          <w:rFonts w:asciiTheme="majorBidi" w:eastAsia="Calibri" w:hAnsiTheme="majorBidi" w:cstheme="majorBidi"/>
        </w:rPr>
        <w:t xml:space="preserve">amily businesses can transfer without forced liquidation and external acquirers are incentivized to </w:t>
      </w:r>
      <w:r>
        <w:rPr>
          <w:rFonts w:asciiTheme="majorBidi" w:eastAsia="Calibri" w:hAnsiTheme="majorBidi" w:cstheme="majorBidi"/>
        </w:rPr>
        <w:t xml:space="preserve">re-energized </w:t>
      </w:r>
      <w:r w:rsidRPr="000E18FC">
        <w:rPr>
          <w:rFonts w:asciiTheme="majorBidi" w:eastAsia="Calibri" w:hAnsiTheme="majorBidi" w:cstheme="majorBidi"/>
        </w:rPr>
        <w:t>domestic manufacturing.</w:t>
      </w:r>
    </w:p>
    <w:p w14:paraId="0AD56B27" w14:textId="77777777" w:rsidR="00D55B33" w:rsidRPr="00D55B33" w:rsidRDefault="00D55B33" w:rsidP="00DC3C6D">
      <w:pPr>
        <w:spacing w:before="100" w:after="80"/>
        <w:rPr>
          <w:rFonts w:asciiTheme="majorBidi" w:hAnsiTheme="majorBidi" w:cstheme="majorBidi"/>
        </w:rPr>
      </w:pPr>
      <w:r w:rsidRPr="00D55B33">
        <w:rPr>
          <w:rFonts w:asciiTheme="majorBidi" w:eastAsia="Calibri" w:hAnsiTheme="majorBidi" w:cstheme="majorBidi"/>
          <w:b/>
          <w:bCs/>
          <w:color w:val="1B3A5C"/>
        </w:rPr>
        <w:t>Next Step</w:t>
      </w:r>
    </w:p>
    <w:p w14:paraId="77B47F47" w14:textId="77777777" w:rsidR="00671156" w:rsidRDefault="00D55B33" w:rsidP="00671156">
      <w:pPr>
        <w:spacing w:after="40"/>
        <w:rPr>
          <w:rFonts w:asciiTheme="majorBidi" w:eastAsia="Calibri" w:hAnsiTheme="majorBidi" w:cstheme="majorBidi"/>
        </w:rPr>
      </w:pPr>
      <w:r w:rsidRPr="00D55B33">
        <w:rPr>
          <w:rFonts w:asciiTheme="majorBidi" w:eastAsia="Calibri" w:hAnsiTheme="majorBidi" w:cstheme="majorBidi"/>
        </w:rPr>
        <w:t>We welcome a 30-minute staff briefing to review draft legislative text,</w:t>
      </w:r>
      <w:r>
        <w:rPr>
          <w:rFonts w:asciiTheme="majorBidi" w:eastAsia="Calibri" w:hAnsiTheme="majorBidi" w:cstheme="majorBidi"/>
        </w:rPr>
        <w:t xml:space="preserve"> </w:t>
      </w:r>
      <w:r w:rsidRPr="00D55B33">
        <w:rPr>
          <w:rFonts w:asciiTheme="majorBidi" w:eastAsia="Calibri" w:hAnsiTheme="majorBidi" w:cstheme="majorBidi"/>
        </w:rPr>
        <w:t>guardrail calibration</w:t>
      </w:r>
      <w:r>
        <w:rPr>
          <w:rFonts w:asciiTheme="majorBidi" w:eastAsia="Calibri" w:hAnsiTheme="majorBidi" w:cstheme="majorBidi"/>
        </w:rPr>
        <w:t>, and cost/benefits</w:t>
      </w:r>
    </w:p>
    <w:p w14:paraId="7BB632C8" w14:textId="2844EFE9" w:rsidR="00D94D81" w:rsidRPr="00671156" w:rsidRDefault="00D55B33" w:rsidP="00671156">
      <w:pPr>
        <w:spacing w:after="40"/>
        <w:rPr>
          <w:rFonts w:asciiTheme="majorBidi" w:eastAsia="Calibri" w:hAnsiTheme="majorBidi" w:cstheme="majorBidi"/>
        </w:rPr>
      </w:pPr>
      <w:r w:rsidRPr="00BF4DB1">
        <w:rPr>
          <w:rFonts w:asciiTheme="majorBidi" w:eastAsia="Calibri" w:hAnsiTheme="majorBidi" w:cstheme="majorBidi"/>
        </w:rPr>
        <w:t>Contact: Mark Rosenblatt, Rationalwave | mr@rationalwave.com | 914-584-5400 | @ratwave</w:t>
      </w:r>
    </w:p>
    <w:sectPr w:rsidR="00D94D81" w:rsidRPr="00671156" w:rsidSect="000E18FC">
      <w:headerReference w:type="default" r:id="rId8"/>
      <w:pgSz w:w="12240" w:h="15840"/>
      <w:pgMar w:top="1125" w:right="1008" w:bottom="405" w:left="1008" w:header="499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B639D" w14:textId="77777777" w:rsidR="00553680" w:rsidRDefault="00553680" w:rsidP="007170A7">
      <w:pPr>
        <w:spacing w:after="0" w:line="240" w:lineRule="auto"/>
      </w:pPr>
      <w:r>
        <w:separator/>
      </w:r>
    </w:p>
  </w:endnote>
  <w:endnote w:type="continuationSeparator" w:id="0">
    <w:p w14:paraId="43A986D7" w14:textId="77777777" w:rsidR="00553680" w:rsidRDefault="00553680" w:rsidP="00717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1CB30" w14:textId="77777777" w:rsidR="00553680" w:rsidRDefault="00553680" w:rsidP="007170A7">
      <w:pPr>
        <w:spacing w:after="0" w:line="240" w:lineRule="auto"/>
      </w:pPr>
      <w:r>
        <w:separator/>
      </w:r>
    </w:p>
  </w:footnote>
  <w:footnote w:type="continuationSeparator" w:id="0">
    <w:p w14:paraId="6A45410D" w14:textId="77777777" w:rsidR="00553680" w:rsidRDefault="00553680" w:rsidP="007170A7">
      <w:pPr>
        <w:spacing w:after="0" w:line="240" w:lineRule="auto"/>
      </w:pPr>
      <w:r>
        <w:continuationSeparator/>
      </w:r>
    </w:p>
  </w:footnote>
  <w:footnote w:id="1">
    <w:p w14:paraId="45E3FEBE" w14:textId="339FAE7E" w:rsidR="006F5D5E" w:rsidRPr="00671156" w:rsidRDefault="006F5D5E" w:rsidP="006F5D5E">
      <w:pPr>
        <w:spacing w:after="40"/>
        <w:rPr>
          <w:rFonts w:asciiTheme="majorBidi" w:hAnsiTheme="majorBidi" w:cstheme="majorBidi"/>
          <w:sz w:val="16"/>
          <w:szCs w:val="16"/>
        </w:rPr>
      </w:pPr>
      <w:r w:rsidRPr="00671156">
        <w:rPr>
          <w:rStyle w:val="FootnoteReference"/>
          <w:rFonts w:asciiTheme="majorBidi" w:hAnsiTheme="majorBidi" w:cstheme="majorBidi"/>
          <w:sz w:val="16"/>
          <w:szCs w:val="16"/>
        </w:rPr>
        <w:footnoteRef/>
      </w:r>
      <w:r w:rsidRPr="00671156">
        <w:rPr>
          <w:rFonts w:asciiTheme="majorBidi" w:hAnsiTheme="majorBidi" w:cstheme="majorBidi"/>
          <w:sz w:val="16"/>
          <w:szCs w:val="16"/>
        </w:rPr>
        <w:t xml:space="preserve"> Why not just use </w:t>
      </w:r>
      <w:r w:rsidRPr="00671156">
        <w:rPr>
          <w:rFonts w:asciiTheme="majorBidi" w:eastAsia="Calibri" w:hAnsiTheme="majorBidi" w:cstheme="majorBidi"/>
          <w:sz w:val="16"/>
          <w:szCs w:val="16"/>
        </w:rPr>
        <w:t xml:space="preserve">Section 6166? It merely defers estate tax over 14 years with IRS liens, acceleration triggers, and capital drain. Only ~300 estates with majority business assets paid any estate tax in 2023; 6166 elections are rarer still, and their inadequacy forces families into </w:t>
      </w:r>
      <w:hyperlink r:id="rId1" w:history="1">
        <w:proofErr w:type="spellStart"/>
        <w:r w:rsidRPr="00671156">
          <w:rPr>
            <w:rStyle w:val="Hyperlink"/>
            <w:rFonts w:asciiTheme="majorBidi" w:eastAsia="Calibri" w:hAnsiTheme="majorBidi" w:cstheme="majorBidi"/>
            <w:sz w:val="16"/>
            <w:szCs w:val="16"/>
          </w:rPr>
          <w:t>Graegin</w:t>
        </w:r>
        <w:proofErr w:type="spellEnd"/>
        <w:r w:rsidRPr="00671156">
          <w:rPr>
            <w:rStyle w:val="Hyperlink"/>
            <w:rFonts w:asciiTheme="majorBidi" w:eastAsia="Calibri" w:hAnsiTheme="majorBidi" w:cstheme="majorBidi"/>
            <w:sz w:val="16"/>
            <w:szCs w:val="16"/>
          </w:rPr>
          <w:t xml:space="preserve"> loans</w:t>
        </w:r>
      </w:hyperlink>
      <w:r w:rsidRPr="00671156">
        <w:rPr>
          <w:rFonts w:asciiTheme="majorBidi" w:eastAsia="Calibri" w:hAnsiTheme="majorBidi" w:cstheme="majorBidi"/>
          <w:sz w:val="16"/>
          <w:szCs w:val="16"/>
        </w:rPr>
        <w:t xml:space="preserve"> or forced sales. </w:t>
      </w:r>
      <w:r w:rsidR="00BA2089">
        <w:rPr>
          <w:rFonts w:asciiTheme="majorBidi" w:eastAsia="Calibri" w:hAnsiTheme="majorBidi" w:cstheme="majorBidi"/>
          <w:sz w:val="16"/>
          <w:szCs w:val="16"/>
        </w:rPr>
        <w:t>MERA</w:t>
      </w:r>
      <w:r w:rsidRPr="00671156">
        <w:rPr>
          <w:rFonts w:asciiTheme="majorBidi" w:eastAsia="Calibri" w:hAnsiTheme="majorBidi" w:cstheme="majorBidi"/>
          <w:sz w:val="16"/>
          <w:szCs w:val="16"/>
        </w:rPr>
        <w:t xml:space="preserve"> completes the work Congress started with 6166 by eliminating the estate tax burden on domestic manufacturing transfers up to $250M.</w:t>
      </w:r>
    </w:p>
    <w:p w14:paraId="463C5BDB" w14:textId="56B0878E" w:rsidR="006F5D5E" w:rsidRDefault="006F5D5E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784CD" w14:textId="619699AF" w:rsidR="00C3228A" w:rsidRDefault="00BA2089">
    <w:pPr>
      <w:pStyle w:val="Header"/>
    </w:pPr>
    <w:r>
      <w:t>March</w:t>
    </w:r>
    <w:r w:rsidR="00C3228A">
      <w:t xml:space="preserve"> 12, 2026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E5A507B"/>
    <w:multiLevelType w:val="multilevel"/>
    <w:tmpl w:val="85208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3516D2"/>
    <w:multiLevelType w:val="hybridMultilevel"/>
    <w:tmpl w:val="46E8C9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98682902">
    <w:abstractNumId w:val="8"/>
  </w:num>
  <w:num w:numId="2" w16cid:durableId="674501530">
    <w:abstractNumId w:val="6"/>
  </w:num>
  <w:num w:numId="3" w16cid:durableId="267012386">
    <w:abstractNumId w:val="5"/>
  </w:num>
  <w:num w:numId="4" w16cid:durableId="1121453980">
    <w:abstractNumId w:val="4"/>
  </w:num>
  <w:num w:numId="5" w16cid:durableId="2115055226">
    <w:abstractNumId w:val="7"/>
  </w:num>
  <w:num w:numId="6" w16cid:durableId="2109931586">
    <w:abstractNumId w:val="3"/>
  </w:num>
  <w:num w:numId="7" w16cid:durableId="45574143">
    <w:abstractNumId w:val="2"/>
  </w:num>
  <w:num w:numId="8" w16cid:durableId="1175803144">
    <w:abstractNumId w:val="1"/>
  </w:num>
  <w:num w:numId="9" w16cid:durableId="1228304745">
    <w:abstractNumId w:val="0"/>
  </w:num>
  <w:num w:numId="10" w16cid:durableId="1478304234">
    <w:abstractNumId w:val="9"/>
  </w:num>
  <w:num w:numId="11" w16cid:durableId="2025553406">
    <w:abstractNumId w:val="8"/>
  </w:num>
  <w:num w:numId="12" w16cid:durableId="140491268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18FC"/>
    <w:rsid w:val="000F529B"/>
    <w:rsid w:val="00121675"/>
    <w:rsid w:val="00147EBE"/>
    <w:rsid w:val="0015074B"/>
    <w:rsid w:val="001765E8"/>
    <w:rsid w:val="00292344"/>
    <w:rsid w:val="0029639D"/>
    <w:rsid w:val="002A3F86"/>
    <w:rsid w:val="00326F90"/>
    <w:rsid w:val="0032785A"/>
    <w:rsid w:val="00352BE2"/>
    <w:rsid w:val="00431654"/>
    <w:rsid w:val="0047192A"/>
    <w:rsid w:val="00515C88"/>
    <w:rsid w:val="00525915"/>
    <w:rsid w:val="005262D7"/>
    <w:rsid w:val="0053364D"/>
    <w:rsid w:val="00553680"/>
    <w:rsid w:val="0060498B"/>
    <w:rsid w:val="00671156"/>
    <w:rsid w:val="006F5D5E"/>
    <w:rsid w:val="007170A7"/>
    <w:rsid w:val="00774ED8"/>
    <w:rsid w:val="007A5AC1"/>
    <w:rsid w:val="007B1981"/>
    <w:rsid w:val="00840F47"/>
    <w:rsid w:val="00944C45"/>
    <w:rsid w:val="00981BD4"/>
    <w:rsid w:val="00A72319"/>
    <w:rsid w:val="00AA1D8D"/>
    <w:rsid w:val="00B47730"/>
    <w:rsid w:val="00BA2089"/>
    <w:rsid w:val="00BF4DB1"/>
    <w:rsid w:val="00C3228A"/>
    <w:rsid w:val="00C8585D"/>
    <w:rsid w:val="00CB0664"/>
    <w:rsid w:val="00CF1F89"/>
    <w:rsid w:val="00D27A83"/>
    <w:rsid w:val="00D55B33"/>
    <w:rsid w:val="00D94D81"/>
    <w:rsid w:val="00DC3C6D"/>
    <w:rsid w:val="00DD6777"/>
    <w:rsid w:val="00E5238E"/>
    <w:rsid w:val="00ED4259"/>
    <w:rsid w:val="00EF1CF1"/>
    <w:rsid w:val="00F22812"/>
    <w:rsid w:val="00FC693F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96FFE2"/>
  <w14:defaultImageDpi w14:val="300"/>
  <w15:docId w15:val="{4E96422F-81F3-5142-BE74-4DB9C18C2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7170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70A7"/>
    <w:rPr>
      <w:rFonts w:ascii="Calibri" w:hAnsi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170A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170A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0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278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koleyjessen.com/media/publication/57_NE%20CPA%20Article%20Jan-Feb%202020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451</Words>
  <Characters>2858</Characters>
  <Application>Microsoft Office Word</Application>
  <DocSecurity>0</DocSecurity>
  <Lines>50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Rosenblatt</dc:creator>
  <cp:keywords/>
  <dc:description/>
  <cp:lastModifiedBy>Mark Rosenblatt</cp:lastModifiedBy>
  <cp:revision>3</cp:revision>
  <dcterms:created xsi:type="dcterms:W3CDTF">2026-03-13T00:29:00Z</dcterms:created>
  <dcterms:modified xsi:type="dcterms:W3CDTF">2026-03-13T00:30:00Z</dcterms:modified>
  <cp:category/>
</cp:coreProperties>
</file>