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F4C57B" w14:textId="77777777" w:rsidR="005916FC" w:rsidRPr="005E1E46" w:rsidRDefault="005916FC" w:rsidP="005916FC">
      <w:pPr>
        <w:spacing w:after="60"/>
        <w:jc w:val="center"/>
        <w:rPr>
          <w:color w:val="000000" w:themeColor="text1"/>
          <w:sz w:val="24"/>
          <w:szCs w:val="24"/>
        </w:rPr>
      </w:pPr>
      <w:r>
        <w:rPr>
          <w:rFonts w:ascii="Times New Roman" w:eastAsia="Times New Roman" w:hAnsi="Times New Roman" w:cs="Times New Roman"/>
          <w:b/>
          <w:bCs/>
          <w:color w:val="000000" w:themeColor="text1"/>
          <w:sz w:val="24"/>
          <w:szCs w:val="24"/>
        </w:rPr>
        <w:t>MINA Act</w:t>
      </w:r>
    </w:p>
    <w:p w14:paraId="5048BEB3" w14:textId="77777777" w:rsidR="005916FC" w:rsidRPr="005E1E46" w:rsidRDefault="005916FC" w:rsidP="005916FC">
      <w:pPr>
        <w:spacing w:after="60"/>
        <w:jc w:val="center"/>
        <w:rPr>
          <w:color w:val="000000" w:themeColor="text1"/>
          <w:sz w:val="24"/>
          <w:szCs w:val="24"/>
        </w:rPr>
      </w:pPr>
      <w:r>
        <w:rPr>
          <w:rFonts w:ascii="Times New Roman" w:eastAsia="Times New Roman" w:hAnsi="Times New Roman" w:cs="Times New Roman"/>
          <w:color w:val="000000" w:themeColor="text1"/>
          <w:sz w:val="24"/>
          <w:szCs w:val="24"/>
        </w:rPr>
        <w:t xml:space="preserve">Manufacturing Incentives Now Act: </w:t>
      </w:r>
      <w:r>
        <w:rPr>
          <w:rFonts w:ascii="Times New Roman" w:eastAsia="Times New Roman" w:hAnsi="Times New Roman" w:cs="Times New Roman"/>
          <w:i/>
          <w:iCs/>
          <w:color w:val="000000" w:themeColor="text1"/>
          <w:sz w:val="24"/>
          <w:szCs w:val="24"/>
        </w:rPr>
        <w:t>A Domestic Manufacturing Credit</w:t>
      </w:r>
    </w:p>
    <w:p w14:paraId="11C8A9A7" w14:textId="77777777" w:rsidR="005916FC" w:rsidRPr="005E1E46" w:rsidRDefault="005916FC" w:rsidP="005916FC">
      <w:pPr>
        <w:spacing w:after="200"/>
        <w:jc w:val="center"/>
        <w:rPr>
          <w:color w:val="000000" w:themeColor="text1"/>
          <w:sz w:val="21"/>
          <w:szCs w:val="21"/>
        </w:rPr>
      </w:pPr>
      <w:r>
        <w:rPr>
          <w:rFonts w:ascii="Times New Roman" w:eastAsia="Times New Roman" w:hAnsi="Times New Roman" w:cs="Times New Roman"/>
          <w:i/>
          <w:iCs/>
          <w:color w:val="000000" w:themeColor="text1"/>
          <w:sz w:val="21"/>
          <w:szCs w:val="21"/>
        </w:rPr>
        <w:t>MINA tells manufacturers: for every dollar you spend on American workers, American suppliers, and American factories, you receive 1–6 cents in tax credits</w:t>
      </w:r>
    </w:p>
    <w:p w14:paraId="5A21303A" w14:textId="77777777" w:rsidR="005916FC" w:rsidRDefault="005916FC" w:rsidP="005916FC">
      <w:pPr>
        <w:pStyle w:val="Heading2"/>
        <w:spacing w:before="240" w:after="120"/>
        <w:contextualSpacing/>
        <w:rPr>
          <w:rFonts w:ascii="Times New Roman" w:eastAsia="Times New Roman" w:hAnsi="Times New Roman" w:cs="Times New Roman"/>
          <w:b/>
          <w:bCs/>
          <w:color w:val="000000" w:themeColor="text1"/>
          <w:sz w:val="21"/>
          <w:szCs w:val="21"/>
        </w:rPr>
      </w:pPr>
      <w:r w:rsidRPr="00340597">
        <w:rPr>
          <w:rFonts w:ascii="Times New Roman" w:eastAsia="Times New Roman" w:hAnsi="Times New Roman" w:cs="Times New Roman"/>
          <w:b/>
          <w:bCs/>
          <w:color w:val="000000" w:themeColor="text1"/>
          <w:sz w:val="21"/>
          <w:szCs w:val="21"/>
        </w:rPr>
        <w:t xml:space="preserve">THE PROBLEM: U.S. manufacturing has withered; it is uncompetitive and returns too little to attract investment. Its loss threatens national security in concrete terms: the defense industrial base depends on a healthy commercial manufacturing ecosystem for Tier 2 </w:t>
      </w:r>
      <w:r>
        <w:rPr>
          <w:rFonts w:ascii="Times New Roman" w:eastAsia="Times New Roman" w:hAnsi="Times New Roman" w:cs="Times New Roman"/>
          <w:b/>
          <w:bCs/>
          <w:color w:val="000000" w:themeColor="text1"/>
          <w:sz w:val="21"/>
          <w:szCs w:val="21"/>
        </w:rPr>
        <w:t>through</w:t>
      </w:r>
      <w:r w:rsidRPr="00340597">
        <w:rPr>
          <w:rFonts w:ascii="Times New Roman" w:eastAsia="Times New Roman" w:hAnsi="Times New Roman" w:cs="Times New Roman"/>
          <w:b/>
          <w:bCs/>
          <w:color w:val="000000" w:themeColor="text1"/>
          <w:sz w:val="21"/>
          <w:szCs w:val="21"/>
        </w:rPr>
        <w:t xml:space="preserve"> Tier </w:t>
      </w:r>
      <w:r>
        <w:rPr>
          <w:rFonts w:ascii="Times New Roman" w:eastAsia="Times New Roman" w:hAnsi="Times New Roman" w:cs="Times New Roman"/>
          <w:b/>
          <w:bCs/>
          <w:color w:val="000000" w:themeColor="text1"/>
          <w:sz w:val="21"/>
          <w:szCs w:val="21"/>
        </w:rPr>
        <w:t>n</w:t>
      </w:r>
      <w:r w:rsidRPr="00340597">
        <w:rPr>
          <w:rFonts w:ascii="Times New Roman" w:eastAsia="Times New Roman" w:hAnsi="Times New Roman" w:cs="Times New Roman"/>
          <w:b/>
          <w:bCs/>
          <w:color w:val="000000" w:themeColor="text1"/>
          <w:sz w:val="21"/>
          <w:szCs w:val="21"/>
        </w:rPr>
        <w:t xml:space="preserve"> suppliers</w:t>
      </w:r>
      <w:r>
        <w:rPr>
          <w:rFonts w:ascii="Times New Roman" w:eastAsia="Times New Roman" w:hAnsi="Times New Roman" w:cs="Times New Roman"/>
          <w:b/>
          <w:bCs/>
          <w:color w:val="000000" w:themeColor="text1"/>
          <w:sz w:val="21"/>
          <w:szCs w:val="21"/>
        </w:rPr>
        <w:t xml:space="preserve"> </w:t>
      </w:r>
      <w:r w:rsidRPr="00340597">
        <w:rPr>
          <w:rFonts w:ascii="Times New Roman" w:eastAsia="Times New Roman" w:hAnsi="Times New Roman" w:cs="Times New Roman"/>
          <w:b/>
          <w:bCs/>
          <w:color w:val="000000" w:themeColor="text1"/>
          <w:sz w:val="21"/>
          <w:szCs w:val="21"/>
        </w:rPr>
        <w:t xml:space="preserve">and the skilled workforce that underpins both. A manufacturing base that cannot attract investment cannot surge for war, cannot build the industrial foundation for economic statecraft, and cannot absorb the robotics and AI transition that will define the next generation of production. </w:t>
      </w:r>
    </w:p>
    <w:p w14:paraId="464402A0" w14:textId="77777777" w:rsidR="005916FC" w:rsidRDefault="005916FC" w:rsidP="005916FC">
      <w:pPr>
        <w:pStyle w:val="Heading2"/>
        <w:spacing w:before="240" w:after="120"/>
        <w:contextualSpacing/>
        <w:rPr>
          <w:rFonts w:ascii="Times New Roman" w:eastAsia="Times New Roman" w:hAnsi="Times New Roman" w:cs="Times New Roman"/>
          <w:b/>
          <w:bCs/>
          <w:color w:val="000000" w:themeColor="text1"/>
          <w:sz w:val="21"/>
          <w:szCs w:val="21"/>
        </w:rPr>
      </w:pPr>
    </w:p>
    <w:p w14:paraId="3A25A0FF" w14:textId="77777777" w:rsidR="005916FC" w:rsidRPr="00340597" w:rsidRDefault="005916FC" w:rsidP="005916FC">
      <w:pPr>
        <w:pStyle w:val="Heading2"/>
        <w:spacing w:before="240" w:after="120"/>
        <w:contextualSpacing/>
        <w:rPr>
          <w:color w:val="000000" w:themeColor="text1"/>
          <w:sz w:val="21"/>
          <w:szCs w:val="21"/>
        </w:rPr>
      </w:pPr>
      <w:r w:rsidRPr="00340597">
        <w:rPr>
          <w:rFonts w:ascii="Times New Roman" w:eastAsia="Times New Roman" w:hAnsi="Times New Roman" w:cs="Times New Roman"/>
          <w:b/>
          <w:bCs/>
          <w:color w:val="000000" w:themeColor="text1"/>
          <w:sz w:val="21"/>
          <w:szCs w:val="21"/>
        </w:rPr>
        <w:t>MINA is the foundation layer: it makes the entire NAICS 31–33 manufacturing sector more competitive, benefiting every firm in the defense</w:t>
      </w:r>
      <w:r>
        <w:rPr>
          <w:rFonts w:ascii="Times New Roman" w:eastAsia="Times New Roman" w:hAnsi="Times New Roman" w:cs="Times New Roman"/>
          <w:b/>
          <w:bCs/>
          <w:color w:val="000000" w:themeColor="text1"/>
          <w:sz w:val="21"/>
          <w:szCs w:val="21"/>
        </w:rPr>
        <w:t>, commercial, and</w:t>
      </w:r>
      <w:r w:rsidRPr="00340597">
        <w:rPr>
          <w:rFonts w:ascii="Times New Roman" w:eastAsia="Times New Roman" w:hAnsi="Times New Roman" w:cs="Times New Roman"/>
          <w:b/>
          <w:bCs/>
          <w:color w:val="000000" w:themeColor="text1"/>
          <w:sz w:val="21"/>
          <w:szCs w:val="21"/>
        </w:rPr>
        <w:t xml:space="preserve"> industrial base.</w:t>
      </w:r>
    </w:p>
    <w:p w14:paraId="509E2D8E" w14:textId="77777777" w:rsidR="005916FC" w:rsidRPr="005E1E46" w:rsidRDefault="005916FC" w:rsidP="005916FC">
      <w:pPr>
        <w:pStyle w:val="ListParagraph"/>
        <w:numPr>
          <w:ilvl w:val="0"/>
          <w:numId w:val="15"/>
        </w:numPr>
        <w:spacing w:after="80"/>
        <w:rPr>
          <w:color w:val="000000" w:themeColor="text1"/>
        </w:rPr>
      </w:pPr>
      <w:r>
        <w:rPr>
          <w:rFonts w:ascii="Times New Roman" w:eastAsia="Times New Roman" w:hAnsi="Times New Roman" w:cs="Times New Roman"/>
          <w:color w:val="000000" w:themeColor="text1"/>
        </w:rPr>
        <w:t>Reducing the corporate tax rate sounds like an attractive solution. However, a lower tax rate rewards profit; it does not support manufacturers investing in advanced manufacturing/AI, capacity expansion, new products, or markets, competing against Chinese subsidies, or operating on thin margins.</w:t>
      </w:r>
    </w:p>
    <w:p w14:paraId="5F466F09" w14:textId="77777777" w:rsidR="005916FC" w:rsidRPr="005E1E46" w:rsidRDefault="005916FC" w:rsidP="005916FC">
      <w:pPr>
        <w:pStyle w:val="ListParagraph"/>
        <w:numPr>
          <w:ilvl w:val="0"/>
          <w:numId w:val="15"/>
        </w:numPr>
        <w:spacing w:after="80"/>
        <w:rPr>
          <w:color w:val="000000" w:themeColor="text1"/>
        </w:rPr>
      </w:pPr>
      <w:r>
        <w:rPr>
          <w:rFonts w:ascii="Times New Roman" w:eastAsia="Times New Roman" w:hAnsi="Times New Roman" w:cs="Times New Roman"/>
          <w:color w:val="000000" w:themeColor="text1"/>
        </w:rPr>
        <w:t>Past “manufacturing” incentives (Sec. 199) contained overbroad definitions and financial engineering.</w:t>
      </w:r>
    </w:p>
    <w:p w14:paraId="2C1E8CEE" w14:textId="77777777" w:rsidR="005916FC" w:rsidRPr="005E1E46" w:rsidRDefault="005916FC" w:rsidP="005916FC">
      <w:pPr>
        <w:pStyle w:val="ListParagraph"/>
        <w:numPr>
          <w:ilvl w:val="0"/>
          <w:numId w:val="15"/>
        </w:numPr>
        <w:spacing w:after="80"/>
        <w:rPr>
          <w:color w:val="000000" w:themeColor="text1"/>
        </w:rPr>
      </w:pPr>
      <w:r>
        <w:rPr>
          <w:rFonts w:ascii="Times New Roman" w:eastAsia="Times New Roman" w:hAnsi="Times New Roman" w:cs="Times New Roman"/>
          <w:color w:val="000000" w:themeColor="text1"/>
        </w:rPr>
        <w:t>Pre-profit and scaling manufacturers receive little or no benefit from income-based incentives.</w:t>
      </w:r>
    </w:p>
    <w:p w14:paraId="2B114614" w14:textId="77777777" w:rsidR="005916FC" w:rsidRPr="005E1E46" w:rsidRDefault="005916FC" w:rsidP="005916FC">
      <w:pPr>
        <w:pStyle w:val="Heading2"/>
        <w:spacing w:before="240" w:after="120"/>
        <w:rPr>
          <w:color w:val="000000" w:themeColor="text1"/>
          <w:sz w:val="22"/>
          <w:szCs w:val="22"/>
        </w:rPr>
      </w:pPr>
      <w:r>
        <w:rPr>
          <w:rFonts w:ascii="Times New Roman" w:eastAsia="Times New Roman" w:hAnsi="Times New Roman" w:cs="Times New Roman"/>
          <w:b/>
          <w:bCs/>
          <w:color w:val="000000" w:themeColor="text1"/>
          <w:sz w:val="22"/>
          <w:szCs w:val="22"/>
        </w:rPr>
        <w:t>WHAT MINA DOES</w:t>
      </w:r>
    </w:p>
    <w:p w14:paraId="50BA28E8" w14:textId="77777777" w:rsidR="005916FC" w:rsidRPr="005E1E46" w:rsidRDefault="005916FC" w:rsidP="005916FC">
      <w:pPr>
        <w:pStyle w:val="ListParagraph"/>
        <w:numPr>
          <w:ilvl w:val="0"/>
          <w:numId w:val="16"/>
        </w:numPr>
        <w:spacing w:after="80"/>
        <w:rPr>
          <w:color w:val="000000" w:themeColor="text1"/>
        </w:rPr>
      </w:pPr>
      <w:r>
        <w:rPr>
          <w:rFonts w:ascii="Times New Roman" w:eastAsia="Times New Roman" w:hAnsi="Times New Roman" w:cs="Times New Roman"/>
          <w:color w:val="000000" w:themeColor="text1"/>
        </w:rPr>
        <w:t>Creates a transferable tax credit scaled to Domestic Value-Added (DVA) costs, not taxable income</w:t>
      </w:r>
    </w:p>
    <w:p w14:paraId="10C03C9A" w14:textId="77777777" w:rsidR="005916FC" w:rsidRPr="005E1E46" w:rsidRDefault="005916FC" w:rsidP="005916FC">
      <w:pPr>
        <w:pStyle w:val="ListParagraph"/>
        <w:numPr>
          <w:ilvl w:val="0"/>
          <w:numId w:val="16"/>
        </w:numPr>
        <w:spacing w:after="80"/>
        <w:rPr>
          <w:color w:val="000000" w:themeColor="text1"/>
        </w:rPr>
      </w:pPr>
      <w:r>
        <w:rPr>
          <w:rFonts w:ascii="Times New Roman" w:eastAsia="Times New Roman" w:hAnsi="Times New Roman" w:cs="Times New Roman"/>
          <w:color w:val="000000" w:themeColor="text1"/>
        </w:rPr>
        <w:t xml:space="preserve">Universal participation: every NAICS 31–33 manufacturer has a reason to elect and incentives to increase domestic content. </w:t>
      </w:r>
    </w:p>
    <w:p w14:paraId="39E19E23" w14:textId="77777777" w:rsidR="005916FC" w:rsidRPr="005E1E46" w:rsidRDefault="005916FC" w:rsidP="005916FC">
      <w:pPr>
        <w:pStyle w:val="ListParagraph"/>
        <w:numPr>
          <w:ilvl w:val="0"/>
          <w:numId w:val="16"/>
        </w:numPr>
        <w:spacing w:after="80"/>
        <w:rPr>
          <w:color w:val="000000" w:themeColor="text1"/>
        </w:rPr>
      </w:pPr>
      <w:r>
        <w:rPr>
          <w:rFonts w:ascii="Times New Roman" w:eastAsia="Times New Roman" w:hAnsi="Times New Roman" w:cs="Times New Roman"/>
          <w:b/>
          <w:bCs/>
          <w:color w:val="000000" w:themeColor="text1"/>
        </w:rPr>
        <w:t>Base credit rate: 5%</w:t>
      </w:r>
      <w:r>
        <w:rPr>
          <w:rFonts w:ascii="Times New Roman" w:eastAsia="Times New Roman" w:hAnsi="Times New Roman" w:cs="Times New Roman"/>
          <w:color w:val="000000" w:themeColor="text1"/>
        </w:rPr>
        <w:t xml:space="preserve"> of qualified DVA costs for all electors. </w:t>
      </w:r>
      <w:r>
        <w:rPr>
          <w:rFonts w:ascii="Times New Roman" w:eastAsia="Times New Roman" w:hAnsi="Times New Roman" w:cs="Times New Roman"/>
          <w:b/>
          <w:bCs/>
          <w:color w:val="000000" w:themeColor="text1"/>
        </w:rPr>
        <w:t>Bonus rate: 6%</w:t>
      </w:r>
      <w:r>
        <w:rPr>
          <w:rFonts w:ascii="Times New Roman" w:eastAsia="Times New Roman" w:hAnsi="Times New Roman" w:cs="Times New Roman"/>
          <w:color w:val="000000" w:themeColor="text1"/>
        </w:rPr>
        <w:t xml:space="preserve"> for qualified reinvestment electors who meet any one of three capital allocation tests (see bill for details)</w:t>
      </w:r>
    </w:p>
    <w:p w14:paraId="1F7C756A" w14:textId="77777777" w:rsidR="005916FC" w:rsidRPr="005E1E46" w:rsidRDefault="005916FC" w:rsidP="005916FC">
      <w:pPr>
        <w:pStyle w:val="ListParagraph"/>
        <w:numPr>
          <w:ilvl w:val="0"/>
          <w:numId w:val="16"/>
        </w:numPr>
        <w:spacing w:after="80"/>
        <w:rPr>
          <w:color w:val="000000" w:themeColor="text1"/>
        </w:rPr>
      </w:pPr>
      <w:r>
        <w:rPr>
          <w:rFonts w:ascii="Times New Roman" w:eastAsia="Times New Roman" w:hAnsi="Times New Roman" w:cs="Times New Roman"/>
          <w:b/>
          <w:bCs/>
          <w:color w:val="000000" w:themeColor="text1"/>
        </w:rPr>
        <w:t>Transferability uses Section 6418</w:t>
      </w:r>
      <w:r>
        <w:rPr>
          <w:rFonts w:ascii="Times New Roman" w:eastAsia="Times New Roman" w:hAnsi="Times New Roman" w:cs="Times New Roman"/>
          <w:color w:val="000000" w:themeColor="text1"/>
        </w:rPr>
        <w:t xml:space="preserve"> of the IRC (the IRA’s proven credit transfer framework), plugging into existing IRS registration, anti-fraud, and partnership rules</w:t>
      </w:r>
    </w:p>
    <w:p w14:paraId="04B12F0A" w14:textId="77777777" w:rsidR="005916FC" w:rsidRPr="005E1E46" w:rsidRDefault="005916FC" w:rsidP="005916FC">
      <w:pPr>
        <w:pStyle w:val="ListParagraph"/>
        <w:numPr>
          <w:ilvl w:val="0"/>
          <w:numId w:val="16"/>
        </w:numPr>
        <w:spacing w:after="80"/>
        <w:rPr>
          <w:color w:val="000000" w:themeColor="text1"/>
        </w:rPr>
      </w:pPr>
      <w:r>
        <w:rPr>
          <w:rFonts w:ascii="Times New Roman" w:eastAsia="Times New Roman" w:hAnsi="Times New Roman" w:cs="Times New Roman"/>
          <w:b/>
          <w:bCs/>
          <w:color w:val="000000" w:themeColor="text1"/>
        </w:rPr>
        <w:t>Built-in sunset:</w:t>
      </w:r>
      <w:r>
        <w:rPr>
          <w:rFonts w:ascii="Times New Roman" w:eastAsia="Times New Roman" w:hAnsi="Times New Roman" w:cs="Times New Roman"/>
          <w:color w:val="000000" w:themeColor="text1"/>
        </w:rPr>
        <w:t xml:space="preserve"> 10-year full credits, then 7-year linear phase-out. Not a permanent entitlement.</w:t>
      </w:r>
    </w:p>
    <w:p w14:paraId="1C6649B5" w14:textId="77777777" w:rsidR="005916FC" w:rsidRPr="005E1E46" w:rsidRDefault="005916FC" w:rsidP="005916FC">
      <w:pPr>
        <w:pStyle w:val="Heading2"/>
        <w:spacing w:before="240" w:after="120"/>
        <w:rPr>
          <w:color w:val="000000" w:themeColor="text1"/>
          <w:sz w:val="22"/>
          <w:szCs w:val="22"/>
        </w:rPr>
      </w:pPr>
      <w:r>
        <w:rPr>
          <w:rFonts w:ascii="Times New Roman" w:eastAsia="Times New Roman" w:hAnsi="Times New Roman" w:cs="Times New Roman"/>
          <w:b/>
          <w:bCs/>
          <w:color w:val="000000" w:themeColor="text1"/>
          <w:sz w:val="22"/>
          <w:szCs w:val="22"/>
        </w:rPr>
        <w:t>HOW IT WORKS</w:t>
      </w:r>
    </w:p>
    <w:p w14:paraId="1B266BA3" w14:textId="77777777" w:rsidR="005916FC" w:rsidRPr="005E1E46" w:rsidRDefault="005916FC" w:rsidP="005916FC">
      <w:pPr>
        <w:spacing w:before="120" w:after="60"/>
        <w:jc w:val="center"/>
        <w:rPr>
          <w:color w:val="000000" w:themeColor="text1"/>
        </w:rPr>
      </w:pPr>
      <w:r>
        <w:rPr>
          <w:rFonts w:ascii="Times New Roman" w:eastAsia="Times New Roman" w:hAnsi="Times New Roman" w:cs="Times New Roman"/>
          <w:b/>
          <w:bCs/>
          <w:color w:val="000000" w:themeColor="text1"/>
        </w:rPr>
        <w:t>Credit = 5% (or 6% for reinvestment electors) × DVA Scaling Fraction × DVA Costs</w:t>
      </w:r>
    </w:p>
    <w:p w14:paraId="2BFC1F9D" w14:textId="77777777" w:rsidR="005916FC" w:rsidRPr="005E1E46" w:rsidRDefault="005916FC" w:rsidP="005916FC">
      <w:pPr>
        <w:pStyle w:val="ListParagraph"/>
        <w:numPr>
          <w:ilvl w:val="0"/>
          <w:numId w:val="17"/>
        </w:numPr>
        <w:spacing w:after="80"/>
        <w:rPr>
          <w:color w:val="000000" w:themeColor="text1"/>
        </w:rPr>
      </w:pPr>
      <w:r>
        <w:rPr>
          <w:rFonts w:ascii="Times New Roman" w:eastAsia="Times New Roman" w:hAnsi="Times New Roman" w:cs="Times New Roman"/>
          <w:b/>
          <w:bCs/>
          <w:color w:val="000000" w:themeColor="text1"/>
        </w:rPr>
        <w:t>DVA Costs</w:t>
      </w:r>
      <w:r>
        <w:rPr>
          <w:rFonts w:ascii="Times New Roman" w:eastAsia="Times New Roman" w:hAnsi="Times New Roman" w:cs="Times New Roman"/>
          <w:color w:val="000000" w:themeColor="text1"/>
        </w:rPr>
        <w:t xml:space="preserve"> = Domestic labor + materials + straight-line depreciation (economic life, not §168(k)) + R&amp;D + overhead</w:t>
      </w:r>
    </w:p>
    <w:p w14:paraId="025583E2" w14:textId="77777777" w:rsidR="005916FC" w:rsidRPr="005E1E46" w:rsidRDefault="005916FC" w:rsidP="005916FC">
      <w:pPr>
        <w:pStyle w:val="ListParagraph"/>
        <w:numPr>
          <w:ilvl w:val="0"/>
          <w:numId w:val="17"/>
        </w:numPr>
        <w:spacing w:after="80"/>
        <w:rPr>
          <w:color w:val="000000" w:themeColor="text1"/>
        </w:rPr>
      </w:pPr>
      <w:r>
        <w:rPr>
          <w:rFonts w:ascii="Times New Roman" w:eastAsia="Times New Roman" w:hAnsi="Times New Roman" w:cs="Times New Roman"/>
          <w:b/>
          <w:bCs/>
          <w:color w:val="000000" w:themeColor="text1"/>
        </w:rPr>
        <w:t>DVA Scaling Fraction:</w:t>
      </w:r>
      <w:r>
        <w:rPr>
          <w:rFonts w:ascii="Times New Roman" w:eastAsia="Times New Roman" w:hAnsi="Times New Roman" w:cs="Times New Roman"/>
          <w:color w:val="000000" w:themeColor="text1"/>
        </w:rPr>
        <w:t xml:space="preserve"> Scales linearly from 20% (at ≤20% DVA) to 100% (at 80%+ DVA), so the full 5%/6% rate is reached at 80% domestic content. </w:t>
      </w:r>
    </w:p>
    <w:p w14:paraId="25B13145" w14:textId="77777777" w:rsidR="005916FC" w:rsidRPr="005E1E46" w:rsidRDefault="005916FC" w:rsidP="005916FC">
      <w:pPr>
        <w:pStyle w:val="Heading2"/>
        <w:spacing w:before="240" w:after="120"/>
        <w:rPr>
          <w:color w:val="000000" w:themeColor="text1"/>
          <w:sz w:val="22"/>
          <w:szCs w:val="22"/>
        </w:rPr>
      </w:pPr>
      <w:r>
        <w:rPr>
          <w:rFonts w:ascii="Times New Roman" w:eastAsia="Times New Roman" w:hAnsi="Times New Roman" w:cs="Times New Roman"/>
          <w:b/>
          <w:bCs/>
          <w:color w:val="000000" w:themeColor="text1"/>
          <w:sz w:val="22"/>
          <w:szCs w:val="22"/>
        </w:rPr>
        <w:t>KEY INNOVATION: TRANSFERABILITY VIA SECTION 6418</w:t>
      </w:r>
    </w:p>
    <w:p w14:paraId="19BBF871" w14:textId="77777777" w:rsidR="005916FC" w:rsidRPr="005E1E46" w:rsidRDefault="005916FC" w:rsidP="005916FC">
      <w:pPr>
        <w:pStyle w:val="ListParagraph"/>
        <w:numPr>
          <w:ilvl w:val="0"/>
          <w:numId w:val="18"/>
        </w:numPr>
        <w:spacing w:after="80"/>
        <w:rPr>
          <w:color w:val="000000" w:themeColor="text1"/>
        </w:rPr>
      </w:pPr>
      <w:r>
        <w:rPr>
          <w:rFonts w:ascii="Times New Roman" w:eastAsia="Times New Roman" w:hAnsi="Times New Roman" w:cs="Times New Roman"/>
          <w:b/>
          <w:bCs/>
          <w:color w:val="000000" w:themeColor="text1"/>
        </w:rPr>
        <w:t>Credit Generators:</w:t>
      </w:r>
      <w:r>
        <w:rPr>
          <w:rFonts w:ascii="Times New Roman" w:eastAsia="Times New Roman" w:hAnsi="Times New Roman" w:cs="Times New Roman"/>
          <w:color w:val="000000" w:themeColor="text1"/>
        </w:rPr>
        <w:t xml:space="preserve"> High-DVA, low-profit manufacturers generate credits they cannot use directly</w:t>
      </w:r>
    </w:p>
    <w:p w14:paraId="5B36BF65" w14:textId="77777777" w:rsidR="005916FC" w:rsidRPr="005E1E46" w:rsidRDefault="005916FC" w:rsidP="005916FC">
      <w:pPr>
        <w:pStyle w:val="ListParagraph"/>
        <w:numPr>
          <w:ilvl w:val="0"/>
          <w:numId w:val="18"/>
        </w:numPr>
        <w:spacing w:after="80"/>
        <w:rPr>
          <w:color w:val="000000" w:themeColor="text1"/>
        </w:rPr>
      </w:pPr>
      <w:r>
        <w:rPr>
          <w:rFonts w:ascii="Times New Roman" w:eastAsia="Times New Roman" w:hAnsi="Times New Roman" w:cs="Times New Roman"/>
          <w:b/>
          <w:bCs/>
          <w:color w:val="000000" w:themeColor="text1"/>
        </w:rPr>
        <w:t>Credit Buyers:</w:t>
      </w:r>
      <w:r>
        <w:rPr>
          <w:rFonts w:ascii="Times New Roman" w:eastAsia="Times New Roman" w:hAnsi="Times New Roman" w:cs="Times New Roman"/>
          <w:color w:val="000000" w:themeColor="text1"/>
        </w:rPr>
        <w:t xml:space="preserve"> Must be qualified domestic manufacturers (DVA ≥ 40%)</w:t>
      </w:r>
    </w:p>
    <w:p w14:paraId="5E59764F" w14:textId="77777777" w:rsidR="005916FC" w:rsidRPr="005E1E46" w:rsidRDefault="005916FC" w:rsidP="005916FC">
      <w:pPr>
        <w:pStyle w:val="ListParagraph"/>
        <w:numPr>
          <w:ilvl w:val="0"/>
          <w:numId w:val="18"/>
        </w:numPr>
        <w:spacing w:after="80"/>
        <w:rPr>
          <w:color w:val="000000" w:themeColor="text1"/>
        </w:rPr>
      </w:pPr>
      <w:r>
        <w:rPr>
          <w:rFonts w:ascii="Times New Roman" w:eastAsia="Times New Roman" w:hAnsi="Times New Roman" w:cs="Times New Roman"/>
          <w:b/>
          <w:bCs/>
          <w:color w:val="000000" w:themeColor="text1"/>
        </w:rPr>
        <w:t>Market Price:</w:t>
      </w:r>
      <w:r>
        <w:rPr>
          <w:rFonts w:ascii="Times New Roman" w:eastAsia="Times New Roman" w:hAnsi="Times New Roman" w:cs="Times New Roman"/>
          <w:color w:val="000000" w:themeColor="text1"/>
        </w:rPr>
        <w:t xml:space="preserve"> Expected 90-95% of face value (consistent with IRA credit market pricing)</w:t>
      </w:r>
    </w:p>
    <w:p w14:paraId="291C8EC4" w14:textId="77777777" w:rsidR="005916FC" w:rsidRPr="005E1E46" w:rsidRDefault="005916FC" w:rsidP="005916FC">
      <w:pPr>
        <w:pStyle w:val="Heading2"/>
        <w:spacing w:before="240" w:after="120"/>
        <w:rPr>
          <w:color w:val="000000" w:themeColor="text1"/>
          <w:sz w:val="22"/>
          <w:szCs w:val="22"/>
        </w:rPr>
      </w:pPr>
      <w:r>
        <w:rPr>
          <w:rFonts w:ascii="Times New Roman" w:eastAsia="Times New Roman" w:hAnsi="Times New Roman" w:cs="Times New Roman"/>
          <w:b/>
          <w:bCs/>
          <w:color w:val="000000" w:themeColor="text1"/>
          <w:sz w:val="22"/>
          <w:szCs w:val="22"/>
        </w:rPr>
        <w:t>GUARDRAILS AND REINVESTMENT INCENTIVES</w:t>
      </w:r>
    </w:p>
    <w:p w14:paraId="479DB56B" w14:textId="77777777" w:rsidR="005916FC" w:rsidRPr="005E1E46" w:rsidRDefault="005916FC" w:rsidP="005916FC">
      <w:pPr>
        <w:pStyle w:val="ListParagraph"/>
        <w:numPr>
          <w:ilvl w:val="0"/>
          <w:numId w:val="19"/>
        </w:numPr>
        <w:spacing w:after="8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Equity Distribution Surcharge: 2% (publicly traded) / 3% (privately held and PE-owned) excise on covered equity distributions by all MISA electors — dividends, buybacks, redemptions, and equity cash-outs of any kind. Safe harbor for distributions up to average annual net income (3-year period) and bona fide arm’s-length debt service. De minimis: does not apply if aggregate credits &lt; $500K.</w:t>
      </w:r>
    </w:p>
    <w:p w14:paraId="084596E7" w14:textId="77777777" w:rsidR="005916FC" w:rsidRPr="005E1E46" w:rsidRDefault="005916FC" w:rsidP="005916FC">
      <w:pPr>
        <w:pStyle w:val="ListParagraph"/>
        <w:numPr>
          <w:ilvl w:val="0"/>
          <w:numId w:val="19"/>
        </w:numPr>
        <w:spacing w:after="8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Enhanced Disclosure: MINA electors file Form 8937-M annually, reporting buybacks, distributions, domestic capex, capex/revenue ratios, and reinvestment elector qualification status.</w:t>
      </w:r>
    </w:p>
    <w:p w14:paraId="70BAC4E7" w14:textId="77777777" w:rsidR="005916FC" w:rsidRPr="005E1E46" w:rsidRDefault="005916FC" w:rsidP="005916FC">
      <w:pPr>
        <w:pStyle w:val="ListParagraph"/>
        <w:numPr>
          <w:ilvl w:val="0"/>
          <w:numId w:val="19"/>
        </w:numPr>
        <w:spacing w:after="80"/>
        <w:rPr>
          <w:color w:val="000000" w:themeColor="text1"/>
        </w:rPr>
      </w:pPr>
      <w:r>
        <w:rPr>
          <w:rFonts w:ascii="Times New Roman" w:eastAsia="Times New Roman" w:hAnsi="Times New Roman" w:cs="Times New Roman"/>
          <w:color w:val="000000" w:themeColor="text1"/>
        </w:rPr>
        <w:t xml:space="preserve">Offshoring recapture: 3-year aggregate recapture if production moves offshore. </w:t>
      </w:r>
    </w:p>
    <w:p w14:paraId="4820B978" w14:textId="77777777" w:rsidR="005916FC" w:rsidRPr="005E1E46" w:rsidRDefault="005916FC" w:rsidP="005916FC">
      <w:pPr>
        <w:pStyle w:val="ListParagraph"/>
        <w:numPr>
          <w:ilvl w:val="0"/>
          <w:numId w:val="19"/>
        </w:numPr>
        <w:spacing w:after="80"/>
        <w:rPr>
          <w:color w:val="000000" w:themeColor="text1"/>
        </w:rPr>
      </w:pPr>
      <w:r>
        <w:rPr>
          <w:rFonts w:ascii="Times New Roman" w:eastAsia="Times New Roman" w:hAnsi="Times New Roman" w:cs="Times New Roman"/>
          <w:color w:val="000000" w:themeColor="text1"/>
        </w:rPr>
        <w:t>DVA depreciation at straight-line/economic life, not §168(k) bonus or §179 (prevents OBBBA distortion)</w:t>
      </w:r>
    </w:p>
    <w:p w14:paraId="2A780B7C" w14:textId="77777777" w:rsidR="005916FC" w:rsidRPr="00340597" w:rsidRDefault="005916FC" w:rsidP="005916FC">
      <w:pPr>
        <w:pStyle w:val="Heading2"/>
        <w:spacing w:before="240" w:after="120"/>
        <w:contextualSpacing/>
        <w:rPr>
          <w:color w:val="000000" w:themeColor="text1"/>
          <w:sz w:val="20"/>
          <w:szCs w:val="20"/>
        </w:rPr>
      </w:pPr>
      <w:r w:rsidRPr="00340597">
        <w:rPr>
          <w:rFonts w:ascii="Times New Roman" w:eastAsia="Times New Roman" w:hAnsi="Times New Roman" w:cs="Times New Roman"/>
          <w:b/>
          <w:bCs/>
          <w:color w:val="000000" w:themeColor="text1"/>
          <w:sz w:val="20"/>
          <w:szCs w:val="20"/>
        </w:rPr>
        <w:t xml:space="preserve">MEETING REQUEST (20–30 MINUTES): </w:t>
      </w:r>
      <w:r w:rsidRPr="00340597">
        <w:rPr>
          <w:rFonts w:ascii="Times New Roman" w:eastAsia="Times New Roman" w:hAnsi="Times New Roman" w:cs="Times New Roman"/>
          <w:color w:val="000000" w:themeColor="text1"/>
          <w:sz w:val="20"/>
          <w:szCs w:val="20"/>
        </w:rPr>
        <w:t xml:space="preserve">We would like to brief your office on a targeted tax credit that rewards real domestic manufacturing value added (not final assembly), strengthens defense, commercial, and industrial </w:t>
      </w:r>
      <w:proofErr w:type="spellStart"/>
      <w:r w:rsidRPr="00340597">
        <w:rPr>
          <w:rFonts w:ascii="Times New Roman" w:eastAsia="Times New Roman" w:hAnsi="Times New Roman" w:cs="Times New Roman"/>
          <w:color w:val="000000" w:themeColor="text1"/>
          <w:sz w:val="20"/>
          <w:szCs w:val="20"/>
        </w:rPr>
        <w:t>suppy</w:t>
      </w:r>
      <w:proofErr w:type="spellEnd"/>
      <w:r w:rsidRPr="00340597">
        <w:rPr>
          <w:rFonts w:ascii="Times New Roman" w:eastAsia="Times New Roman" w:hAnsi="Times New Roman" w:cs="Times New Roman"/>
          <w:color w:val="000000" w:themeColor="text1"/>
          <w:sz w:val="20"/>
          <w:szCs w:val="20"/>
        </w:rPr>
        <w:t xml:space="preserve"> chains, includes a sunset, and has guardrails against offshoring and unproductive capital allocation.</w:t>
      </w:r>
    </w:p>
    <w:p w14:paraId="79962E5A" w14:textId="0412960B" w:rsidR="00A808A2" w:rsidRPr="005916FC" w:rsidRDefault="005916FC" w:rsidP="005916FC">
      <w:pPr>
        <w:spacing w:before="200"/>
      </w:pPr>
      <w:r w:rsidRPr="00340597">
        <w:rPr>
          <w:rFonts w:ascii="Times New Roman" w:eastAsia="Times New Roman" w:hAnsi="Times New Roman" w:cs="Times New Roman"/>
          <w:b/>
          <w:bCs/>
          <w:color w:val="000000" w:themeColor="text1"/>
          <w:sz w:val="20"/>
          <w:szCs w:val="20"/>
        </w:rPr>
        <w:t xml:space="preserve">CONTACT: </w:t>
      </w:r>
      <w:r w:rsidRPr="00340597">
        <w:rPr>
          <w:rFonts w:ascii="Times New Roman" w:eastAsia="Times New Roman" w:hAnsi="Times New Roman" w:cs="Times New Roman"/>
          <w:color w:val="000000" w:themeColor="text1"/>
          <w:sz w:val="20"/>
          <w:szCs w:val="20"/>
        </w:rPr>
        <w:t>Mark Rosenblatt, Rationalwave, mr@rationalwave.com, 914-584-5400</w:t>
      </w:r>
    </w:p>
    <w:sectPr w:rsidR="00A808A2" w:rsidRPr="005916FC" w:rsidSect="00874B95">
      <w:headerReference w:type="default" r:id="rId7"/>
      <w:pgSz w:w="12240" w:h="15840"/>
      <w:pgMar w:top="396" w:right="1080" w:bottom="171" w:left="1080" w:header="230"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B56A4A" w14:textId="77777777" w:rsidR="007E539B" w:rsidRDefault="007E539B">
      <w:r>
        <w:separator/>
      </w:r>
    </w:p>
  </w:endnote>
  <w:endnote w:type="continuationSeparator" w:id="0">
    <w:p w14:paraId="669CE453" w14:textId="77777777" w:rsidR="007E539B" w:rsidRDefault="007E53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349609" w14:textId="77777777" w:rsidR="007E539B" w:rsidRDefault="007E539B">
      <w:r>
        <w:separator/>
      </w:r>
    </w:p>
  </w:footnote>
  <w:footnote w:type="continuationSeparator" w:id="0">
    <w:p w14:paraId="6A37C0CE" w14:textId="77777777" w:rsidR="007E539B" w:rsidRDefault="007E53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1C900D" w14:textId="04199B41" w:rsidR="003534C2" w:rsidRPr="003534C2" w:rsidRDefault="0079236C">
    <w:pPr>
      <w:pStyle w:val="Header"/>
      <w:rPr>
        <w:sz w:val="18"/>
        <w:szCs w:val="18"/>
      </w:rPr>
    </w:pPr>
    <w:r>
      <w:rPr>
        <w:sz w:val="18"/>
        <w:szCs w:val="18"/>
      </w:rPr>
      <w:t xml:space="preserve">March </w:t>
    </w:r>
    <w:r w:rsidR="005916FC">
      <w:rPr>
        <w:sz w:val="18"/>
        <w:szCs w:val="18"/>
      </w:rPr>
      <w:t>13</w:t>
    </w:r>
    <w:r w:rsidR="00142194">
      <w:rPr>
        <w:sz w:val="18"/>
        <w:szCs w:val="18"/>
      </w:rPr>
      <w:t xml:space="preserve">, </w:t>
    </w:r>
    <w:r w:rsidR="003534C2" w:rsidRPr="003534C2">
      <w:rPr>
        <w:sz w:val="18"/>
        <w:szCs w:val="18"/>
      </w:rPr>
      <w:t>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AB2C73"/>
    <w:multiLevelType w:val="hybridMultilevel"/>
    <w:tmpl w:val="C0C00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AD3C29"/>
    <w:multiLevelType w:val="hybridMultilevel"/>
    <w:tmpl w:val="58E00C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671365"/>
    <w:multiLevelType w:val="hybridMultilevel"/>
    <w:tmpl w:val="8676CE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6F408FD"/>
    <w:multiLevelType w:val="hybridMultilevel"/>
    <w:tmpl w:val="E2C672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F992E45"/>
    <w:multiLevelType w:val="hybridMultilevel"/>
    <w:tmpl w:val="B3122C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30044F3"/>
    <w:multiLevelType w:val="hybridMultilevel"/>
    <w:tmpl w:val="75C8F2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C52592D"/>
    <w:multiLevelType w:val="hybridMultilevel"/>
    <w:tmpl w:val="D1D8DF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E632B6F"/>
    <w:multiLevelType w:val="hybridMultilevel"/>
    <w:tmpl w:val="D9C4C9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41ED6576"/>
    <w:multiLevelType w:val="hybridMultilevel"/>
    <w:tmpl w:val="7CC2A7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4A5C5F96"/>
    <w:multiLevelType w:val="hybridMultilevel"/>
    <w:tmpl w:val="9ADC89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4B745D2C"/>
    <w:multiLevelType w:val="hybridMultilevel"/>
    <w:tmpl w:val="408813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D3954A5"/>
    <w:multiLevelType w:val="hybridMultilevel"/>
    <w:tmpl w:val="1C461716"/>
    <w:lvl w:ilvl="0" w:tplc="96E2CEEC">
      <w:start w:val="1"/>
      <w:numFmt w:val="bullet"/>
      <w:lvlText w:val="•"/>
      <w:lvlJc w:val="left"/>
      <w:pPr>
        <w:ind w:left="360" w:hanging="360"/>
      </w:p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516B36E1"/>
    <w:multiLevelType w:val="hybridMultilevel"/>
    <w:tmpl w:val="2AE2A5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E90738D"/>
    <w:multiLevelType w:val="hybridMultilevel"/>
    <w:tmpl w:val="572A6A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8166E7"/>
    <w:multiLevelType w:val="hybridMultilevel"/>
    <w:tmpl w:val="D50E3BF4"/>
    <w:lvl w:ilvl="0" w:tplc="96E2CEEC">
      <w:start w:val="1"/>
      <w:numFmt w:val="bullet"/>
      <w:lvlText w:val="•"/>
      <w:lvlJc w:val="left"/>
      <w:pPr>
        <w:ind w:left="360" w:hanging="360"/>
      </w:p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5" w15:restartNumberingAfterBreak="0">
    <w:nsid w:val="6CB2324C"/>
    <w:multiLevelType w:val="hybridMultilevel"/>
    <w:tmpl w:val="A38A6970"/>
    <w:lvl w:ilvl="0" w:tplc="5BB48C80">
      <w:start w:val="1"/>
      <w:numFmt w:val="bullet"/>
      <w:lvlText w:val="•"/>
      <w:lvlJc w:val="left"/>
      <w:pPr>
        <w:ind w:left="720" w:hanging="360"/>
      </w:pPr>
    </w:lvl>
    <w:lvl w:ilvl="1" w:tplc="86607562">
      <w:numFmt w:val="decimal"/>
      <w:lvlText w:val=""/>
      <w:lvlJc w:val="left"/>
    </w:lvl>
    <w:lvl w:ilvl="2" w:tplc="D64CA96E">
      <w:numFmt w:val="decimal"/>
      <w:lvlText w:val=""/>
      <w:lvlJc w:val="left"/>
    </w:lvl>
    <w:lvl w:ilvl="3" w:tplc="6FDA73EE">
      <w:numFmt w:val="decimal"/>
      <w:lvlText w:val=""/>
      <w:lvlJc w:val="left"/>
    </w:lvl>
    <w:lvl w:ilvl="4" w:tplc="CD804932">
      <w:numFmt w:val="decimal"/>
      <w:lvlText w:val=""/>
      <w:lvlJc w:val="left"/>
    </w:lvl>
    <w:lvl w:ilvl="5" w:tplc="7382A03A">
      <w:numFmt w:val="decimal"/>
      <w:lvlText w:val=""/>
      <w:lvlJc w:val="left"/>
    </w:lvl>
    <w:lvl w:ilvl="6" w:tplc="60F071D0">
      <w:numFmt w:val="decimal"/>
      <w:lvlText w:val=""/>
      <w:lvlJc w:val="left"/>
    </w:lvl>
    <w:lvl w:ilvl="7" w:tplc="C80E5E62">
      <w:numFmt w:val="decimal"/>
      <w:lvlText w:val=""/>
      <w:lvlJc w:val="left"/>
    </w:lvl>
    <w:lvl w:ilvl="8" w:tplc="41A2482C">
      <w:numFmt w:val="decimal"/>
      <w:lvlText w:val=""/>
      <w:lvlJc w:val="left"/>
    </w:lvl>
  </w:abstractNum>
  <w:abstractNum w:abstractNumId="16" w15:restartNumberingAfterBreak="0">
    <w:nsid w:val="74DE4520"/>
    <w:multiLevelType w:val="hybridMultilevel"/>
    <w:tmpl w:val="22161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78D2F34"/>
    <w:multiLevelType w:val="hybridMultilevel"/>
    <w:tmpl w:val="3F0ABB58"/>
    <w:lvl w:ilvl="0" w:tplc="C0D07A42">
      <w:start w:val="1"/>
      <w:numFmt w:val="bullet"/>
      <w:lvlText w:val="•"/>
      <w:lvlJc w:val="left"/>
      <w:pPr>
        <w:ind w:left="360" w:hanging="360"/>
      </w:pPr>
    </w:lvl>
    <w:lvl w:ilvl="1" w:tplc="9F5AEC82">
      <w:numFmt w:val="decimal"/>
      <w:lvlText w:val=""/>
      <w:lvlJc w:val="left"/>
    </w:lvl>
    <w:lvl w:ilvl="2" w:tplc="CC127FF8">
      <w:numFmt w:val="decimal"/>
      <w:lvlText w:val=""/>
      <w:lvlJc w:val="left"/>
    </w:lvl>
    <w:lvl w:ilvl="3" w:tplc="F1EEF864">
      <w:numFmt w:val="decimal"/>
      <w:lvlText w:val=""/>
      <w:lvlJc w:val="left"/>
    </w:lvl>
    <w:lvl w:ilvl="4" w:tplc="9F5E49FC">
      <w:numFmt w:val="decimal"/>
      <w:lvlText w:val=""/>
      <w:lvlJc w:val="left"/>
    </w:lvl>
    <w:lvl w:ilvl="5" w:tplc="B9C676EC">
      <w:numFmt w:val="decimal"/>
      <w:lvlText w:val=""/>
      <w:lvlJc w:val="left"/>
    </w:lvl>
    <w:lvl w:ilvl="6" w:tplc="AB3A62A2">
      <w:numFmt w:val="decimal"/>
      <w:lvlText w:val=""/>
      <w:lvlJc w:val="left"/>
    </w:lvl>
    <w:lvl w:ilvl="7" w:tplc="5034446C">
      <w:numFmt w:val="decimal"/>
      <w:lvlText w:val=""/>
      <w:lvlJc w:val="left"/>
    </w:lvl>
    <w:lvl w:ilvl="8" w:tplc="3EB63F32">
      <w:numFmt w:val="decimal"/>
      <w:lvlText w:val=""/>
      <w:lvlJc w:val="left"/>
    </w:lvl>
  </w:abstractNum>
  <w:abstractNum w:abstractNumId="18" w15:restartNumberingAfterBreak="0">
    <w:nsid w:val="7CEE7C80"/>
    <w:multiLevelType w:val="hybridMultilevel"/>
    <w:tmpl w:val="3CD661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910893021">
    <w:abstractNumId w:val="0"/>
  </w:num>
  <w:num w:numId="2" w16cid:durableId="185139989">
    <w:abstractNumId w:val="13"/>
  </w:num>
  <w:num w:numId="3" w16cid:durableId="915285565">
    <w:abstractNumId w:val="3"/>
  </w:num>
  <w:num w:numId="4" w16cid:durableId="507864126">
    <w:abstractNumId w:val="16"/>
  </w:num>
  <w:num w:numId="5" w16cid:durableId="1620145967">
    <w:abstractNumId w:val="1"/>
  </w:num>
  <w:num w:numId="6" w16cid:durableId="349573992">
    <w:abstractNumId w:val="6"/>
  </w:num>
  <w:num w:numId="7" w16cid:durableId="1843858791">
    <w:abstractNumId w:val="10"/>
  </w:num>
  <w:num w:numId="8" w16cid:durableId="414327702">
    <w:abstractNumId w:val="18"/>
  </w:num>
  <w:num w:numId="9" w16cid:durableId="70126023">
    <w:abstractNumId w:val="8"/>
  </w:num>
  <w:num w:numId="10" w16cid:durableId="1556158961">
    <w:abstractNumId w:val="14"/>
  </w:num>
  <w:num w:numId="11" w16cid:durableId="399252423">
    <w:abstractNumId w:val="11"/>
  </w:num>
  <w:num w:numId="12" w16cid:durableId="1739399775">
    <w:abstractNumId w:val="15"/>
    <w:lvlOverride w:ilvl="0">
      <w:startOverride w:val="1"/>
    </w:lvlOverride>
  </w:num>
  <w:num w:numId="13" w16cid:durableId="1326588267">
    <w:abstractNumId w:val="5"/>
  </w:num>
  <w:num w:numId="14" w16cid:durableId="702023512">
    <w:abstractNumId w:val="17"/>
    <w:lvlOverride w:ilvl="0">
      <w:startOverride w:val="1"/>
    </w:lvlOverride>
  </w:num>
  <w:num w:numId="15" w16cid:durableId="192228770">
    <w:abstractNumId w:val="12"/>
  </w:num>
  <w:num w:numId="16" w16cid:durableId="1885411400">
    <w:abstractNumId w:val="4"/>
  </w:num>
  <w:num w:numId="17" w16cid:durableId="971715335">
    <w:abstractNumId w:val="7"/>
  </w:num>
  <w:num w:numId="18" w16cid:durableId="1190950984">
    <w:abstractNumId w:val="2"/>
  </w:num>
  <w:num w:numId="19" w16cid:durableId="2228755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2"/>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3B4B"/>
    <w:rsid w:val="000D56C2"/>
    <w:rsid w:val="000D7CCD"/>
    <w:rsid w:val="000F529B"/>
    <w:rsid w:val="00102243"/>
    <w:rsid w:val="001410BB"/>
    <w:rsid w:val="00142194"/>
    <w:rsid w:val="00147EBE"/>
    <w:rsid w:val="001765E8"/>
    <w:rsid w:val="0019478F"/>
    <w:rsid w:val="001A79DC"/>
    <w:rsid w:val="00235B37"/>
    <w:rsid w:val="002D1BE7"/>
    <w:rsid w:val="003167EB"/>
    <w:rsid w:val="003534C2"/>
    <w:rsid w:val="0048103B"/>
    <w:rsid w:val="004833AF"/>
    <w:rsid w:val="005916FC"/>
    <w:rsid w:val="0059288B"/>
    <w:rsid w:val="005E1E46"/>
    <w:rsid w:val="0060498B"/>
    <w:rsid w:val="006C6B05"/>
    <w:rsid w:val="006F5C8C"/>
    <w:rsid w:val="00777616"/>
    <w:rsid w:val="0079236C"/>
    <w:rsid w:val="007E539B"/>
    <w:rsid w:val="007E5624"/>
    <w:rsid w:val="00874B95"/>
    <w:rsid w:val="008B126D"/>
    <w:rsid w:val="00A10EFC"/>
    <w:rsid w:val="00A1668E"/>
    <w:rsid w:val="00A65AB8"/>
    <w:rsid w:val="00A808A2"/>
    <w:rsid w:val="00A92808"/>
    <w:rsid w:val="00BA7D62"/>
    <w:rsid w:val="00CD621F"/>
    <w:rsid w:val="00CD7050"/>
    <w:rsid w:val="00CE4235"/>
    <w:rsid w:val="00CF13F6"/>
    <w:rsid w:val="00D12DE8"/>
    <w:rsid w:val="00D558D3"/>
    <w:rsid w:val="00EA2C38"/>
    <w:rsid w:val="00F0312C"/>
    <w:rsid w:val="00FE0ACC"/>
    <w:rsid w:val="00FE3B4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49CD5727"/>
  <w15:chartTrackingRefBased/>
  <w15:docId w15:val="{E38BA2E0-B1D0-744A-82F7-4F926D0C7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3B4B"/>
    <w:pPr>
      <w:spacing w:after="0" w:line="240" w:lineRule="auto"/>
    </w:pPr>
    <w:rPr>
      <w:rFonts w:ascii="Arial" w:eastAsia="Arial" w:hAnsi="Arial" w:cs="Arial"/>
      <w:kern w:val="0"/>
      <w:sz w:val="22"/>
      <w:szCs w:val="22"/>
      <w14:ligatures w14:val="none"/>
    </w:rPr>
  </w:style>
  <w:style w:type="paragraph" w:styleId="Heading1">
    <w:name w:val="heading 1"/>
    <w:basedOn w:val="Normal"/>
    <w:next w:val="Normal"/>
    <w:link w:val="Heading1Char"/>
    <w:uiPriority w:val="9"/>
    <w:qFormat/>
    <w:rsid w:val="00FE3B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E3B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E3B4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E3B4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E3B4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E3B4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E3B4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E3B4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E3B4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3B4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E3B4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E3B4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E3B4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E3B4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E3B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3B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3B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3B4B"/>
    <w:rPr>
      <w:rFonts w:eastAsiaTheme="majorEastAsia" w:cstheme="majorBidi"/>
      <w:color w:val="272727" w:themeColor="text1" w:themeTint="D8"/>
    </w:rPr>
  </w:style>
  <w:style w:type="paragraph" w:styleId="Title">
    <w:name w:val="Title"/>
    <w:basedOn w:val="Normal"/>
    <w:next w:val="Normal"/>
    <w:link w:val="TitleChar"/>
    <w:uiPriority w:val="10"/>
    <w:qFormat/>
    <w:rsid w:val="00FE3B4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3B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3B4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E3B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3B4B"/>
    <w:pPr>
      <w:spacing w:before="160"/>
      <w:jc w:val="center"/>
    </w:pPr>
    <w:rPr>
      <w:i/>
      <w:iCs/>
      <w:color w:val="404040" w:themeColor="text1" w:themeTint="BF"/>
    </w:rPr>
  </w:style>
  <w:style w:type="character" w:customStyle="1" w:styleId="QuoteChar">
    <w:name w:val="Quote Char"/>
    <w:basedOn w:val="DefaultParagraphFont"/>
    <w:link w:val="Quote"/>
    <w:uiPriority w:val="29"/>
    <w:rsid w:val="00FE3B4B"/>
    <w:rPr>
      <w:i/>
      <w:iCs/>
      <w:color w:val="404040" w:themeColor="text1" w:themeTint="BF"/>
    </w:rPr>
  </w:style>
  <w:style w:type="paragraph" w:styleId="ListParagraph">
    <w:name w:val="List Paragraph"/>
    <w:basedOn w:val="Normal"/>
    <w:qFormat/>
    <w:rsid w:val="00FE3B4B"/>
    <w:pPr>
      <w:ind w:left="720"/>
      <w:contextualSpacing/>
    </w:pPr>
  </w:style>
  <w:style w:type="character" w:styleId="IntenseEmphasis">
    <w:name w:val="Intense Emphasis"/>
    <w:basedOn w:val="DefaultParagraphFont"/>
    <w:uiPriority w:val="21"/>
    <w:qFormat/>
    <w:rsid w:val="00FE3B4B"/>
    <w:rPr>
      <w:i/>
      <w:iCs/>
      <w:color w:val="0F4761" w:themeColor="accent1" w:themeShade="BF"/>
    </w:rPr>
  </w:style>
  <w:style w:type="paragraph" w:styleId="IntenseQuote">
    <w:name w:val="Intense Quote"/>
    <w:basedOn w:val="Normal"/>
    <w:next w:val="Normal"/>
    <w:link w:val="IntenseQuoteChar"/>
    <w:uiPriority w:val="30"/>
    <w:qFormat/>
    <w:rsid w:val="00FE3B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E3B4B"/>
    <w:rPr>
      <w:i/>
      <w:iCs/>
      <w:color w:val="0F4761" w:themeColor="accent1" w:themeShade="BF"/>
    </w:rPr>
  </w:style>
  <w:style w:type="character" w:styleId="IntenseReference">
    <w:name w:val="Intense Reference"/>
    <w:basedOn w:val="DefaultParagraphFont"/>
    <w:uiPriority w:val="32"/>
    <w:qFormat/>
    <w:rsid w:val="00FE3B4B"/>
    <w:rPr>
      <w:b/>
      <w:bCs/>
      <w:smallCaps/>
      <w:color w:val="0F4761" w:themeColor="accent1" w:themeShade="BF"/>
      <w:spacing w:val="5"/>
    </w:rPr>
  </w:style>
  <w:style w:type="paragraph" w:styleId="Header">
    <w:name w:val="header"/>
    <w:basedOn w:val="Normal"/>
    <w:link w:val="HeaderChar"/>
    <w:uiPriority w:val="99"/>
    <w:unhideWhenUsed/>
    <w:rsid w:val="00FE3B4B"/>
    <w:pPr>
      <w:tabs>
        <w:tab w:val="center" w:pos="4680"/>
        <w:tab w:val="right" w:pos="9360"/>
      </w:tabs>
    </w:pPr>
  </w:style>
  <w:style w:type="character" w:customStyle="1" w:styleId="HeaderChar">
    <w:name w:val="Header Char"/>
    <w:basedOn w:val="DefaultParagraphFont"/>
    <w:link w:val="Header"/>
    <w:uiPriority w:val="99"/>
    <w:rsid w:val="00FE3B4B"/>
    <w:rPr>
      <w:rFonts w:ascii="Arial" w:eastAsia="Arial" w:hAnsi="Arial" w:cs="Arial"/>
      <w:kern w:val="0"/>
      <w:sz w:val="22"/>
      <w:szCs w:val="22"/>
      <w14:ligatures w14:val="none"/>
    </w:rPr>
  </w:style>
  <w:style w:type="character" w:styleId="Hyperlink">
    <w:name w:val="Hyperlink"/>
    <w:basedOn w:val="DefaultParagraphFont"/>
    <w:uiPriority w:val="99"/>
    <w:unhideWhenUsed/>
    <w:rsid w:val="00A10EFC"/>
    <w:rPr>
      <w:color w:val="467886" w:themeColor="hyperlink"/>
      <w:u w:val="single"/>
    </w:rPr>
  </w:style>
  <w:style w:type="character" w:styleId="UnresolvedMention">
    <w:name w:val="Unresolved Mention"/>
    <w:basedOn w:val="DefaultParagraphFont"/>
    <w:uiPriority w:val="99"/>
    <w:semiHidden/>
    <w:unhideWhenUsed/>
    <w:rsid w:val="00A10EFC"/>
    <w:rPr>
      <w:color w:val="605E5C"/>
      <w:shd w:val="clear" w:color="auto" w:fill="E1DFDD"/>
    </w:rPr>
  </w:style>
  <w:style w:type="paragraph" w:styleId="Footer">
    <w:name w:val="footer"/>
    <w:basedOn w:val="Normal"/>
    <w:link w:val="FooterChar"/>
    <w:uiPriority w:val="99"/>
    <w:unhideWhenUsed/>
    <w:rsid w:val="002D1BE7"/>
    <w:pPr>
      <w:tabs>
        <w:tab w:val="center" w:pos="4680"/>
        <w:tab w:val="right" w:pos="9360"/>
      </w:tabs>
    </w:pPr>
  </w:style>
  <w:style w:type="character" w:customStyle="1" w:styleId="FooterChar">
    <w:name w:val="Footer Char"/>
    <w:basedOn w:val="DefaultParagraphFont"/>
    <w:link w:val="Footer"/>
    <w:uiPriority w:val="99"/>
    <w:rsid w:val="002D1BE7"/>
    <w:rPr>
      <w:rFonts w:ascii="Arial" w:eastAsia="Arial" w:hAnsi="Arial" w:cs="Arial"/>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A2865B3-195F-CD40-AC4D-03B138BE63F5}">
  <we:reference id="wa200001011" version="1.2.0.0" store="en-US" storeType="OMEX"/>
  <we:alternateReferences>
    <we:reference id="WA200001011" version="1.2.0.0" store=""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36</TotalTime>
  <Pages>1</Pages>
  <Words>565</Words>
  <Characters>3443</Characters>
  <Application>Microsoft Office Word</Application>
  <DocSecurity>0</DocSecurity>
  <Lines>49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Rosenblatt</dc:creator>
  <cp:keywords/>
  <dc:description/>
  <cp:lastModifiedBy>Mark Rosenblatt</cp:lastModifiedBy>
  <cp:revision>7</cp:revision>
  <dcterms:created xsi:type="dcterms:W3CDTF">2026-02-15T16:16:00Z</dcterms:created>
  <dcterms:modified xsi:type="dcterms:W3CDTF">2026-03-13T17:35:00Z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documentId_7582</vt:lpwstr>
  </property>
  <property fmtid="{D5CDD505-2E9C-101B-9397-08002B2CF9AE}" pid="3" name="grammarly_documentContext">
    <vt:lpwstr>{"goals":[],"domain":"general","emotions":[],"dialect":"american"}</vt:lpwstr>
  </property>
</Properties>
</file>