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FBE1C" w14:textId="77777777" w:rsidR="00FC6607" w:rsidRPr="00D27A57" w:rsidRDefault="00FC6607" w:rsidP="00FC6607">
      <w:pPr>
        <w:spacing w:after="40" w:line="240" w:lineRule="auto"/>
        <w:jc w:val="center"/>
        <w:rPr>
          <w:rFonts w:asciiTheme="majorBidi" w:hAnsiTheme="majorBidi" w:cstheme="majorBidi"/>
          <w:i/>
          <w:sz w:val="21"/>
          <w:szCs w:val="21"/>
        </w:rPr>
      </w:pPr>
      <w:r w:rsidRPr="00D27A57">
        <w:rPr>
          <w:rFonts w:asciiTheme="majorBidi" w:hAnsiTheme="majorBidi" w:cstheme="majorBidi"/>
          <w:b/>
          <w:sz w:val="21"/>
          <w:szCs w:val="21"/>
        </w:rPr>
        <w:t>Mannie Mac One Pager</w:t>
      </w:r>
      <w:r w:rsidRPr="00D27A57">
        <w:rPr>
          <w:rFonts w:asciiTheme="majorBidi" w:hAnsiTheme="majorBidi" w:cstheme="majorBidi"/>
          <w:sz w:val="21"/>
          <w:szCs w:val="21"/>
        </w:rPr>
        <w:br/>
      </w:r>
      <w:r w:rsidRPr="00D27A57">
        <w:rPr>
          <w:rFonts w:asciiTheme="majorBidi" w:hAnsiTheme="majorBidi" w:cstheme="majorBidi"/>
          <w:i/>
          <w:sz w:val="21"/>
          <w:szCs w:val="21"/>
        </w:rPr>
        <w:t>A manufacturing loan-guarantee corporation to mobilize bank capital, incentivize investment, and securitize loans.</w:t>
      </w:r>
    </w:p>
    <w:p w14:paraId="14ED1277" w14:textId="77777777" w:rsidR="00FC6607" w:rsidRPr="00D27A57" w:rsidRDefault="00FC6607" w:rsidP="00FC6607">
      <w:pPr>
        <w:spacing w:after="40" w:line="240" w:lineRule="auto"/>
        <w:jc w:val="center"/>
        <w:rPr>
          <w:rFonts w:asciiTheme="majorBidi" w:hAnsiTheme="majorBidi" w:cstheme="majorBidi"/>
          <w:sz w:val="21"/>
          <w:szCs w:val="21"/>
        </w:rPr>
      </w:pPr>
    </w:p>
    <w:p w14:paraId="65EA0DFC" w14:textId="77777777" w:rsidR="00FC6607" w:rsidRPr="00D27A57" w:rsidRDefault="00FC6607" w:rsidP="00FC6607">
      <w:pPr>
        <w:spacing w:after="120" w:line="264" w:lineRule="auto"/>
        <w:rPr>
          <w:rFonts w:asciiTheme="majorBidi" w:hAnsiTheme="majorBidi" w:cstheme="majorBidi"/>
          <w:b/>
          <w:bCs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 xml:space="preserve">BLUF: Mannie Mac, a proposed GSE modeled on Fannie Mae/Freddie Mac, would provide partial federal guarantees on rate-subsidized bank-originated loans to qualifying U.S. manufacturers. A $25 billion appropriation mobilizes $630–780 billion in total manufacturing investment through $250–310 billion in guaranteed lending. Revenue from loan-guarantee fees and securitization ($12.3B over 10 years) offsets roughly half the appropriation, yielding a net 10-year federal cost of approximately $12.7 billion. </w:t>
      </w:r>
    </w:p>
    <w:p w14:paraId="5F276392" w14:textId="77777777" w:rsidR="00FC6607" w:rsidRPr="00D27A57" w:rsidRDefault="00FC6607" w:rsidP="00FC6607">
      <w:pPr>
        <w:spacing w:after="40" w:line="240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b/>
          <w:sz w:val="21"/>
          <w:szCs w:val="21"/>
        </w:rPr>
        <w:t>Why this is needed</w:t>
      </w:r>
    </w:p>
    <w:p w14:paraId="0523CEE1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Manufacturers face unique, worsening finance challenges: Banks have tightened lending for 13 straight quarters; small manufacturers face rejection rates above 85% at large banks.</w:t>
      </w:r>
    </w:p>
    <w:p w14:paraId="49C4445C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 xml:space="preserve">Existing government loan programs fall short: Loan approvals can take 6 months to 3 years; fees and compliance can exceed $10 million. </w:t>
      </w:r>
    </w:p>
    <w:p w14:paraId="097F6739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With a $250M loan limit, SBA loan limits are too small for these manufacturers.</w:t>
      </w:r>
    </w:p>
    <w:p w14:paraId="77A7BB76" w14:textId="124A5A78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Supply-chain and defense readiness require a deep middle-tier industrial base. DoD platforms depend on thousands of parts from China, more than can come from even a 1,000 flagship OSC or White House projects.</w:t>
      </w:r>
    </w:p>
    <w:p w14:paraId="78CFA230" w14:textId="77777777" w:rsidR="00FC6607" w:rsidRPr="00D27A57" w:rsidRDefault="00FC6607" w:rsidP="00FC6607">
      <w:pPr>
        <w:spacing w:before="160" w:after="40" w:line="240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b/>
          <w:sz w:val="21"/>
          <w:szCs w:val="21"/>
        </w:rPr>
        <w:t xml:space="preserve">How it works </w:t>
      </w:r>
    </w:p>
    <w:p w14:paraId="508E0319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Banks originate and underwrite loans; banks know their customers. Mannie Mac and banks share risk through a waterfall loss structure (banks absorb first 5% of losses).</w:t>
      </w:r>
    </w:p>
    <w:p w14:paraId="7319B311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Tiered guarantees calibrated to risk: working capital (70%), equipment financing (85%), expansion/growth (80%). Weighted average: 79.3%.</w:t>
      </w:r>
    </w:p>
    <w:p w14:paraId="3BF77CFA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Profitable secondary-market function: sell or securitize guaranteed portions so banks can recycle capital into additional lending. This generates ~$320M/yr in securitization and secondary market revenue.</w:t>
      </w:r>
    </w:p>
    <w:p w14:paraId="20824895" w14:textId="3725119A" w:rsidR="00FC6607" w:rsidRPr="00D27A57" w:rsidRDefault="00FC6607" w:rsidP="00FC6607">
      <w:pPr>
        <w:pStyle w:val="ListBullet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All-sector support: serves manufacturers of all sizes from small shops to scale plants across most NAICS 31-33 sectors, with enhanced coverage for strategic sectors and defense industrial base.</w:t>
      </w:r>
    </w:p>
    <w:p w14:paraId="5A1B2C3D" w14:textId="0AF90CEA" w:rsidR="00FC6607" w:rsidRPr="00D27A57" w:rsidRDefault="00FC6607" w:rsidP="00FC6607">
      <w:pPr>
        <w:pStyle w:val="ListBullet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Rate compression: the combined effect of federal guarantees and the $8.1B rate buy-down fund compresses effective borrowing costs from 6.5–11.7% to an estimated 4.0–5.0% for equipment financing and 3.3–4.5% for working capital. See Appendix B of the Manufacturing Finance Corporation Act for full derivation</w:t>
      </w:r>
      <w:r w:rsidR="00D27A57" w:rsidRPr="00D27A57">
        <w:rPr>
          <w:rFonts w:asciiTheme="majorBidi" w:hAnsiTheme="majorBidi" w:cstheme="majorBidi"/>
          <w:sz w:val="21"/>
          <w:szCs w:val="21"/>
        </w:rPr>
        <w:t>.</w:t>
      </w:r>
    </w:p>
    <w:p w14:paraId="412733BA" w14:textId="77777777" w:rsidR="00FC6607" w:rsidRPr="00D27A57" w:rsidRDefault="00FC6607" w:rsidP="00FC6607">
      <w:pPr>
        <w:spacing w:before="160" w:after="40" w:line="240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b/>
          <w:sz w:val="21"/>
          <w:szCs w:val="21"/>
        </w:rPr>
        <w:t>Taxpayer protections and guardrails</w:t>
      </w:r>
    </w:p>
    <w:p w14:paraId="17F837DF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Private-sector risk retention: banks keep first-loss exposure ("skin in the game") via a waterfall loss structure. Basel III capital relief (20% vs. 100% risk weight) incentivizes participation.</w:t>
      </w:r>
    </w:p>
    <w:p w14:paraId="28841C90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Pricing: 40 bps effective blended guarantee fee (benchmarked to Fannie Mae/Freddie Mac g-fee range of 35–55 bps), portfolio limits, and clear underwriting standards aligned with expected-loss models.</w:t>
      </w:r>
    </w:p>
    <w:p w14:paraId="6F487CC7" w14:textId="77777777" w:rsidR="00FC6607" w:rsidRPr="00D27A57" w:rsidRDefault="00FC6607" w:rsidP="00FC6607">
      <w:pPr>
        <w:pStyle w:val="ListBullet"/>
        <w:spacing w:after="0" w:line="252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b/>
          <w:sz w:val="21"/>
          <w:szCs w:val="21"/>
        </w:rPr>
        <w:t>Oversight:</w:t>
      </w:r>
    </w:p>
    <w:p w14:paraId="4AE7CE89" w14:textId="77777777" w:rsidR="00FC6607" w:rsidRPr="00D27A57" w:rsidRDefault="00FC6607" w:rsidP="00FC6607">
      <w:pPr>
        <w:pStyle w:val="ListBullet"/>
        <w:tabs>
          <w:tab w:val="clear" w:pos="360"/>
          <w:tab w:val="num" w:pos="720"/>
        </w:tabs>
        <w:spacing w:after="0" w:line="252" w:lineRule="auto"/>
        <w:ind w:left="720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Regular reporting to Congress and audits; Federal Manufacturing Finance Authority provides policy oversight; Inspector General review.</w:t>
      </w:r>
    </w:p>
    <w:p w14:paraId="39EB3B5B" w14:textId="77777777" w:rsidR="00FC6607" w:rsidRPr="00D27A57" w:rsidRDefault="00FC6607" w:rsidP="00FC6607">
      <w:pPr>
        <w:pStyle w:val="ListBullet"/>
        <w:tabs>
          <w:tab w:val="clear" w:pos="360"/>
          <w:tab w:val="num" w:pos="720"/>
        </w:tabs>
        <w:spacing w:after="0" w:line="252" w:lineRule="auto"/>
        <w:ind w:left="720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Use-of-proceeds controls, monitoring to prevent misuse and reduce fraud, and portfolio concentration limits (no sector &gt;25%, no borrower &gt;2%).</w:t>
      </w:r>
    </w:p>
    <w:p w14:paraId="1050E6E1" w14:textId="77777777" w:rsidR="00FC6607" w:rsidRPr="00D27A57" w:rsidRDefault="00FC6607" w:rsidP="00FC6607">
      <w:pPr>
        <w:spacing w:before="160" w:after="40" w:line="240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b/>
          <w:sz w:val="21"/>
          <w:szCs w:val="21"/>
        </w:rPr>
        <w:t>Scale, budget, and economics</w:t>
      </w:r>
    </w:p>
    <w:p w14:paraId="05B2DBCA" w14:textId="4B2E4F69" w:rsidR="00FC6607" w:rsidRPr="00D27A57" w:rsidRDefault="00FC6607" w:rsidP="0096099A">
      <w:pPr>
        <w:spacing w:after="120" w:line="264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 xml:space="preserve">$25B appropriation → $10B loan loss reserves → $250–310B guaranteed lending → $630–780B total manufacturing investment (at 40% debt/equity). The program generates $1.2B/yr in revenue (40 bps guarantee fees + 15 bps securitization spreads + secondary market income), totaling $12.3B over 10 years. Combined with $9.1B in residual reserve value and capital buffer remaining on the GSE’s books, the net 10-year federal cost is approximately $12.7 billion. CBO would score the $25B appropriation as mandatory spending; revenue offsets would be scored as offsetting receipts. </w:t>
      </w:r>
    </w:p>
    <w:p w14:paraId="39A68982" w14:textId="5B7C50A2" w:rsidR="00FC6607" w:rsidRPr="00D27A57" w:rsidRDefault="00FC6607" w:rsidP="00FC6607">
      <w:pPr>
        <w:spacing w:before="80" w:after="0" w:line="264" w:lineRule="auto"/>
        <w:rPr>
          <w:rFonts w:asciiTheme="majorBidi" w:hAnsiTheme="majorBidi" w:cstheme="majorBidi"/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Next step: staff briefing to walk through text, scoring approach, governance/oversight design, and the GSE economics.</w:t>
      </w:r>
    </w:p>
    <w:p w14:paraId="6AC4FA1C" w14:textId="4D453F6D" w:rsidR="00595BA3" w:rsidRPr="00D27A57" w:rsidRDefault="00FC6607" w:rsidP="00FC6607">
      <w:pPr>
        <w:spacing w:before="120" w:after="0" w:line="240" w:lineRule="auto"/>
        <w:rPr>
          <w:sz w:val="21"/>
          <w:szCs w:val="21"/>
        </w:rPr>
      </w:pPr>
      <w:r w:rsidRPr="00D27A57">
        <w:rPr>
          <w:rFonts w:asciiTheme="majorBidi" w:hAnsiTheme="majorBidi" w:cstheme="majorBidi"/>
          <w:sz w:val="21"/>
          <w:szCs w:val="21"/>
        </w:rPr>
        <w:t>Full bill text, cost-benefit analysis with 26 supporting calculations, and dynamic Excel model available.</w:t>
      </w:r>
      <w:r w:rsidRPr="00D27A57">
        <w:rPr>
          <w:rFonts w:asciiTheme="majorBidi" w:hAnsiTheme="majorBidi" w:cstheme="majorBidi"/>
          <w:sz w:val="21"/>
          <w:szCs w:val="21"/>
        </w:rPr>
        <w:br/>
      </w:r>
      <w:r w:rsidRPr="00D27A57">
        <w:rPr>
          <w:rFonts w:asciiTheme="majorBidi" w:hAnsiTheme="majorBidi" w:cstheme="majorBidi"/>
          <w:sz w:val="21"/>
          <w:szCs w:val="21"/>
        </w:rPr>
        <w:br/>
      </w:r>
      <w:r w:rsidRPr="00D27A57">
        <w:rPr>
          <w:rFonts w:asciiTheme="majorBidi" w:hAnsiTheme="majorBidi" w:cstheme="majorBidi"/>
          <w:b/>
          <w:sz w:val="21"/>
          <w:szCs w:val="21"/>
        </w:rPr>
        <w:t xml:space="preserve">Contact: </w:t>
      </w:r>
      <w:hyperlink r:id="rId8" w:history="1">
        <w:r w:rsidRPr="00D27A57">
          <w:rPr>
            <w:rStyle w:val="Hyperlink"/>
            <w:rFonts w:asciiTheme="majorBidi" w:hAnsiTheme="majorBidi" w:cstheme="majorBidi"/>
            <w:sz w:val="21"/>
            <w:szCs w:val="21"/>
          </w:rPr>
          <w:t>Mark Rosenblatt</w:t>
        </w:r>
      </w:hyperlink>
      <w:r w:rsidRPr="00D27A57">
        <w:rPr>
          <w:rFonts w:asciiTheme="majorBidi" w:hAnsiTheme="majorBidi" w:cstheme="majorBidi"/>
          <w:sz w:val="21"/>
          <w:szCs w:val="21"/>
        </w:rPr>
        <w:t xml:space="preserve">, </w:t>
      </w:r>
      <w:hyperlink r:id="rId9" w:history="1">
        <w:r w:rsidRPr="00D27A57">
          <w:rPr>
            <w:rStyle w:val="Hyperlink"/>
            <w:rFonts w:asciiTheme="majorBidi" w:hAnsiTheme="majorBidi" w:cstheme="majorBidi"/>
            <w:sz w:val="21"/>
            <w:szCs w:val="21"/>
          </w:rPr>
          <w:t>Rationalwave</w:t>
        </w:r>
      </w:hyperlink>
      <w:r w:rsidRPr="00D27A57">
        <w:rPr>
          <w:rFonts w:asciiTheme="majorBidi" w:hAnsiTheme="majorBidi" w:cstheme="majorBidi"/>
          <w:sz w:val="21"/>
          <w:szCs w:val="21"/>
        </w:rPr>
        <w:t xml:space="preserve">, </w:t>
      </w:r>
      <w:hyperlink r:id="rId10" w:history="1">
        <w:r w:rsidRPr="00D27A57">
          <w:rPr>
            <w:rStyle w:val="Hyperlink"/>
            <w:rFonts w:asciiTheme="majorBidi" w:hAnsiTheme="majorBidi" w:cstheme="majorBidi"/>
            <w:sz w:val="21"/>
            <w:szCs w:val="21"/>
          </w:rPr>
          <w:t>mr@rationalwave.com</w:t>
        </w:r>
      </w:hyperlink>
      <w:r w:rsidRPr="00D27A57">
        <w:rPr>
          <w:rFonts w:asciiTheme="majorBidi" w:hAnsiTheme="majorBidi" w:cstheme="majorBidi"/>
          <w:sz w:val="21"/>
          <w:szCs w:val="21"/>
        </w:rPr>
        <w:t xml:space="preserve">, 914-584-5400, </w:t>
      </w:r>
      <w:hyperlink r:id="rId11" w:history="1">
        <w:r w:rsidRPr="00D27A57">
          <w:rPr>
            <w:rStyle w:val="Hyperlink"/>
            <w:rFonts w:asciiTheme="majorBidi" w:hAnsiTheme="majorBidi" w:cstheme="majorBidi"/>
            <w:sz w:val="21"/>
            <w:szCs w:val="21"/>
          </w:rPr>
          <w:t>@ratwave</w:t>
        </w:r>
      </w:hyperlink>
    </w:p>
    <w:sectPr w:rsidR="00595BA3" w:rsidRPr="00D27A57" w:rsidSect="0096099A">
      <w:headerReference w:type="default" r:id="rId12"/>
      <w:pgSz w:w="12240" w:h="15840"/>
      <w:pgMar w:top="387" w:right="1080" w:bottom="342" w:left="1080" w:header="38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1F75E" w14:textId="77777777" w:rsidR="00B3267E" w:rsidRDefault="00B3267E" w:rsidP="007B654A">
      <w:pPr>
        <w:spacing w:after="0" w:line="240" w:lineRule="auto"/>
      </w:pPr>
      <w:r>
        <w:separator/>
      </w:r>
    </w:p>
  </w:endnote>
  <w:endnote w:type="continuationSeparator" w:id="0">
    <w:p w14:paraId="299915D7" w14:textId="77777777" w:rsidR="00B3267E" w:rsidRDefault="00B3267E" w:rsidP="007B6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DC515" w14:textId="77777777" w:rsidR="00B3267E" w:rsidRDefault="00B3267E" w:rsidP="007B654A">
      <w:pPr>
        <w:spacing w:after="0" w:line="240" w:lineRule="auto"/>
      </w:pPr>
      <w:r>
        <w:separator/>
      </w:r>
    </w:p>
  </w:footnote>
  <w:footnote w:type="continuationSeparator" w:id="0">
    <w:p w14:paraId="76ACC43B" w14:textId="77777777" w:rsidR="00B3267E" w:rsidRDefault="00B3267E" w:rsidP="007B65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CC554" w14:textId="48D081D3" w:rsidR="001F778A" w:rsidRDefault="0096099A">
    <w:pPr>
      <w:pStyle w:val="Header"/>
    </w:pPr>
    <w:r>
      <w:t xml:space="preserve">March </w:t>
    </w:r>
    <w:r w:rsidR="00D27A57">
      <w:t>30</w:t>
    </w:r>
    <w:r>
      <w:t>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9587B57"/>
    <w:multiLevelType w:val="multilevel"/>
    <w:tmpl w:val="0A0CD2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943680633">
    <w:abstractNumId w:val="8"/>
  </w:num>
  <w:num w:numId="2" w16cid:durableId="1737625822">
    <w:abstractNumId w:val="6"/>
  </w:num>
  <w:num w:numId="3" w16cid:durableId="1415250102">
    <w:abstractNumId w:val="5"/>
  </w:num>
  <w:num w:numId="4" w16cid:durableId="2081752308">
    <w:abstractNumId w:val="4"/>
  </w:num>
  <w:num w:numId="5" w16cid:durableId="882987282">
    <w:abstractNumId w:val="7"/>
  </w:num>
  <w:num w:numId="6" w16cid:durableId="963732703">
    <w:abstractNumId w:val="3"/>
  </w:num>
  <w:num w:numId="7" w16cid:durableId="365253849">
    <w:abstractNumId w:val="2"/>
  </w:num>
  <w:num w:numId="8" w16cid:durableId="1268925083">
    <w:abstractNumId w:val="1"/>
  </w:num>
  <w:num w:numId="9" w16cid:durableId="329792986">
    <w:abstractNumId w:val="0"/>
  </w:num>
  <w:num w:numId="10" w16cid:durableId="73435879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3BD1"/>
    <w:rsid w:val="001040B1"/>
    <w:rsid w:val="00144256"/>
    <w:rsid w:val="0015074B"/>
    <w:rsid w:val="001F778A"/>
    <w:rsid w:val="00292344"/>
    <w:rsid w:val="0029639D"/>
    <w:rsid w:val="00305EC0"/>
    <w:rsid w:val="003225F9"/>
    <w:rsid w:val="00326F90"/>
    <w:rsid w:val="004D2F16"/>
    <w:rsid w:val="004F411E"/>
    <w:rsid w:val="004F6788"/>
    <w:rsid w:val="00595BA3"/>
    <w:rsid w:val="006813D9"/>
    <w:rsid w:val="00686DDC"/>
    <w:rsid w:val="007650D6"/>
    <w:rsid w:val="0077010D"/>
    <w:rsid w:val="007A53DC"/>
    <w:rsid w:val="007B59D6"/>
    <w:rsid w:val="007B654A"/>
    <w:rsid w:val="0096099A"/>
    <w:rsid w:val="00A52400"/>
    <w:rsid w:val="00AA1D8D"/>
    <w:rsid w:val="00AD5220"/>
    <w:rsid w:val="00B3267E"/>
    <w:rsid w:val="00B47730"/>
    <w:rsid w:val="00BB200A"/>
    <w:rsid w:val="00BF747A"/>
    <w:rsid w:val="00CB0664"/>
    <w:rsid w:val="00CD7050"/>
    <w:rsid w:val="00CF1F89"/>
    <w:rsid w:val="00D27A57"/>
    <w:rsid w:val="00DF380A"/>
    <w:rsid w:val="00E31FAE"/>
    <w:rsid w:val="00F53302"/>
    <w:rsid w:val="00F844B8"/>
    <w:rsid w:val="00FC660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C27C23"/>
  <w14:defaultImageDpi w14:val="300"/>
  <w15:docId w15:val="{4E96422F-81F3-5142-BE74-4DB9C18C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7B654A"/>
    <w:pPr>
      <w:spacing w:after="0" w:line="240" w:lineRule="auto"/>
    </w:pPr>
    <w:rPr>
      <w:rFonts w:asciiTheme="minorHAnsi" w:hAnsiTheme="minorHAnsi"/>
      <w:kern w:val="2"/>
      <w:sz w:val="20"/>
      <w:szCs w:val="20"/>
      <w:lang w:eastAsia="zh-CN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B654A"/>
    <w:rPr>
      <w:kern w:val="2"/>
      <w:sz w:val="20"/>
      <w:szCs w:val="20"/>
      <w:lang w:eastAsia="zh-CN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7B654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B654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20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05E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markrosenblatt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x.com/ratwav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r@rationalwav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ationalwave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549</Words>
  <Characters>3388</Characters>
  <Application>Microsoft Office Word</Application>
  <DocSecurity>0</DocSecurity>
  <Lines>49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Rosenblatt</dc:creator>
  <cp:keywords/>
  <dc:description/>
  <cp:lastModifiedBy>Mark Rosenblatt</cp:lastModifiedBy>
  <cp:revision>3</cp:revision>
  <dcterms:created xsi:type="dcterms:W3CDTF">2026-03-30T18:12:00Z</dcterms:created>
  <dcterms:modified xsi:type="dcterms:W3CDTF">2026-03-30T18:12:00Z</dcterms:modified>
  <cp:category/>
</cp:coreProperties>
</file>