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447E0" w14:textId="77777777" w:rsidR="001E698E" w:rsidRPr="00AA6B13" w:rsidRDefault="001E698E" w:rsidP="001E698E">
      <w:pPr>
        <w:jc w:val="cente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COST-BENEFIT ANALYSIS</w:t>
      </w:r>
    </w:p>
    <w:p w14:paraId="33E63F0E" w14:textId="77777777" w:rsidR="001E698E" w:rsidRPr="00AA6B13" w:rsidRDefault="001E698E" w:rsidP="001E698E">
      <w:pPr>
        <w:jc w:val="cente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Manufacturing Renaissance Legislative Package</w:t>
      </w:r>
    </w:p>
    <w:p w14:paraId="230DDE65" w14:textId="77777777" w:rsidR="001E698E" w:rsidRPr="00AA6B13" w:rsidRDefault="001E698E" w:rsidP="001E698E">
      <w:pPr>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MINA • DO IT NOW • Mannie Mac • MERA</w:t>
      </w:r>
    </w:p>
    <w:p w14:paraId="66198827" w14:textId="77777777" w:rsidR="001E698E" w:rsidRPr="00AA6B13" w:rsidRDefault="001E698E" w:rsidP="001E698E">
      <w:pPr>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10-Year Fiscal and Economic Impact Assessment</w:t>
      </w:r>
    </w:p>
    <w:p w14:paraId="7C893A99" w14:textId="77777777" w:rsidR="001E698E" w:rsidRPr="00AA6B13" w:rsidRDefault="001E698E" w:rsidP="001E698E">
      <w:pPr>
        <w:jc w:val="center"/>
        <w:rPr>
          <w:rFonts w:asciiTheme="majorBidi" w:hAnsiTheme="majorBidi" w:cstheme="majorBidi"/>
          <w:color w:val="000000" w:themeColor="text1"/>
          <w:sz w:val="24"/>
          <w:szCs w:val="24"/>
        </w:rPr>
      </w:pPr>
      <w:r>
        <w:rPr>
          <w:rFonts w:asciiTheme="majorBidi" w:hAnsiTheme="majorBidi" w:cstheme="majorBidi"/>
          <w:i/>
          <w:color w:val="000000" w:themeColor="text1"/>
          <w:sz w:val="24"/>
          <w:szCs w:val="24"/>
        </w:rPr>
        <w:t xml:space="preserve">With Complete Calculation Derivations </w:t>
      </w:r>
    </w:p>
    <w:p w14:paraId="3799F824" w14:textId="77777777" w:rsidR="001E698E" w:rsidRDefault="001E698E" w:rsidP="001E698E">
      <w:pPr>
        <w:rPr>
          <w:rFonts w:asciiTheme="majorBidi" w:hAnsiTheme="majorBidi" w:cstheme="majorBidi"/>
          <w:color w:val="000000" w:themeColor="text1"/>
          <w:sz w:val="24"/>
          <w:szCs w:val="24"/>
        </w:rPr>
      </w:pPr>
    </w:p>
    <w:p w14:paraId="28D160F6" w14:textId="77777777" w:rsidR="001E698E" w:rsidRPr="00AA6B13" w:rsidRDefault="001E698E" w:rsidP="001E698E">
      <w:pPr>
        <w:rPr>
          <w:rFonts w:asciiTheme="majorBidi" w:hAnsiTheme="majorBidi" w:cstheme="majorBidi"/>
          <w:b/>
          <w:bCs/>
          <w:color w:val="000000" w:themeColor="text1"/>
          <w:sz w:val="24"/>
          <w:szCs w:val="24"/>
        </w:rPr>
      </w:pPr>
      <w:r>
        <w:rPr>
          <w:rFonts w:asciiTheme="majorBidi" w:hAnsiTheme="majorBidi" w:cstheme="majorBidi"/>
          <w:b/>
          <w:bCs/>
          <w:color w:val="000000" w:themeColor="text1"/>
          <w:sz w:val="24"/>
          <w:szCs w:val="24"/>
        </w:rPr>
        <w:t>BLUF: Reshoring and rebuilding the defense industrial base, American manufacturing prowess, capacity, and leadership will not be fast, easy, or free.</w:t>
      </w:r>
    </w:p>
    <w:p w14:paraId="038175B8" w14:textId="77777777" w:rsidR="001E698E" w:rsidRPr="00AA6B13" w:rsidRDefault="001E698E" w:rsidP="001E698E">
      <w:pPr>
        <w:pStyle w:val="Heading1"/>
        <w:rPr>
          <w:rFonts w:asciiTheme="majorBidi" w:hAnsiTheme="majorBidi"/>
          <w:color w:val="000000" w:themeColor="text1"/>
          <w:sz w:val="24"/>
          <w:szCs w:val="24"/>
        </w:rPr>
      </w:pPr>
      <w:r>
        <w:rPr>
          <w:rFonts w:asciiTheme="majorBidi" w:hAnsiTheme="majorBidi"/>
          <w:color w:val="000000" w:themeColor="text1"/>
          <w:sz w:val="24"/>
          <w:szCs w:val="24"/>
        </w:rPr>
        <w:t>I. Executive Summary</w:t>
      </w:r>
    </w:p>
    <w:p w14:paraId="188DB7BD"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This report provides a comprehensive cost-benefit analysis of the Manufacturing Renaissance Legislative Package, consisting of four coordinated bills designed to rebuild American manufacturing competitiveness through market-based mechanisms supporting national security, the defense industrial base, trade, and jobs/GDP growth. </w:t>
      </w:r>
    </w:p>
    <w:p w14:paraId="0FCE815D"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All calculation derivations are integrated directly into this document. For examining alternative assumptions, an excel spreadsheet is also available.</w:t>
      </w:r>
    </w:p>
    <w:p w14:paraId="00458D01"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True implementation success requires additional efforts at the State and local levels, defense demand drivers, trade enforcement, workforce efforts, and permitting/regulatory reform. However, setting the table for manufacturing to success is the goal of this package.</w:t>
      </w:r>
    </w:p>
    <w:p w14:paraId="073F0608"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This package presents a "next step" after the One Big Beautiful Bill, which Congress can and must take, in some form, to increase the chances that the 21st Century is an American Century. These bills are broad free-market support for all of manufacturing with additional support for critical industries. They do not choose companies to target. In that sense, they are "blunt instruments." These efforts extend and support existing Administration efforts targeting specific companies, Pax Silica, and Project Vaults. They also support the DoW’s active contracting and OSC activity. </w:t>
      </w:r>
    </w:p>
    <w:p w14:paraId="17D709E5"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Manufacturing companies, writ large, make too little money, have too little access to capital, and many small businesses face succession tax problems, limiting investment or forcing sales to asset-strippers. Three fixes would change the income statement math, improve access to capital to incentivize both upgrading older plants and creating new ones, and ease the succession of family businesses and encourage entrepreneurs to buy, grow, and run these companies.</w:t>
      </w:r>
    </w:p>
    <w:p w14:paraId="2FA365C2"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First, improve the income statement for domestic manufacturing, as President Trump suggested before the election with his proposed 15% manufacturing tax rate, but structure </w:t>
      </w:r>
      <w:r>
        <w:rPr>
          <w:rFonts w:asciiTheme="majorBidi" w:hAnsiTheme="majorBidi" w:cstheme="majorBidi"/>
          <w:color w:val="000000" w:themeColor="text1"/>
          <w:sz w:val="24"/>
          <w:szCs w:val="24"/>
        </w:rPr>
        <w:lastRenderedPageBreak/>
        <w:t>it as a transferable tax credit proportional to domestic value-added (DVA). A tax rate cut only helps profitable firms. A transferable credit helps every manufacturer, including those investing heavily in new capacity, competing against subsidized Chinese producers, or ramping new product lines, exporting to new markets, or adding capacity. These activities temporarily depress profits. These are precisely the companies that a simple tax rate cut misses.</w:t>
      </w:r>
    </w:p>
    <w:p w14:paraId="2A838A53"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 transferable credit solves this problem. Instead of waiting until a firm owes taxes, the credit can be sold to a profitable domestic manufacturing company in exchange for immediate cash. That cash can fund the next production line, the next hire, the next export contract.</w:t>
      </w:r>
    </w:p>
    <w:p w14:paraId="135E4EE3"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For targeted critical sectors, advanced materials plants, battery facilities, energetics lines, drone manufacturers, active pharmaceuticals, and others offer enhanced tax credits. A U.S. magnet producer, pharmaceutical ingredient plant, or machine tool company competing against Chinese firms faces higher capital costs and thinner margins. </w:t>
      </w:r>
    </w:p>
    <w:p w14:paraId="24050331"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Second: help manufacturers attract capital and finance growth. Create a government-backed risk-sharing facility, modeled on Fannie Mae, so the over 200,000 manufacturing firms too small for Wall Street can access affordable capital through their local banks for plant upgrades, new equipment, and exports.</w:t>
      </w:r>
    </w:p>
    <w:p w14:paraId="6F582AC7"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Third, to encourage entrepreneurial and founder driven leadership, institute a private business succession and sale exemption modeled on the existing QSBS program to reward owners of manufacturing companies for passing their businesses to heirs or selling to entrepreneurs, not asset strippers, and keeping the company’s manufacturing in America.</w:t>
      </w:r>
    </w:p>
    <w:p w14:paraId="246E10CA"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This isn’t just about jobs. A competitive U.S. manufacturing base is a foreign policy weapon. Allies will pay a "trusted supply" premium for American drones, batteries, and cars if we get close to competitive. That demand, combined with these incentives, could permanently shift manufacturing cost curves in America’s favor.</w:t>
      </w:r>
    </w:p>
    <w:p w14:paraId="2D86D440" w14:textId="77777777" w:rsidR="001E698E"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Below are estimated monetary costs and benefits, reviewed, revised, and assessed, </w:t>
      </w:r>
      <w:proofErr w:type="gramStart"/>
      <w:r>
        <w:rPr>
          <w:rFonts w:asciiTheme="majorBidi" w:hAnsiTheme="majorBidi" w:cstheme="majorBidi"/>
          <w:color w:val="000000" w:themeColor="text1"/>
          <w:sz w:val="24"/>
          <w:szCs w:val="24"/>
        </w:rPr>
        <w:t>similar to</w:t>
      </w:r>
      <w:proofErr w:type="gramEnd"/>
      <w:r>
        <w:rPr>
          <w:rFonts w:asciiTheme="majorBidi" w:hAnsiTheme="majorBidi" w:cstheme="majorBidi"/>
          <w:color w:val="000000" w:themeColor="text1"/>
          <w:sz w:val="24"/>
          <w:szCs w:val="24"/>
        </w:rPr>
        <w:t xml:space="preserve"> CBO scoring and best-efforts economic projections. The costs could be considered part of the 1.5% of GDP set by President Trump as part of the global 5% total spending on national defense described in the National Defense Strategy. </w:t>
      </w:r>
    </w:p>
    <w:p w14:paraId="28895DF0"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These estimates do not include the most critical reason for rebuilding manufacturing, national security which means </w:t>
      </w:r>
      <w:r>
        <w:rPr>
          <w:rFonts w:asciiTheme="majorBidi" w:hAnsiTheme="majorBidi" w:cstheme="majorBidi"/>
          <w:b/>
          <w:color w:val="000000" w:themeColor="text1"/>
          <w:sz w:val="24"/>
          <w:szCs w:val="24"/>
        </w:rPr>
        <w:t>Defense industrial base resilience, supply chain independence from China, allied trust in U.S. production capability, and the deterrence value of domestic manufacturing surge capacity.</w:t>
      </w:r>
    </w:p>
    <w:p w14:paraId="38E58CFD" w14:textId="77777777" w:rsidR="001E698E" w:rsidRPr="00AA6B13" w:rsidRDefault="001E698E" w:rsidP="001E698E">
      <w:pPr>
        <w:pStyle w:val="Heading2"/>
        <w:rPr>
          <w:rFonts w:asciiTheme="majorBidi" w:hAnsiTheme="majorBidi"/>
          <w:color w:val="000000" w:themeColor="text1"/>
          <w:sz w:val="24"/>
          <w:szCs w:val="24"/>
        </w:rPr>
      </w:pPr>
      <w:r>
        <w:rPr>
          <w:rFonts w:asciiTheme="majorBidi" w:hAnsiTheme="majorBidi"/>
          <w:color w:val="000000" w:themeColor="text1"/>
          <w:sz w:val="24"/>
          <w:szCs w:val="24"/>
        </w:rPr>
        <w:lastRenderedPageBreak/>
        <w:t>II. Return on Investment Summary</w:t>
      </w:r>
    </w:p>
    <w:p w14:paraId="595EA6B7"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Beyond national security, based on estimated costs and benefits, this package presents a good return on investment to the American people:</w:t>
      </w:r>
    </w:p>
    <w:tbl>
      <w:tblPr>
        <w:tblW w:w="0" w:type="auto"/>
        <w:jc w:val="center"/>
        <w:tblLook w:val="04A0" w:firstRow="1" w:lastRow="0" w:firstColumn="1" w:lastColumn="0" w:noHBand="0" w:noVBand="1"/>
      </w:tblPr>
      <w:tblGrid>
        <w:gridCol w:w="2880"/>
        <w:gridCol w:w="2880"/>
        <w:gridCol w:w="2880"/>
      </w:tblGrid>
      <w:tr w:rsidR="001E698E" w:rsidRPr="00AA6B13" w14:paraId="694937C3" w14:textId="77777777" w:rsidTr="00F4214C">
        <w:trPr>
          <w:jc w:val="center"/>
        </w:trPr>
        <w:tc>
          <w:tcPr>
            <w:tcW w:w="2880" w:type="dxa"/>
            <w:shd w:val="clear" w:color="auto" w:fill="D5E8F0"/>
          </w:tcPr>
          <w:p w14:paraId="1F2EAE66"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Investment</w:t>
            </w:r>
          </w:p>
        </w:tc>
        <w:tc>
          <w:tcPr>
            <w:tcW w:w="2880" w:type="dxa"/>
            <w:shd w:val="clear" w:color="auto" w:fill="D5E8F0"/>
          </w:tcPr>
          <w:p w14:paraId="5CE5327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Return</w:t>
            </w:r>
          </w:p>
        </w:tc>
        <w:tc>
          <w:tcPr>
            <w:tcW w:w="2880" w:type="dxa"/>
            <w:shd w:val="clear" w:color="auto" w:fill="D5E8F0"/>
          </w:tcPr>
          <w:p w14:paraId="5FCD7D35"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Multiple</w:t>
            </w:r>
          </w:p>
        </w:tc>
      </w:tr>
      <w:tr w:rsidR="001E698E" w:rsidRPr="00AA6B13" w14:paraId="1CD6B773" w14:textId="77777777" w:rsidTr="00F4214C">
        <w:trPr>
          <w:jc w:val="center"/>
        </w:trPr>
        <w:tc>
          <w:tcPr>
            <w:tcW w:w="2880" w:type="dxa"/>
          </w:tcPr>
          <w:p w14:paraId="38ED280E"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$1.44–1.62T package cost </w:t>
            </w:r>
          </w:p>
        </w:tc>
        <w:tc>
          <w:tcPr>
            <w:tcW w:w="2880" w:type="dxa"/>
          </w:tcPr>
          <w:p w14:paraId="7D26705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$2.3–4.4T cumulative GDP</w:t>
            </w:r>
          </w:p>
        </w:tc>
        <w:tc>
          <w:tcPr>
            <w:tcW w:w="2880" w:type="dxa"/>
          </w:tcPr>
          <w:p w14:paraId="46B15A01"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1.47× – 3.15×</w:t>
            </w:r>
          </w:p>
        </w:tc>
      </w:tr>
      <w:tr w:rsidR="001E698E" w:rsidRPr="00AA6B13" w14:paraId="1DCC7ADB" w14:textId="77777777" w:rsidTr="00F4214C">
        <w:trPr>
          <w:jc w:val="center"/>
        </w:trPr>
        <w:tc>
          <w:tcPr>
            <w:tcW w:w="2880" w:type="dxa"/>
          </w:tcPr>
          <w:p w14:paraId="74487D82"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$1.44–1.62T package cost </w:t>
            </w:r>
          </w:p>
        </w:tc>
        <w:tc>
          <w:tcPr>
            <w:tcW w:w="2880" w:type="dxa"/>
          </w:tcPr>
          <w:p w14:paraId="1C03D00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4.1–7.8 million jobs</w:t>
            </w:r>
          </w:p>
        </w:tc>
        <w:tc>
          <w:tcPr>
            <w:tcW w:w="2880" w:type="dxa"/>
          </w:tcPr>
          <w:p w14:paraId="595144E2"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$179K–$381K per job</w:t>
            </w:r>
          </w:p>
        </w:tc>
      </w:tr>
      <w:tr w:rsidR="001E698E" w:rsidRPr="00AA6B13" w14:paraId="694DCFE1" w14:textId="77777777" w:rsidTr="00F4214C">
        <w:trPr>
          <w:jc w:val="center"/>
        </w:trPr>
        <w:tc>
          <w:tcPr>
            <w:tcW w:w="2880" w:type="dxa"/>
          </w:tcPr>
          <w:p w14:paraId="4891D47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$1.44–1.62T package cost </w:t>
            </w:r>
          </w:p>
        </w:tc>
        <w:tc>
          <w:tcPr>
            <w:tcW w:w="2880" w:type="dxa"/>
          </w:tcPr>
          <w:p w14:paraId="1D918A57"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$100–250B/yr trade improvement</w:t>
            </w:r>
          </w:p>
        </w:tc>
        <w:tc>
          <w:tcPr>
            <w:tcW w:w="2880" w:type="dxa"/>
          </w:tcPr>
          <w:p w14:paraId="7374F7A8"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Pays for package by Year 8</w:t>
            </w:r>
          </w:p>
        </w:tc>
      </w:tr>
    </w:tbl>
    <w:p w14:paraId="692CE17F"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i/>
          <w:color w:val="000000" w:themeColor="text1"/>
          <w:sz w:val="24"/>
          <w:szCs w:val="24"/>
        </w:rPr>
        <w:t>Note: These are dynamic estimates incorporating dual growth scenarios (3% conservative / 5% dynamic) for MINA and DO IT NOW, reflecting the expected expansion of manufacturing activity as companies respond to improved incentives. See Section VI for the complete growth assumption derivation.</w:t>
      </w:r>
    </w:p>
    <w:p w14:paraId="79D3C184" w14:textId="77777777" w:rsidR="001E698E" w:rsidRPr="00AA6B13" w:rsidRDefault="001E698E" w:rsidP="001E698E">
      <w:pPr>
        <w:shd w:val="clear" w:color="auto" w:fill="F2F2F2"/>
        <w:spacing w:before="120"/>
        <w:ind w:left="432" w:right="432"/>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DYNAMIC COST ESTIMATES: Key Assumptions — Conservative (3%) and Dynamic (5%) Growth Scenarios. This reflects the combined effect of MINA + DO IT NOW + Mannie Mac + MERA incentive structure. Historical precedent: Section 199 drove 2-3% growth with a much smaller incentive; TCJA drove ~10%/yr in first two years. See Section VI for full derivation.</w:t>
      </w:r>
    </w:p>
    <w:p w14:paraId="4BB3D2DF" w14:textId="77777777" w:rsidR="001E698E" w:rsidRPr="00AA6B13" w:rsidRDefault="001E698E" w:rsidP="001E698E">
      <w:pPr>
        <w:pStyle w:val="Heading2"/>
        <w:rPr>
          <w:rFonts w:asciiTheme="majorBidi" w:hAnsiTheme="majorBidi"/>
          <w:color w:val="000000" w:themeColor="text1"/>
          <w:sz w:val="24"/>
          <w:szCs w:val="24"/>
        </w:rPr>
      </w:pPr>
      <w:r>
        <w:rPr>
          <w:rFonts w:asciiTheme="majorBidi" w:hAnsiTheme="majorBidi"/>
          <w:color w:val="000000" w:themeColor="text1"/>
          <w:sz w:val="24"/>
          <w:szCs w:val="24"/>
        </w:rPr>
        <w:t>Cost of Inaction</w:t>
      </w:r>
    </w:p>
    <w:tbl>
      <w:tblPr>
        <w:tblW w:w="0" w:type="auto"/>
        <w:jc w:val="center"/>
        <w:tblLook w:val="04A0" w:firstRow="1" w:lastRow="0" w:firstColumn="1" w:lastColumn="0" w:noHBand="0" w:noVBand="1"/>
      </w:tblPr>
      <w:tblGrid>
        <w:gridCol w:w="4320"/>
        <w:gridCol w:w="4320"/>
      </w:tblGrid>
      <w:tr w:rsidR="001E698E" w:rsidRPr="00AA6B13" w14:paraId="6539EDCC" w14:textId="77777777" w:rsidTr="00F4214C">
        <w:trPr>
          <w:jc w:val="center"/>
        </w:trPr>
        <w:tc>
          <w:tcPr>
            <w:tcW w:w="4320" w:type="dxa"/>
            <w:shd w:val="clear" w:color="auto" w:fill="D5E8F0"/>
          </w:tcPr>
          <w:p w14:paraId="4CADA0D5"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Scenario</w:t>
            </w:r>
          </w:p>
        </w:tc>
        <w:tc>
          <w:tcPr>
            <w:tcW w:w="4320" w:type="dxa"/>
            <w:shd w:val="clear" w:color="auto" w:fill="D5E8F0"/>
          </w:tcPr>
          <w:p w14:paraId="3BFFF3D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10-Year Impact</w:t>
            </w:r>
          </w:p>
        </w:tc>
      </w:tr>
      <w:tr w:rsidR="001E698E" w:rsidRPr="00AA6B13" w14:paraId="20FC0673" w14:textId="77777777" w:rsidTr="00F4214C">
        <w:trPr>
          <w:jc w:val="center"/>
        </w:trPr>
        <w:tc>
          <w:tcPr>
            <w:tcW w:w="4320" w:type="dxa"/>
          </w:tcPr>
          <w:p w14:paraId="7A648685"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Package Enacted</w:t>
            </w:r>
          </w:p>
        </w:tc>
        <w:tc>
          <w:tcPr>
            <w:tcW w:w="4320" w:type="dxa"/>
          </w:tcPr>
          <w:p w14:paraId="7D898D3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+$2.3–4.4T GDP, +4.1–7.8M jobs, $100–250B/yr trade improvement</w:t>
            </w:r>
          </w:p>
        </w:tc>
      </w:tr>
      <w:tr w:rsidR="001E698E" w:rsidRPr="00AA6B13" w14:paraId="702DB518" w14:textId="77777777" w:rsidTr="00F4214C">
        <w:trPr>
          <w:jc w:val="center"/>
        </w:trPr>
        <w:tc>
          <w:tcPr>
            <w:tcW w:w="4320" w:type="dxa"/>
          </w:tcPr>
          <w:p w14:paraId="7F90208C"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No Action</w:t>
            </w:r>
          </w:p>
        </w:tc>
        <w:tc>
          <w:tcPr>
            <w:tcW w:w="4320" w:type="dxa"/>
          </w:tcPr>
          <w:p w14:paraId="573D9298"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–2.9M jobs at risk (TCJA), –$470B/yr GDP, continued China dependency</w:t>
            </w:r>
          </w:p>
        </w:tc>
      </w:tr>
      <w:tr w:rsidR="001E698E" w:rsidRPr="00AA6B13" w14:paraId="20044611" w14:textId="77777777" w:rsidTr="00F4214C">
        <w:trPr>
          <w:jc w:val="center"/>
        </w:trPr>
        <w:tc>
          <w:tcPr>
            <w:tcW w:w="4320" w:type="dxa"/>
          </w:tcPr>
          <w:p w14:paraId="24895EC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Net Benefit of Action</w:t>
            </w:r>
          </w:p>
        </w:tc>
        <w:tc>
          <w:tcPr>
            <w:tcW w:w="4320" w:type="dxa"/>
          </w:tcPr>
          <w:p w14:paraId="45065C00"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+$6.0–8.1T combined GDP benefit vs. inaction baseline</w:t>
            </w:r>
          </w:p>
        </w:tc>
      </w:tr>
    </w:tbl>
    <w:p w14:paraId="5F00BA63" w14:textId="77777777" w:rsidR="001E698E" w:rsidRPr="00AA6B13" w:rsidRDefault="001E698E" w:rsidP="001E698E">
      <w:pPr>
        <w:pStyle w:val="Heading1"/>
        <w:rPr>
          <w:rFonts w:asciiTheme="majorBidi" w:hAnsiTheme="majorBidi"/>
          <w:color w:val="000000" w:themeColor="text1"/>
          <w:sz w:val="24"/>
          <w:szCs w:val="24"/>
        </w:rPr>
      </w:pPr>
      <w:r>
        <w:rPr>
          <w:rFonts w:asciiTheme="majorBidi" w:hAnsiTheme="majorBidi"/>
          <w:color w:val="000000" w:themeColor="text1"/>
          <w:sz w:val="24"/>
          <w:szCs w:val="24"/>
        </w:rPr>
        <w:t>III. Manufacturing Renaissance Legislative Package</w:t>
      </w:r>
    </w:p>
    <w:p w14:paraId="39FB5B5B"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This section introduces the four bills in the package. They deliver incentives to the income statement, increase capital availability, and create tax benefits for long-term company ownership of manufacturing businesses.</w:t>
      </w:r>
    </w:p>
    <w:p w14:paraId="7AEC8168" w14:textId="77777777" w:rsidR="001E698E" w:rsidRPr="00AA6B13" w:rsidRDefault="001E698E" w:rsidP="001E698E">
      <w:pPr>
        <w:pStyle w:val="Heading2"/>
        <w:rPr>
          <w:rFonts w:asciiTheme="majorBidi" w:hAnsiTheme="majorBidi"/>
          <w:color w:val="000000" w:themeColor="text1"/>
          <w:sz w:val="24"/>
          <w:szCs w:val="24"/>
        </w:rPr>
      </w:pPr>
      <w:r>
        <w:rPr>
          <w:rFonts w:asciiTheme="majorBidi" w:hAnsiTheme="majorBidi"/>
          <w:color w:val="000000" w:themeColor="text1"/>
          <w:sz w:val="24"/>
          <w:szCs w:val="24"/>
        </w:rPr>
        <w:t>A. MINA: Manufacturing Incentives Now Act (Section 38A)</w:t>
      </w:r>
    </w:p>
    <w:p w14:paraId="5E2D5A55"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Increase income statement returns for manufacturing companies to enhance capital attractiveness and global competitiveness.</w:t>
      </w:r>
    </w:p>
    <w:p w14:paraId="0CEF49C5"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lastRenderedPageBreak/>
        <w:t xml:space="preserve">The Manufacturing Incentives Now Act (MINA) recasts repealed Section 199, focusing on "domestic value-added" and applicable to NAICS 31-33 as a mechanism to avoid its problems. Instead of a tax deduction, MINA delivers a transferable tax credit for </w:t>
      </w:r>
      <w:proofErr w:type="gramStart"/>
      <w:r>
        <w:rPr>
          <w:rFonts w:asciiTheme="majorBidi" w:hAnsiTheme="majorBidi" w:cstheme="majorBidi"/>
          <w:color w:val="000000" w:themeColor="text1"/>
          <w:sz w:val="24"/>
          <w:szCs w:val="24"/>
        </w:rPr>
        <w:t>DVA</w:t>
      </w:r>
      <w:proofErr w:type="gramEnd"/>
      <w:r>
        <w:rPr>
          <w:rFonts w:asciiTheme="majorBidi" w:hAnsiTheme="majorBidi" w:cstheme="majorBidi"/>
          <w:color w:val="000000" w:themeColor="text1"/>
          <w:sz w:val="24"/>
          <w:szCs w:val="24"/>
        </w:rPr>
        <w:t xml:space="preserve"> so companies earn revenue and attract capital rather than simply reducing tax liability. Transferability means companies investing in new capacity or competing against subsidized imports can sell their credits for immediate cash.</w:t>
      </w:r>
    </w:p>
    <w:p w14:paraId="52EDCAB4" w14:textId="77777777" w:rsidR="001E698E" w:rsidRPr="00AA6B13" w:rsidRDefault="001E698E" w:rsidP="001E698E">
      <w:pPr>
        <w:spacing w:after="8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Mechanism: 5% base (6% for Qualified Reinvestment Electors) transferable tax credit on domestic value-added (DVA) costs.</w:t>
      </w:r>
    </w:p>
    <w:p w14:paraId="078647D1" w14:textId="77777777" w:rsidR="001E698E" w:rsidRPr="00AA6B13" w:rsidRDefault="001E698E" w:rsidP="001E698E">
      <w:pPr>
        <w:spacing w:after="8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Target: All domestic manufacturers (NAICS 31-33).</w:t>
      </w:r>
    </w:p>
    <w:p w14:paraId="457DCA08" w14:textId="77777777" w:rsidR="001E698E" w:rsidRPr="00AA6B13" w:rsidRDefault="001E698E" w:rsidP="001E698E">
      <w:pPr>
        <w:spacing w:after="8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DVA Scaling Fraction: 20% floor ensures every NAICS 31–33 manufacturer receives a base credit. Credit then scales linearly from 20% (at ≤20% DVA) to full rate (at 80%+ DVA). Formula: 0.20 + 0.80 × ((DVA − 20%) / 60%).</w:t>
      </w:r>
    </w:p>
    <w:p w14:paraId="05BC7C16" w14:textId="77777777" w:rsidR="001E698E" w:rsidRPr="00AA6B13" w:rsidRDefault="001E698E" w:rsidP="001E698E">
      <w:pPr>
        <w:spacing w:after="8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Transferability: Credits can be sold to qualified buyers (DVA ≥ 40%) or to Treasury at 85%.</w:t>
      </w:r>
    </w:p>
    <w:p w14:paraId="2AF1100A" w14:textId="77777777" w:rsidR="001E698E" w:rsidRPr="00AA6B13" w:rsidRDefault="001E698E" w:rsidP="001E698E">
      <w:pPr>
        <w:spacing w:after="8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Innovation: Transferable credits ensure benefit reaches struggling/investing companies regardless of current profitability.</w:t>
      </w:r>
    </w:p>
    <w:p w14:paraId="7D012460" w14:textId="77777777" w:rsidR="001E698E" w:rsidRPr="00AA6B13" w:rsidRDefault="001E698E" w:rsidP="001E698E">
      <w:pPr>
        <w:shd w:val="clear" w:color="auto" w:fill="F2F2F2"/>
        <w:spacing w:before="120"/>
        <w:ind w:left="432" w:right="432"/>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KEY DESIGN FEATURE: 20% DVA Floor. Even a pure assembler with only 15% domestic content gets credit on 20% of costs. This ensures EVERY manufacturer in NAICS 31-33 has a reason to participate and a path to increase domestic content. The 80% cap prevents gaming by vertically integrated firms.</w:t>
      </w:r>
    </w:p>
    <w:p w14:paraId="2FDD616D" w14:textId="77777777" w:rsidR="001E698E" w:rsidRPr="00AA6B13" w:rsidRDefault="001E698E" w:rsidP="001E698E">
      <w:pPr>
        <w:pStyle w:val="Heading2"/>
        <w:rPr>
          <w:rFonts w:asciiTheme="majorBidi" w:hAnsiTheme="majorBidi"/>
          <w:color w:val="000000" w:themeColor="text1"/>
          <w:sz w:val="24"/>
          <w:szCs w:val="24"/>
        </w:rPr>
      </w:pPr>
      <w:r>
        <w:rPr>
          <w:rFonts w:asciiTheme="majorBidi" w:hAnsiTheme="majorBidi"/>
          <w:color w:val="000000" w:themeColor="text1"/>
          <w:sz w:val="24"/>
          <w:szCs w:val="24"/>
        </w:rPr>
        <w:t>B. DO IT NOW: Strategic Sector Super-Incentive (Section 38B)</w:t>
      </w:r>
    </w:p>
    <w:p w14:paraId="5AEF5150"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DO IT NOW layers on top of MINA, recognizing that exceptional support of strategic sectors is required to rebuild capability through greater income statement support quickly.</w:t>
      </w:r>
    </w:p>
    <w:p w14:paraId="2A0F452D" w14:textId="77777777" w:rsidR="001E698E" w:rsidRPr="00AA6B13" w:rsidRDefault="001E698E" w:rsidP="001E698E">
      <w:pPr>
        <w:spacing w:after="8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Mechanism: Additional 8% base (10% for Qualified Reinvestment Electors) transferable credit (total 13–16% combined with MINA) for ten strategic sectors.</w:t>
      </w:r>
    </w:p>
    <w:p w14:paraId="26DDA465" w14:textId="77777777" w:rsidR="001E698E" w:rsidRPr="00AA6B13" w:rsidRDefault="001E698E" w:rsidP="001E698E">
      <w:pPr>
        <w:spacing w:after="8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Target: Fourteen strategic sectors (A–N) including full upstream supply chains (§38B(c)(4)): Critical minerals, Semiconductors, Autonomous systems, Computing hardware, Telecommunications, Pharmaceuticals, PPE/Medical, Electric power components, Defense components, and Shipbuilding.</w:t>
      </w:r>
    </w:p>
    <w:p w14:paraId="1FF87063"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Rationale: These sectors face the largest China cost gap and are critical to national security.</w:t>
      </w:r>
    </w:p>
    <w:p w14:paraId="18FC5A90" w14:textId="77777777" w:rsidR="001E698E" w:rsidRPr="00AA6B13" w:rsidRDefault="001E698E" w:rsidP="001E698E">
      <w:pPr>
        <w:pStyle w:val="Heading2"/>
        <w:rPr>
          <w:rFonts w:asciiTheme="majorBidi" w:hAnsiTheme="majorBidi"/>
          <w:color w:val="000000" w:themeColor="text1"/>
          <w:sz w:val="24"/>
          <w:szCs w:val="24"/>
        </w:rPr>
      </w:pPr>
      <w:r>
        <w:rPr>
          <w:rFonts w:asciiTheme="majorBidi" w:hAnsiTheme="majorBidi"/>
          <w:color w:val="000000" w:themeColor="text1"/>
          <w:sz w:val="24"/>
          <w:szCs w:val="24"/>
        </w:rPr>
        <w:t>C. Mannie Mac: Manufacturing Finance Corporation</w:t>
      </w:r>
    </w:p>
    <w:p w14:paraId="242AFC90"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Access to capital limits many of the 235,000 private companies in America from investing in advanced manufacturing, workforce enhancement, new products, and export markets.</w:t>
      </w:r>
    </w:p>
    <w:p w14:paraId="2027E746" w14:textId="77777777" w:rsidR="001E698E" w:rsidRPr="00AA6B13" w:rsidRDefault="001E698E" w:rsidP="001E698E">
      <w:pPr>
        <w:spacing w:after="8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lastRenderedPageBreak/>
        <w:t>Mechanism: GSE providing partial federal guarantees (70-85%) on bank-originated rate-subsidized manufacturing loans. Banks are closest to their customers. Via local banks, Mannie Mac can operate in every congressional district.</w:t>
      </w:r>
    </w:p>
    <w:p w14:paraId="35E01C6E" w14:textId="77777777" w:rsidR="001E698E" w:rsidRPr="00AA6B13" w:rsidRDefault="001E698E" w:rsidP="001E698E">
      <w:pPr>
        <w:spacing w:after="8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Target: Small and mid-sized manufacturers ($5M–$500M revenue) underserved by capital markets.</w:t>
      </w:r>
    </w:p>
    <w:p w14:paraId="71AF840C" w14:textId="77777777" w:rsidR="001E698E" w:rsidRPr="00AA6B13" w:rsidRDefault="001E698E" w:rsidP="001E698E">
      <w:pPr>
        <w:spacing w:after="8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Leverage: $25B appropriation → ~$282B guaranteed lending → ~$706B total investment mobilized at a 40% debt to equity ratio.</w:t>
      </w:r>
    </w:p>
    <w:p w14:paraId="7569A343"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Securitization: Creates a secondary market for manufacturing debt, allowing capital recycling for banks, and some profit for the USG to offset costs.</w:t>
      </w:r>
    </w:p>
    <w:p w14:paraId="70A9388C" w14:textId="77777777" w:rsidR="001E698E" w:rsidRPr="00AA6B13" w:rsidRDefault="001E698E" w:rsidP="001E698E">
      <w:pPr>
        <w:shd w:val="clear" w:color="auto" w:fill="F2F2F2"/>
        <w:spacing w:before="120"/>
        <w:ind w:left="432" w:right="432"/>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Warning: Lessons from Fannie and Freddie’s 2008 conservatorship inform Mannie Mac’s design. Key safeguards: 4–5% loss rate assumption (vs. Fannie’s pre-crisis 0.5%), mandatory capital reserves, no implicit government guarantee, explicit risk-sharing with originating banks. See Section VIII for stress testing under adverse scenarios.</w:t>
      </w:r>
    </w:p>
    <w:p w14:paraId="26EB52C4" w14:textId="77777777" w:rsidR="001E698E" w:rsidRPr="00AA6B13" w:rsidRDefault="001E698E" w:rsidP="001E698E">
      <w:pPr>
        <w:pStyle w:val="Heading2"/>
        <w:rPr>
          <w:rFonts w:asciiTheme="majorBidi" w:hAnsiTheme="majorBidi"/>
          <w:color w:val="000000" w:themeColor="text1"/>
          <w:sz w:val="24"/>
          <w:szCs w:val="24"/>
        </w:rPr>
      </w:pPr>
      <w:r>
        <w:rPr>
          <w:rFonts w:asciiTheme="majorBidi" w:hAnsiTheme="majorBidi"/>
          <w:color w:val="000000" w:themeColor="text1"/>
          <w:sz w:val="24"/>
          <w:szCs w:val="24"/>
        </w:rPr>
        <w:t>D. MERA: Manufacturing Entrepreneur Rewards Act</w:t>
      </w:r>
    </w:p>
    <w:p w14:paraId="2CD2DF14" w14:textId="77777777" w:rsidR="001E698E" w:rsidRPr="00AA6B13" w:rsidRDefault="001E698E" w:rsidP="001E698E">
      <w:pPr>
        <w:spacing w:after="8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Mechanism: dual-track framework: Track 1 provides gift/estate tax relief for family succession; Track 2 provides 100% capital gains exclusion (up to $250M) for external sales with enhanced anti-extraction guardrails including a 3.5:1 debt ceiling, pro-rata equity allocation, and seller recapture liability.</w:t>
      </w:r>
    </w:p>
    <w:p w14:paraId="30C4CCBF" w14:textId="77777777" w:rsidR="001E698E" w:rsidRPr="00AA6B13" w:rsidRDefault="001E698E" w:rsidP="001E698E">
      <w:pPr>
        <w:spacing w:after="8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Target: ~125,000 boomer-owned manufacturing companies at succession risk, employing 2.6 million workers.</w:t>
      </w:r>
    </w:p>
    <w:p w14:paraId="08EF83FF" w14:textId="77777777" w:rsidR="001E698E" w:rsidRPr="00AA6B13" w:rsidRDefault="001E698E" w:rsidP="001E698E">
      <w:pPr>
        <w:spacing w:after="8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Holding Period: 10 years, with recapture for employment reduction or offshoring.</w:t>
      </w:r>
    </w:p>
    <w:p w14:paraId="67A7817C"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Guardrails: No excessive debt, limiting usual private equity asset stripping.</w:t>
      </w:r>
    </w:p>
    <w:p w14:paraId="201F6690" w14:textId="77777777" w:rsidR="001E698E" w:rsidRPr="00AA6B13" w:rsidRDefault="001E698E" w:rsidP="001E698E">
      <w:pPr>
        <w:pStyle w:val="Heading1"/>
        <w:rPr>
          <w:rFonts w:asciiTheme="majorBidi" w:hAnsiTheme="majorBidi"/>
          <w:color w:val="000000" w:themeColor="text1"/>
          <w:sz w:val="24"/>
          <w:szCs w:val="24"/>
        </w:rPr>
      </w:pPr>
      <w:r>
        <w:rPr>
          <w:rFonts w:asciiTheme="majorBidi" w:hAnsiTheme="majorBidi"/>
          <w:color w:val="000000" w:themeColor="text1"/>
          <w:sz w:val="24"/>
          <w:szCs w:val="24"/>
        </w:rPr>
        <w:t>IV. Estimated Package 10-Year Costs</w:t>
      </w:r>
    </w:p>
    <w:tbl>
      <w:tblPr>
        <w:tblW w:w="0" w:type="auto"/>
        <w:jc w:val="center"/>
        <w:tblLook w:val="04A0" w:firstRow="1" w:lastRow="0" w:firstColumn="1" w:lastColumn="0" w:noHBand="0" w:noVBand="1"/>
      </w:tblPr>
      <w:tblGrid>
        <w:gridCol w:w="2880"/>
        <w:gridCol w:w="2880"/>
        <w:gridCol w:w="2880"/>
      </w:tblGrid>
      <w:tr w:rsidR="001E698E" w:rsidRPr="00AA6B13" w14:paraId="5EF7F741" w14:textId="77777777" w:rsidTr="00F4214C">
        <w:trPr>
          <w:jc w:val="center"/>
        </w:trPr>
        <w:tc>
          <w:tcPr>
            <w:tcW w:w="2880" w:type="dxa"/>
            <w:shd w:val="clear" w:color="auto" w:fill="D5E8F0"/>
          </w:tcPr>
          <w:p w14:paraId="6FAE6718"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Bill</w:t>
            </w:r>
          </w:p>
        </w:tc>
        <w:tc>
          <w:tcPr>
            <w:tcW w:w="2880" w:type="dxa"/>
            <w:shd w:val="clear" w:color="auto" w:fill="D5E8F0"/>
          </w:tcPr>
          <w:p w14:paraId="10B5FA2F"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10-Year Cost</w:t>
            </w:r>
          </w:p>
        </w:tc>
        <w:tc>
          <w:tcPr>
            <w:tcW w:w="2880" w:type="dxa"/>
            <w:shd w:val="clear" w:color="auto" w:fill="D5E8F0"/>
          </w:tcPr>
          <w:p w14:paraId="304B974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Primary Benefit</w:t>
            </w:r>
          </w:p>
        </w:tc>
      </w:tr>
      <w:tr w:rsidR="001E698E" w:rsidRPr="00AA6B13" w14:paraId="1241D91F" w14:textId="77777777" w:rsidTr="00F4214C">
        <w:trPr>
          <w:jc w:val="center"/>
        </w:trPr>
        <w:tc>
          <w:tcPr>
            <w:tcW w:w="2880" w:type="dxa"/>
          </w:tcPr>
          <w:p w14:paraId="69D55EB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MINA (Section 38A, 5–6% credit)</w:t>
            </w:r>
          </w:p>
        </w:tc>
        <w:tc>
          <w:tcPr>
            <w:tcW w:w="2880" w:type="dxa"/>
          </w:tcPr>
          <w:p w14:paraId="39A0689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$978–1,073B</w:t>
            </w:r>
          </w:p>
        </w:tc>
        <w:tc>
          <w:tcPr>
            <w:tcW w:w="2880" w:type="dxa"/>
          </w:tcPr>
          <w:p w14:paraId="59D9C405"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Broad manufacturing incentive; QRE-blended structure with 3–5%/yr growth scenarios</w:t>
            </w:r>
          </w:p>
        </w:tc>
      </w:tr>
      <w:tr w:rsidR="001E698E" w:rsidRPr="00AA6B13" w14:paraId="40EC9B50" w14:textId="77777777" w:rsidTr="00F4214C">
        <w:trPr>
          <w:jc w:val="center"/>
        </w:trPr>
        <w:tc>
          <w:tcPr>
            <w:tcW w:w="2880" w:type="dxa"/>
          </w:tcPr>
          <w:p w14:paraId="033343EC"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DO IT NOW (Section 38B, +8–10%)</w:t>
            </w:r>
          </w:p>
        </w:tc>
        <w:tc>
          <w:tcPr>
            <w:tcW w:w="2880" w:type="dxa"/>
          </w:tcPr>
          <w:p w14:paraId="60C1570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$416–456B</w:t>
            </w:r>
          </w:p>
        </w:tc>
        <w:tc>
          <w:tcPr>
            <w:tcW w:w="2880" w:type="dxa"/>
          </w:tcPr>
          <w:p w14:paraId="74356EE7"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Strategic sector focus; QRE-blended structure with 3–5%/yr growth scenarios</w:t>
            </w:r>
          </w:p>
        </w:tc>
      </w:tr>
      <w:tr w:rsidR="001E698E" w:rsidRPr="00AA6B13" w14:paraId="4C0EC8B5" w14:textId="77777777" w:rsidTr="00F4214C">
        <w:trPr>
          <w:jc w:val="center"/>
        </w:trPr>
        <w:tc>
          <w:tcPr>
            <w:tcW w:w="2880" w:type="dxa"/>
          </w:tcPr>
          <w:p w14:paraId="500F2E98"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Mannie Mac (GSE)</w:t>
            </w:r>
          </w:p>
        </w:tc>
        <w:tc>
          <w:tcPr>
            <w:tcW w:w="2880" w:type="dxa"/>
          </w:tcPr>
          <w:p w14:paraId="717B5196"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$25B approx. ($12.7B net cost)</w:t>
            </w:r>
          </w:p>
        </w:tc>
        <w:tc>
          <w:tcPr>
            <w:tcW w:w="2880" w:type="dxa"/>
          </w:tcPr>
          <w:p w14:paraId="22F5D590"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$250B+ lending; 4–5% loss rate assumed</w:t>
            </w:r>
          </w:p>
        </w:tc>
      </w:tr>
      <w:tr w:rsidR="001E698E" w:rsidRPr="00AA6B13" w14:paraId="141EA4AD" w14:textId="77777777" w:rsidTr="00F4214C">
        <w:trPr>
          <w:jc w:val="center"/>
        </w:trPr>
        <w:tc>
          <w:tcPr>
            <w:tcW w:w="2880" w:type="dxa"/>
          </w:tcPr>
          <w:p w14:paraId="6E36A7F6"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lastRenderedPageBreak/>
              <w:t xml:space="preserve">MERA (Dual-Track) </w:t>
            </w:r>
          </w:p>
        </w:tc>
        <w:tc>
          <w:tcPr>
            <w:tcW w:w="2880" w:type="dxa"/>
          </w:tcPr>
          <w:p w14:paraId="41D66AE6"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$36–73B</w:t>
            </w:r>
          </w:p>
        </w:tc>
        <w:tc>
          <w:tcPr>
            <w:tcW w:w="2880" w:type="dxa"/>
          </w:tcPr>
          <w:p w14:paraId="59CFCDFF"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Family succession ($19–50B) + external sales ($16–25B)</w:t>
            </w:r>
          </w:p>
        </w:tc>
      </w:tr>
      <w:tr w:rsidR="001E698E" w:rsidRPr="00AA6B13" w14:paraId="18E40453" w14:textId="77777777" w:rsidTr="00F4214C">
        <w:trPr>
          <w:jc w:val="center"/>
        </w:trPr>
        <w:tc>
          <w:tcPr>
            <w:tcW w:w="2880" w:type="dxa"/>
          </w:tcPr>
          <w:p w14:paraId="76A0500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TOTAL PACKAGE</w:t>
            </w:r>
          </w:p>
        </w:tc>
        <w:tc>
          <w:tcPr>
            <w:tcW w:w="2880" w:type="dxa"/>
          </w:tcPr>
          <w:p w14:paraId="7F2BB5F8"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$1.44T – $1.62T</w:t>
            </w:r>
          </w:p>
        </w:tc>
        <w:tc>
          <w:tcPr>
            <w:tcW w:w="2880" w:type="dxa"/>
          </w:tcPr>
          <w:p w14:paraId="4AF0F496"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See benefits below</w:t>
            </w:r>
          </w:p>
        </w:tc>
      </w:tr>
    </w:tbl>
    <w:p w14:paraId="7E8691DB" w14:textId="77777777" w:rsidR="001E698E" w:rsidRPr="00AA6B13" w:rsidRDefault="001E698E" w:rsidP="001E698E">
      <w:pPr>
        <w:spacing w:after="80"/>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Key Findings:</w:t>
      </w:r>
    </w:p>
    <w:p w14:paraId="0B96771F" w14:textId="77777777" w:rsidR="001E698E" w:rsidRPr="00AA6B13" w:rsidRDefault="001E698E" w:rsidP="001E698E">
      <w:pPr>
        <w:pStyle w:val="ListBullet"/>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10-Year Package Cost: $1.44 trillion to $1.62 trillion (Mannie Mac appropriation of $25B partially offset by $12.3B in fee revenue returned to Treasury; net federal cost $12.7B).</w:t>
      </w:r>
    </w:p>
    <w:p w14:paraId="26649DC8" w14:textId="77777777" w:rsidR="001E698E" w:rsidRPr="00AA6B13" w:rsidRDefault="001E698E" w:rsidP="001E698E">
      <w:pPr>
        <w:pStyle w:val="ListBullet"/>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10-Year GDP Impact: $2.3 – $4.4 trillion cumulative increase (guardrails ensure credit quality)</w:t>
      </w:r>
    </w:p>
    <w:p w14:paraId="7D05BA00" w14:textId="77777777" w:rsidR="001E698E" w:rsidRPr="00AA6B13" w:rsidRDefault="001E698E" w:rsidP="001E698E">
      <w:pPr>
        <w:pStyle w:val="ListBullet"/>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Jobs Created/Preserved: 4.1 – 7.8 million (direct + indirect, with reduced 4.0× multiplier)</w:t>
      </w:r>
    </w:p>
    <w:p w14:paraId="5FBD829E" w14:textId="77777777" w:rsidR="001E698E" w:rsidRPr="00AA6B13" w:rsidRDefault="001E698E" w:rsidP="001E698E">
      <w:pPr>
        <w:pStyle w:val="ListBullet"/>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Trade Balance Improvement: $100 – $250 billion annually by Year 10</w:t>
      </w:r>
    </w:p>
    <w:p w14:paraId="0448C18B" w14:textId="77777777" w:rsidR="001E698E" w:rsidRPr="00AA6B13" w:rsidRDefault="001E698E" w:rsidP="001E698E">
      <w:pPr>
        <w:pStyle w:val="ListBullet"/>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Return on Investment: 1.47× to 3.15× GDP return per dollar invested (gross cost basis)</w:t>
      </w:r>
    </w:p>
    <w:p w14:paraId="76359250" w14:textId="77777777" w:rsidR="001E698E" w:rsidRPr="00AA6B13" w:rsidRDefault="001E698E" w:rsidP="001E698E">
      <w:pPr>
        <w:shd w:val="clear" w:color="auto" w:fill="F2F2F2"/>
        <w:spacing w:before="120"/>
        <w:ind w:left="432" w:right="432"/>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DYNAMIC COST ESTIMATES: Key Assumptions — (1) Dual growth scenarios: 3% conservative baseline (above CBO’s ~2% estimate) and 5% dynamic estimate reflecting incentive-driven expansion, for MINA and DO IT NOW. (2) MERA per-company benefits derived from Census SUSB firm size distribution and IRS estate/CG tax data. See detailed derivations in each section below.</w:t>
      </w:r>
    </w:p>
    <w:p w14:paraId="003AF656" w14:textId="77777777" w:rsidR="001E698E" w:rsidRPr="00AA6B13" w:rsidRDefault="001E698E" w:rsidP="001E698E">
      <w:pPr>
        <w:pStyle w:val="Heading1"/>
        <w:rPr>
          <w:rFonts w:asciiTheme="majorBidi" w:hAnsiTheme="majorBidi"/>
          <w:color w:val="000000" w:themeColor="text1"/>
          <w:sz w:val="24"/>
          <w:szCs w:val="24"/>
        </w:rPr>
      </w:pPr>
      <w:r>
        <w:rPr>
          <w:rFonts w:asciiTheme="majorBidi" w:hAnsiTheme="majorBidi"/>
          <w:color w:val="000000" w:themeColor="text1"/>
          <w:sz w:val="24"/>
          <w:szCs w:val="24"/>
        </w:rPr>
        <w:t>V. Detailed Cost Estimates with Complete Derivations</w:t>
      </w:r>
    </w:p>
    <w:p w14:paraId="7108EAAD" w14:textId="77777777" w:rsidR="001E698E" w:rsidRPr="00AA6B13" w:rsidRDefault="001E698E" w:rsidP="001E698E">
      <w:pPr>
        <w:pStyle w:val="Heading2"/>
        <w:rPr>
          <w:rFonts w:asciiTheme="majorBidi" w:hAnsiTheme="majorBidi"/>
          <w:color w:val="000000" w:themeColor="text1"/>
          <w:sz w:val="24"/>
          <w:szCs w:val="24"/>
        </w:rPr>
      </w:pPr>
      <w:r>
        <w:rPr>
          <w:rFonts w:asciiTheme="majorBidi" w:hAnsiTheme="majorBidi"/>
          <w:color w:val="000000" w:themeColor="text1"/>
          <w:sz w:val="24"/>
          <w:szCs w:val="24"/>
        </w:rPr>
        <w:t xml:space="preserve">A. MINA Cost Estimate: $978–1,073 </w:t>
      </w:r>
      <w:proofErr w:type="gramStart"/>
      <w:r>
        <w:rPr>
          <w:rFonts w:asciiTheme="majorBidi" w:hAnsiTheme="majorBidi"/>
          <w:color w:val="000000" w:themeColor="text1"/>
          <w:sz w:val="24"/>
          <w:szCs w:val="24"/>
        </w:rPr>
        <w:t>Billion</w:t>
      </w:r>
      <w:proofErr w:type="gramEnd"/>
      <w:r>
        <w:rPr>
          <w:rFonts w:asciiTheme="majorBidi" w:hAnsiTheme="majorBidi"/>
          <w:color w:val="000000" w:themeColor="text1"/>
          <w:sz w:val="24"/>
          <w:szCs w:val="24"/>
        </w:rPr>
        <w:t xml:space="preserve"> (10-Year with growth, QRE-blended)</w:t>
      </w:r>
    </w:p>
    <w:p w14:paraId="7E1FD9D8"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The MINA cost estimate is the largest single item in the package. It chains together five foundational inputs plus the 3–5% growth scenario assumptions. Each derivation is presented below.</w:t>
      </w:r>
    </w:p>
    <w:p w14:paraId="26F52A62" w14:textId="77777777" w:rsidR="001E698E" w:rsidRPr="00AA6B13" w:rsidRDefault="001E698E" w:rsidP="001E698E">
      <w:pPr>
        <w:pStyle w:val="Heading3"/>
        <w:rPr>
          <w:rFonts w:asciiTheme="majorBidi" w:hAnsiTheme="majorBidi"/>
          <w:color w:val="000000" w:themeColor="text1"/>
          <w:sz w:val="24"/>
          <w:szCs w:val="24"/>
        </w:rPr>
      </w:pPr>
      <w:r>
        <w:rPr>
          <w:rFonts w:asciiTheme="majorBidi" w:hAnsiTheme="majorBidi"/>
          <w:color w:val="000000" w:themeColor="text1"/>
          <w:sz w:val="24"/>
          <w:szCs w:val="24"/>
        </w:rPr>
        <w:t>Foundation A-1: U.S. Manufacturing Value-Added ($2.9 Trillion)</w:t>
      </w:r>
    </w:p>
    <w:p w14:paraId="2667AF45"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This is the foundational input for all MINA and DO IT NOW cost calculations. Manufacturing value-added measures the total value created by the manufacturing sector, equal to gross output minus the cost of intermediate inputs (materials, energy, purchased services from non-manufacturing sectors).</w:t>
      </w:r>
    </w:p>
    <w:p w14:paraId="72BBB059" w14:textId="77777777" w:rsidR="001E698E" w:rsidRPr="00AA6B13"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Bureau of Economic Analysis (BEA), GDP by Industry, 2024:</w:t>
      </w:r>
      <w:r>
        <w:rPr>
          <w:rFonts w:asciiTheme="majorBidi" w:hAnsiTheme="majorBidi" w:cstheme="majorBidi"/>
          <w:color w:val="000000" w:themeColor="text1"/>
          <w:sz w:val="24"/>
          <w:szCs w:val="24"/>
        </w:rPr>
        <w:br/>
        <w:t xml:space="preserve"> Manufacturing sector value-added = $2.897 trillion</w:t>
      </w:r>
      <w:r>
        <w:rPr>
          <w:rFonts w:asciiTheme="majorBidi" w:hAnsiTheme="majorBidi" w:cstheme="majorBidi"/>
          <w:color w:val="000000" w:themeColor="text1"/>
          <w:sz w:val="24"/>
          <w:szCs w:val="24"/>
        </w:rPr>
        <w:br/>
        <w:t xml:space="preserve"> Rounded to $2.9 trillion for presentation</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 xml:space="preserve">Cross-check: NIST Advanced Manufacturing data confirms manufacturing = ~11% </w:t>
      </w:r>
      <w:r>
        <w:rPr>
          <w:rFonts w:asciiTheme="majorBidi" w:hAnsiTheme="majorBidi" w:cstheme="majorBidi"/>
          <w:color w:val="000000" w:themeColor="text1"/>
          <w:sz w:val="24"/>
          <w:szCs w:val="24"/>
        </w:rPr>
        <w:lastRenderedPageBreak/>
        <w:t>of $26.9T GDP = ~$2.96T</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We use $2.9T (conservative, BEA primary source)</w:t>
      </w:r>
    </w:p>
    <w:p w14:paraId="25692EB6" w14:textId="77777777" w:rsidR="001E698E" w:rsidRDefault="001E698E" w:rsidP="001E698E">
      <w:pPr>
        <w:spacing w:after="160"/>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 xml:space="preserve">SOURCES: BEA GDP by Industry Tables, Table 1.3.5 </w:t>
      </w:r>
      <w:hyperlink r:id="rId7" w:history="1">
        <w:r>
          <w:rPr>
            <w:rStyle w:val="Hyperlink"/>
            <w:rFonts w:asciiTheme="majorBidi" w:hAnsiTheme="majorBidi" w:cstheme="majorBidi"/>
            <w:i/>
            <w:sz w:val="24"/>
            <w:szCs w:val="24"/>
          </w:rPr>
          <w:t>https://apps.bea.gov/iTable/?reqid=150&amp;step=2</w:t>
        </w:r>
      </w:hyperlink>
      <w:r>
        <w:rPr>
          <w:rFonts w:asciiTheme="majorBidi" w:hAnsiTheme="majorBidi" w:cstheme="majorBidi"/>
          <w:i/>
          <w:color w:val="000000" w:themeColor="text1"/>
          <w:sz w:val="24"/>
          <w:szCs w:val="24"/>
        </w:rPr>
        <w:t xml:space="preserve"> </w:t>
      </w:r>
      <w:proofErr w:type="gramStart"/>
      <w:r>
        <w:rPr>
          <w:rFonts w:asciiTheme="majorBidi" w:hAnsiTheme="majorBidi" w:cstheme="majorBidi"/>
          <w:i/>
          <w:color w:val="000000" w:themeColor="text1"/>
          <w:sz w:val="24"/>
          <w:szCs w:val="24"/>
        </w:rPr>
        <w:t>);</w:t>
      </w:r>
      <w:proofErr w:type="gramEnd"/>
    </w:p>
    <w:p w14:paraId="4F31B0A4"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i/>
          <w:color w:val="000000" w:themeColor="text1"/>
          <w:sz w:val="24"/>
          <w:szCs w:val="24"/>
        </w:rPr>
        <w:t xml:space="preserve"> NIST Manufacturing USA Annual Report 2024 (</w:t>
      </w:r>
      <w:hyperlink r:id="rId8" w:history="1">
        <w:r>
          <w:rPr>
            <w:rStyle w:val="Hyperlink"/>
            <w:rFonts w:asciiTheme="majorBidi" w:hAnsiTheme="majorBidi" w:cstheme="majorBidi"/>
            <w:i/>
            <w:sz w:val="24"/>
            <w:szCs w:val="24"/>
          </w:rPr>
          <w:t>https://www.nist.gov/manufacturing</w:t>
        </w:r>
      </w:hyperlink>
      <w:r>
        <w:rPr>
          <w:rFonts w:asciiTheme="majorBidi" w:hAnsiTheme="majorBidi" w:cstheme="majorBidi"/>
          <w:i/>
          <w:color w:val="000000" w:themeColor="text1"/>
          <w:sz w:val="24"/>
          <w:szCs w:val="24"/>
        </w:rPr>
        <w:t xml:space="preserve"> )</w:t>
      </w:r>
    </w:p>
    <w:p w14:paraId="40526A15" w14:textId="77777777" w:rsidR="001E698E" w:rsidRPr="00AA6B13" w:rsidRDefault="001E698E" w:rsidP="001E698E">
      <w:pPr>
        <w:pStyle w:val="Heading3"/>
        <w:rPr>
          <w:rFonts w:asciiTheme="majorBidi" w:hAnsiTheme="majorBidi"/>
          <w:color w:val="000000" w:themeColor="text1"/>
          <w:sz w:val="24"/>
          <w:szCs w:val="24"/>
        </w:rPr>
      </w:pPr>
      <w:r>
        <w:rPr>
          <w:rFonts w:asciiTheme="majorBidi" w:hAnsiTheme="majorBidi"/>
          <w:color w:val="000000" w:themeColor="text1"/>
          <w:sz w:val="24"/>
          <w:szCs w:val="24"/>
        </w:rPr>
        <w:t xml:space="preserve">Foundation A-2: Estimated DVA Costs (~$2.5 </w:t>
      </w:r>
      <w:proofErr w:type="gramStart"/>
      <w:r>
        <w:rPr>
          <w:rFonts w:asciiTheme="majorBidi" w:hAnsiTheme="majorBidi"/>
          <w:color w:val="000000" w:themeColor="text1"/>
          <w:sz w:val="24"/>
          <w:szCs w:val="24"/>
        </w:rPr>
        <w:t>Trillion</w:t>
      </w:r>
      <w:proofErr w:type="gramEnd"/>
      <w:r>
        <w:rPr>
          <w:rFonts w:asciiTheme="majorBidi" w:hAnsiTheme="majorBidi"/>
          <w:color w:val="000000" w:themeColor="text1"/>
          <w:sz w:val="24"/>
          <w:szCs w:val="24"/>
        </w:rPr>
        <w:t>)</w:t>
      </w:r>
    </w:p>
    <w:p w14:paraId="34BC6DB0"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DVA (Domestic Value-Added) costs are the subset of manufacturing Gross Value Added (GVA) attributable to domestic economic activity. This is the tax credit base for MINA. GVA equals gross output minus all intermediate inputs. DVA costs exclude corporate profits (returns to shareholders) and depreciation on foreign-origin equipment, since these are not "costs" in the income-statement sense relevant to the credit.</w:t>
      </w:r>
    </w:p>
    <w:p w14:paraId="3BC8CC68" w14:textId="77777777" w:rsidR="001E698E" w:rsidRPr="00AA6B13"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Step 1: Start with manufacturing GVA = $2.9T (from A-1)</w:t>
      </w:r>
      <w:r>
        <w:rPr>
          <w:rFonts w:asciiTheme="majorBidi" w:hAnsiTheme="majorBidi" w:cstheme="majorBidi"/>
          <w:color w:val="000000" w:themeColor="text1"/>
          <w:sz w:val="24"/>
          <w:szCs w:val="24"/>
        </w:rPr>
        <w:br/>
        <w:t xml:space="preserve"> NOTE: GVA = Gross Output (~$7.3T) minus ALL intermediate</w:t>
      </w:r>
      <w:r>
        <w:rPr>
          <w:rFonts w:asciiTheme="majorBidi" w:hAnsiTheme="majorBidi" w:cstheme="majorBidi"/>
          <w:color w:val="000000" w:themeColor="text1"/>
          <w:sz w:val="24"/>
          <w:szCs w:val="24"/>
        </w:rPr>
        <w:br/>
        <w:t xml:space="preserve"> inputs (~$4.4T), including ~$1.3T in imported intermediates.</w:t>
      </w:r>
      <w:r>
        <w:rPr>
          <w:rFonts w:asciiTheme="majorBidi" w:hAnsiTheme="majorBidi" w:cstheme="majorBidi"/>
          <w:color w:val="000000" w:themeColor="text1"/>
          <w:sz w:val="24"/>
          <w:szCs w:val="24"/>
        </w:rPr>
        <w:br/>
        <w:t xml:space="preserve"> All imported intermediate content is ALREADY excluded.</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Step 2: Subtract corporate profits</w:t>
      </w:r>
      <w:r>
        <w:rPr>
          <w:rFonts w:asciiTheme="majorBidi" w:hAnsiTheme="majorBidi" w:cstheme="majorBidi"/>
          <w:color w:val="000000" w:themeColor="text1"/>
          <w:sz w:val="24"/>
          <w:szCs w:val="24"/>
        </w:rPr>
        <w:br/>
        <w:t xml:space="preserve"> Corporate profits (net of depreciation): ~$350B</w:t>
      </w:r>
      <w:r>
        <w:rPr>
          <w:rFonts w:asciiTheme="majorBidi" w:hAnsiTheme="majorBidi" w:cstheme="majorBidi"/>
          <w:color w:val="000000" w:themeColor="text1"/>
          <w:sz w:val="24"/>
          <w:szCs w:val="24"/>
        </w:rPr>
        <w:br/>
        <w:t xml:space="preserve"> (BEA NIPA Table 6.16D)</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Step 3: Subtract foreign-equipment depreciation</w:t>
      </w:r>
      <w:r>
        <w:rPr>
          <w:rFonts w:asciiTheme="majorBidi" w:hAnsiTheme="majorBidi" w:cstheme="majorBidi"/>
          <w:color w:val="000000" w:themeColor="text1"/>
          <w:sz w:val="24"/>
          <w:szCs w:val="24"/>
        </w:rPr>
        <w:br/>
        <w:t xml:space="preserve"> ~$50B (BEA Fixed Assets Table 3.4ES, foreign share ~15%)</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Result: $2.9T - $350B - $50B = ~$2.5T DVA costs</w:t>
      </w:r>
    </w:p>
    <w:p w14:paraId="215698F6"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SOURCES: BEA NIPA Table 6.16D (https://apps.bea.gov/iTable/?reqid=19&amp;step=2); BLS QCEW Manufacturing (https://data.bls.gov/cew/apps/data_views/data_views.htm); Commerce Dept "What Is Made in America" (July 2024)</w:t>
      </w:r>
    </w:p>
    <w:p w14:paraId="1E82B6C3" w14:textId="373D7AA4" w:rsidR="00C1100D" w:rsidRPr="00C1100D" w:rsidRDefault="00C1100D" w:rsidP="00C1100D">
      <w:pPr>
        <w:rPr>
          <w:rFonts w:asciiTheme="majorBidi" w:hAnsiTheme="majorBidi" w:cstheme="majorBidi"/>
          <w:color w:val="000000" w:themeColor="text1"/>
          <w:sz w:val="24"/>
          <w:szCs w:val="24"/>
        </w:rPr>
      </w:pPr>
      <w:r w:rsidRPr="00C1100D">
        <w:rPr>
          <w:rFonts w:asciiTheme="majorBidi" w:hAnsiTheme="majorBidi" w:cstheme="majorBidi"/>
          <w:bCs/>
          <w:color w:val="000000" w:themeColor="text1"/>
          <w:sz w:val="24"/>
          <w:szCs w:val="24"/>
        </w:rPr>
        <w:t xml:space="preserve">§38A(o) Industry Eligibility Gate — DVA Cost Base Reconciliation. Total NAICS 31–33 DVA cost base: $2.5T (GVA of $2.9T minus corporate profits of ~$350B and foreign-equipment depreciation of ~$50B; domestic depreciation of ~$280B is retained as a genuine domestic cost). Note: the $2.5T includes all NAICS 31–33 manufacturers, including those excluded by §38A(o). From this $2.5T total, the following sectors are excluded from §38A eligibility: NAICS 3121 (Beverage Manufacturing, including alcoholic and non-alcoholic beverages, ~$55B VA) and NAICS 3122 (Tobacco Manufacturing, ~$12B VA) are permanently excluded by statute — a policy judgment that these industries do not present the capital market failures or strategic competitive </w:t>
      </w:r>
      <w:r w:rsidRPr="00C1100D">
        <w:rPr>
          <w:rFonts w:asciiTheme="majorBidi" w:hAnsiTheme="majorBidi" w:cstheme="majorBidi"/>
          <w:bCs/>
          <w:color w:val="000000" w:themeColor="text1"/>
          <w:sz w:val="24"/>
          <w:szCs w:val="24"/>
        </w:rPr>
        <w:lastRenderedPageBreak/>
        <w:t>threats the Act addresses. NAICS 3256 (Soap, Cleaning Compound, and Toilet Preparation Manufacturing — the Household Products sector, dominated by P&amp;G, Colgate-Palmolive, and Kimberly-Clark, ~$35B VA) is excluded annually by IRS Notice because its trailing 3-year EVA spread exceeds 18 percentage points and it is not covered by §38B. Metals &amp; Mining (+18.9%) and Semiconductor Equipment (+18.5%), while above the 18pp threshold, are both designated §38B strategic sectors and automatically retain §38A eligibility. Combined excluded value added: ~$100B = ~4.8% of $2.3T total NAICS 31–33 manufacturing VA, reducing the eligible DVA cost base from $2.5T (total) to $2.38T (§38A-eligible). This reduces the 10-year MINA cost estimate from $1,028–1,127B to $978–1,073B — a reduction of ~$50B that falls within the existing uncertainty band of the estimate (smaller than the $95B spread between conservative and dynamic growth scenarios) and does not materially affect the headline cost figures presented in this analysis. The Excel model has been updated to reflect the $2.38T eligible base as the operative input.</w:t>
      </w:r>
    </w:p>
    <w:p w14:paraId="1236CD6B" w14:textId="77777777" w:rsidR="001E698E" w:rsidRPr="00AA6B13" w:rsidRDefault="001E698E" w:rsidP="001E698E">
      <w:pPr>
        <w:pStyle w:val="Heading3"/>
        <w:rPr>
          <w:rFonts w:asciiTheme="majorBidi" w:hAnsiTheme="majorBidi"/>
          <w:color w:val="000000" w:themeColor="text1"/>
          <w:sz w:val="24"/>
          <w:szCs w:val="24"/>
        </w:rPr>
      </w:pPr>
      <w:r>
        <w:rPr>
          <w:rFonts w:asciiTheme="majorBidi" w:hAnsiTheme="majorBidi"/>
          <w:color w:val="000000" w:themeColor="text1"/>
          <w:sz w:val="24"/>
          <w:szCs w:val="24"/>
        </w:rPr>
        <w:t>Foundation A-3: DVA Scaling Fraction (0.76)</w:t>
      </w:r>
    </w:p>
    <w:p w14:paraId="5B733040"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The DVA Scaling Fraction determines what portion of a manufacturer’s costs qualify as domestic value-added. MINA includes a 20% floor (all manufacturers get at least 20%) and an 80% cap.</w:t>
      </w:r>
    </w:p>
    <w:p w14:paraId="6D0EF1CC" w14:textId="77777777" w:rsidR="001E698E" w:rsidRPr="00AA6B13"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Step 1: Raw DVA Ratio = DVA Costs / Total </w:t>
      </w:r>
      <w:proofErr w:type="spellStart"/>
      <w:r>
        <w:rPr>
          <w:rFonts w:asciiTheme="majorBidi" w:hAnsiTheme="majorBidi" w:cstheme="majorBidi"/>
          <w:color w:val="000000" w:themeColor="text1"/>
          <w:sz w:val="24"/>
          <w:szCs w:val="24"/>
        </w:rPr>
        <w:t>Mfg</w:t>
      </w:r>
      <w:proofErr w:type="spellEnd"/>
      <w:r>
        <w:rPr>
          <w:rFonts w:asciiTheme="majorBidi" w:hAnsiTheme="majorBidi" w:cstheme="majorBidi"/>
          <w:color w:val="000000" w:themeColor="text1"/>
          <w:sz w:val="24"/>
          <w:szCs w:val="24"/>
        </w:rPr>
        <w:t xml:space="preserve"> Costs</w:t>
      </w:r>
      <w:r>
        <w:rPr>
          <w:rFonts w:asciiTheme="majorBidi" w:hAnsiTheme="majorBidi" w:cstheme="majorBidi"/>
          <w:color w:val="000000" w:themeColor="text1"/>
          <w:sz w:val="24"/>
          <w:szCs w:val="24"/>
        </w:rPr>
        <w:br/>
        <w:t xml:space="preserve"> $2.5T / $2.9T = ~86% aggregate average</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 xml:space="preserve"> BUT: Individual firms vary enormously:</w:t>
      </w:r>
      <w:r>
        <w:rPr>
          <w:rFonts w:asciiTheme="majorBidi" w:hAnsiTheme="majorBidi" w:cstheme="majorBidi"/>
          <w:color w:val="000000" w:themeColor="text1"/>
          <w:sz w:val="24"/>
          <w:szCs w:val="24"/>
        </w:rPr>
        <w:br/>
        <w:t xml:space="preserve"> Assembly-only (e.g., electronics): 15-30% DVA</w:t>
      </w:r>
      <w:r>
        <w:rPr>
          <w:rFonts w:asciiTheme="majorBidi" w:hAnsiTheme="majorBidi" w:cstheme="majorBidi"/>
          <w:color w:val="000000" w:themeColor="text1"/>
          <w:sz w:val="24"/>
          <w:szCs w:val="24"/>
        </w:rPr>
        <w:br/>
        <w:t xml:space="preserve"> Vertically integrated (e.g., steel): 70-90% DVA</w:t>
      </w:r>
      <w:r>
        <w:rPr>
          <w:rFonts w:asciiTheme="majorBidi" w:hAnsiTheme="majorBidi" w:cstheme="majorBidi"/>
          <w:color w:val="000000" w:themeColor="text1"/>
          <w:sz w:val="24"/>
          <w:szCs w:val="24"/>
        </w:rPr>
        <w:br/>
        <w:t xml:space="preserve"> Weighted distribution clusters around 50-65%</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Step 2: Apply 20% Floor Effect</w:t>
      </w:r>
      <w:r>
        <w:rPr>
          <w:rFonts w:asciiTheme="majorBidi" w:hAnsiTheme="majorBidi" w:cstheme="majorBidi"/>
          <w:color w:val="000000" w:themeColor="text1"/>
          <w:sz w:val="24"/>
          <w:szCs w:val="24"/>
        </w:rPr>
        <w:br/>
        <w:t xml:space="preserve"> MINA grants a MINIMUM 20% Applied DVA to all manufacturers.</w:t>
      </w:r>
      <w:r>
        <w:rPr>
          <w:rFonts w:asciiTheme="majorBidi" w:hAnsiTheme="majorBidi" w:cstheme="majorBidi"/>
          <w:color w:val="000000" w:themeColor="text1"/>
          <w:sz w:val="24"/>
          <w:szCs w:val="24"/>
        </w:rPr>
        <w:br/>
        <w:t xml:space="preserve"> This raises the effective average DVA ratio from ~58% to ~62%</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DVA Ratio: 62% → Scaling Fraction: 0.20 + 0.80 × (0.62 − 0.20) / 0.60 = 0.76</w:t>
      </w:r>
    </w:p>
    <w:p w14:paraId="715F042F" w14:textId="77777777" w:rsidR="001E698E" w:rsidRPr="00AA6B13" w:rsidRDefault="001E698E" w:rsidP="001E698E">
      <w:pPr>
        <w:spacing w:after="160"/>
        <w:ind w:left="432"/>
        <w:rPr>
          <w:rFonts w:asciiTheme="majorBidi" w:hAnsiTheme="majorBidi" w:cstheme="majorBidi"/>
          <w:color w:val="000000" w:themeColor="text1"/>
          <w:sz w:val="24"/>
          <w:szCs w:val="24"/>
        </w:rPr>
      </w:pPr>
      <w:r>
        <w:rPr>
          <w:rFonts w:asciiTheme="majorBidi" w:hAnsiTheme="majorBidi" w:cstheme="majorBidi"/>
          <w:i/>
          <w:color w:val="000000" w:themeColor="text1"/>
          <w:sz w:val="24"/>
          <w:szCs w:val="24"/>
        </w:rPr>
        <w:t>SOURCES: Census Annual Survey of Manufactures, Table AM2201; BEA Input-Output Use Tables (https://www.bea.gov/industry/input-output-accounts-data)</w:t>
      </w:r>
    </w:p>
    <w:p w14:paraId="653080A0" w14:textId="77777777" w:rsidR="001E698E" w:rsidRPr="00AA6B13" w:rsidRDefault="001E698E" w:rsidP="001E698E">
      <w:pPr>
        <w:pStyle w:val="Heading3"/>
        <w:rPr>
          <w:rFonts w:asciiTheme="majorBidi" w:hAnsiTheme="majorBidi"/>
          <w:color w:val="000000" w:themeColor="text1"/>
          <w:sz w:val="24"/>
          <w:szCs w:val="24"/>
        </w:rPr>
      </w:pPr>
      <w:r>
        <w:rPr>
          <w:rFonts w:asciiTheme="majorBidi" w:hAnsiTheme="majorBidi"/>
          <w:color w:val="000000" w:themeColor="text1"/>
          <w:sz w:val="24"/>
          <w:szCs w:val="24"/>
        </w:rPr>
        <w:t>Foundation A-4: Average Utilization Factor (0.85)</w:t>
      </w:r>
    </w:p>
    <w:p w14:paraId="10C35637"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The utilization factor accounts for the reality that not all DVA costs generate full credit value. Some costs may be partially disqualified, subject to phase-ins, or reduced by anti-abuse provisions.</w:t>
      </w:r>
    </w:p>
    <w:p w14:paraId="30CF3886" w14:textId="77777777" w:rsidR="001E698E" w:rsidRPr="00AA6B13"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lastRenderedPageBreak/>
        <w:t>The 0.85 factor reflects several real-world reductions:</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1. Phase-in discount: New claimant’s partial credits (~5% reduction)</w:t>
      </w:r>
      <w:r>
        <w:rPr>
          <w:rFonts w:asciiTheme="majorBidi" w:hAnsiTheme="majorBidi" w:cstheme="majorBidi"/>
          <w:color w:val="000000" w:themeColor="text1"/>
          <w:sz w:val="24"/>
          <w:szCs w:val="24"/>
        </w:rPr>
        <w:br/>
        <w:t>2. Audit/compliance friction: Documentation gaps (~3% reduction)</w:t>
      </w:r>
      <w:r>
        <w:rPr>
          <w:rFonts w:asciiTheme="majorBidi" w:hAnsiTheme="majorBidi" w:cstheme="majorBidi"/>
          <w:color w:val="000000" w:themeColor="text1"/>
          <w:sz w:val="24"/>
          <w:szCs w:val="24"/>
        </w:rPr>
        <w:br/>
        <w:t>3. Related-party adjustments: Transfer pricing (~4% reduction)</w:t>
      </w:r>
      <w:r>
        <w:rPr>
          <w:rFonts w:asciiTheme="majorBidi" w:hAnsiTheme="majorBidi" w:cstheme="majorBidi"/>
          <w:color w:val="000000" w:themeColor="text1"/>
          <w:sz w:val="24"/>
          <w:szCs w:val="24"/>
        </w:rPr>
        <w:br/>
        <w:t>4. Cap effects: 80% DVA cap clips highest-DVA firms (~3% reduction)</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Combined: (1-0.05)(1-0.03)(1-0.04)(1-0.03) = 0.856 ≈ 0.85</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Historical precedent: Section 199 effective utilization was ~75-80%.</w:t>
      </w:r>
      <w:r>
        <w:rPr>
          <w:rFonts w:asciiTheme="majorBidi" w:hAnsiTheme="majorBidi" w:cstheme="majorBidi"/>
          <w:color w:val="000000" w:themeColor="text1"/>
          <w:sz w:val="24"/>
          <w:szCs w:val="24"/>
        </w:rPr>
        <w:br/>
        <w:t>MINA improves on Sec 199 via transferability (+8-10pp) and 20% floor</w:t>
      </w:r>
      <w:r>
        <w:rPr>
          <w:rFonts w:asciiTheme="majorBidi" w:hAnsiTheme="majorBidi" w:cstheme="majorBidi"/>
          <w:color w:val="000000" w:themeColor="text1"/>
          <w:sz w:val="24"/>
          <w:szCs w:val="24"/>
        </w:rPr>
        <w:br/>
        <w:t>(+5pp), offset by stricter documentation requirements (-3-5pp).</w:t>
      </w:r>
    </w:p>
    <w:p w14:paraId="18B83D88" w14:textId="77777777" w:rsidR="001E698E" w:rsidRPr="00AA6B13" w:rsidRDefault="001E698E" w:rsidP="001E698E">
      <w:pPr>
        <w:spacing w:after="160"/>
        <w:ind w:left="432"/>
        <w:rPr>
          <w:rFonts w:asciiTheme="majorBidi" w:hAnsiTheme="majorBidi" w:cstheme="majorBidi"/>
          <w:color w:val="000000" w:themeColor="text1"/>
          <w:sz w:val="24"/>
          <w:szCs w:val="24"/>
        </w:rPr>
      </w:pPr>
      <w:r>
        <w:rPr>
          <w:rFonts w:asciiTheme="majorBidi" w:hAnsiTheme="majorBidi" w:cstheme="majorBidi"/>
          <w:i/>
          <w:color w:val="000000" w:themeColor="text1"/>
          <w:sz w:val="24"/>
          <w:szCs w:val="24"/>
        </w:rPr>
        <w:t>SOURCES: CRS Report R43825: Section 199 DPAD; GAO-18-240: Section 199 Utilization Study (2018); JCT JCX-12-18: Section 199 Revenue Estimates</w:t>
      </w:r>
    </w:p>
    <w:p w14:paraId="6F1D3D81" w14:textId="77777777" w:rsidR="001E698E" w:rsidRPr="00AA6B13" w:rsidRDefault="001E698E" w:rsidP="001E698E">
      <w:pPr>
        <w:pStyle w:val="Heading3"/>
        <w:rPr>
          <w:rFonts w:asciiTheme="majorBidi" w:hAnsiTheme="majorBidi"/>
          <w:color w:val="000000" w:themeColor="text1"/>
          <w:sz w:val="24"/>
          <w:szCs w:val="24"/>
        </w:rPr>
      </w:pPr>
      <w:r>
        <w:rPr>
          <w:rFonts w:asciiTheme="majorBidi" w:hAnsiTheme="majorBidi"/>
          <w:color w:val="000000" w:themeColor="text1"/>
          <w:sz w:val="24"/>
          <w:szCs w:val="24"/>
        </w:rPr>
        <w:t>MINA 10-Year Cost Formula (A-9)</w:t>
      </w:r>
    </w:p>
    <w:p w14:paraId="4FCD796B"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Input dependency chain: A-1 ($2.9T) → A-2 ($2.5T) → A-3 (0.76) → A-4 (0.85 utilization) → 3–5% growth → $978–1,073B</w:t>
      </w:r>
    </w:p>
    <w:p w14:paraId="18B7EBF2" w14:textId="77777777" w:rsidR="001E698E" w:rsidRPr="00AA6B13"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FORMULA:</w:t>
      </w:r>
      <w:r>
        <w:rPr>
          <w:rFonts w:asciiTheme="majorBidi" w:hAnsiTheme="majorBidi" w:cstheme="majorBidi"/>
          <w:color w:val="000000" w:themeColor="text1"/>
          <w:sz w:val="24"/>
          <w:szCs w:val="24"/>
        </w:rPr>
        <w:br/>
        <w:t xml:space="preserve"> Annual Credit = DVA Base × DVA Scaling Fraction × Utilization Factor × Credit Rate</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YEAR 1 (base rate):</w:t>
      </w:r>
      <w:r>
        <w:rPr>
          <w:rFonts w:asciiTheme="majorBidi" w:hAnsiTheme="majorBidi" w:cstheme="majorBidi"/>
          <w:color w:val="000000" w:themeColor="text1"/>
          <w:sz w:val="24"/>
          <w:szCs w:val="24"/>
        </w:rPr>
        <w:br/>
        <w:t xml:space="preserve"> = $2.38T × 0.76 × 0.85 × 5% = $76.8B</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YEAR 1 (bonus rate):</w:t>
      </w:r>
      <w:r>
        <w:rPr>
          <w:rFonts w:asciiTheme="majorBidi" w:hAnsiTheme="majorBidi" w:cstheme="majorBidi"/>
          <w:color w:val="000000" w:themeColor="text1"/>
          <w:sz w:val="24"/>
          <w:szCs w:val="24"/>
        </w:rPr>
        <w:br/>
        <w:t xml:space="preserve"> = $2.38T × 0.76 × 0.85 × 6% = $92.1B</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YEAR-BY-YEAR WITH 5% GROWTH:</w:t>
      </w:r>
      <w:r>
        <w:rPr>
          <w:rFonts w:asciiTheme="majorBidi" w:hAnsiTheme="majorBidi" w:cstheme="majorBidi"/>
          <w:color w:val="000000" w:themeColor="text1"/>
          <w:sz w:val="24"/>
          <w:szCs w:val="24"/>
        </w:rPr>
        <w:br/>
        <w:t xml:space="preserve"> Yr 1: $2.380T → $76.8B (base) / $92.1B (bonus)</w:t>
      </w:r>
      <w:r>
        <w:rPr>
          <w:rFonts w:asciiTheme="majorBidi" w:hAnsiTheme="majorBidi" w:cstheme="majorBidi"/>
          <w:color w:val="000000" w:themeColor="text1"/>
          <w:sz w:val="24"/>
          <w:szCs w:val="24"/>
        </w:rPr>
        <w:br/>
        <w:t xml:space="preserve"> Yr 2: $2.499T → $80.6B / $96.8B</w:t>
      </w:r>
      <w:r>
        <w:rPr>
          <w:rFonts w:asciiTheme="majorBidi" w:hAnsiTheme="majorBidi" w:cstheme="majorBidi"/>
          <w:color w:val="000000" w:themeColor="text1"/>
          <w:sz w:val="24"/>
          <w:szCs w:val="24"/>
        </w:rPr>
        <w:br/>
        <w:t xml:space="preserve"> Yr 5: $2.893T → $93.3B / $112.0B</w:t>
      </w:r>
      <w:r>
        <w:rPr>
          <w:rFonts w:asciiTheme="majorBidi" w:hAnsiTheme="majorBidi" w:cstheme="majorBidi"/>
          <w:color w:val="000000" w:themeColor="text1"/>
          <w:sz w:val="24"/>
          <w:szCs w:val="24"/>
        </w:rPr>
        <w:br/>
        <w:t xml:space="preserve"> Yr 10: $3.692T → $119.1B / $142.9B</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10-YEAR CUMULATIVE:</w:t>
      </w:r>
      <w:r>
        <w:rPr>
          <w:rFonts w:asciiTheme="majorBidi" w:hAnsiTheme="majorBidi" w:cstheme="majorBidi"/>
          <w:color w:val="000000" w:themeColor="text1"/>
          <w:sz w:val="24"/>
          <w:szCs w:val="24"/>
        </w:rPr>
        <w:br/>
        <w:t xml:space="preserve"> Base (5%): $966B</w:t>
      </w:r>
      <w:r>
        <w:rPr>
          <w:rFonts w:asciiTheme="majorBidi" w:hAnsiTheme="majorBidi" w:cstheme="majorBidi"/>
          <w:color w:val="000000" w:themeColor="text1"/>
          <w:sz w:val="24"/>
          <w:szCs w:val="24"/>
        </w:rPr>
        <w:br/>
        <w:t xml:space="preserve"> Bonus (6%): $1,159B</w:t>
      </w:r>
      <w:r>
        <w:rPr>
          <w:rFonts w:asciiTheme="majorBidi" w:hAnsiTheme="majorBidi" w:cstheme="majorBidi"/>
          <w:color w:val="000000" w:themeColor="text1"/>
          <w:sz w:val="24"/>
          <w:szCs w:val="24"/>
        </w:rPr>
        <w:br/>
        <w:t xml:space="preserve"> Blended estimate: $978–1,073B (55-65% QRE qualification)</w:t>
      </w:r>
    </w:p>
    <w:p w14:paraId="62E34FDF" w14:textId="77777777" w:rsidR="001E698E" w:rsidRPr="00AA6B13" w:rsidRDefault="001E698E" w:rsidP="001E698E">
      <w:pPr>
        <w:spacing w:after="160"/>
        <w:ind w:left="432"/>
        <w:rPr>
          <w:rFonts w:asciiTheme="majorBidi" w:hAnsiTheme="majorBidi" w:cstheme="majorBidi"/>
          <w:color w:val="000000" w:themeColor="text1"/>
          <w:sz w:val="24"/>
          <w:szCs w:val="24"/>
        </w:rPr>
      </w:pPr>
      <w:r>
        <w:rPr>
          <w:rFonts w:asciiTheme="majorBidi" w:hAnsiTheme="majorBidi" w:cstheme="majorBidi"/>
          <w:i/>
          <w:color w:val="000000" w:themeColor="text1"/>
          <w:sz w:val="24"/>
          <w:szCs w:val="24"/>
        </w:rPr>
        <w:t>SOURCES: Author calculation using A-1 through A-4 inputs, 5% growth assumption (see Section VI)</w:t>
      </w:r>
    </w:p>
    <w:p w14:paraId="457BF740"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i/>
          <w:color w:val="000000" w:themeColor="text1"/>
          <w:sz w:val="24"/>
          <w:szCs w:val="24"/>
        </w:rPr>
        <w:lastRenderedPageBreak/>
        <w:t>Behavioral Adjustment Factor: CBO typically applies a behavioral response factor to tax incentive estimates, reflecting that some credit claims substitute for activity that would have occurred anyway. COST METHODOLOGY: This model does NOT apply a behavioral discount to costs. CBO scores the full eligible credit claims—if a firm qualifies and files, Treasury pays. The utilization factor (0.85) already captures compliance friction, phase-in discounts, and documentation gaps. The cost range instead reflects two growth scenarios: a Conservative baseline (3% annual growth, above CBO’s likely ~2% estimate) and a Dynamic baseline (5%, reflecting TCJA/CHIPS/reshoring precedents). This produces the $978–1,073B MINA range and $416–456B DO IT NOW range. INCREMENTALITY DISCOUNT: The 80–86% incrementality factor is applied to BENEFITS (GDP, jobs), not costs. This reflects the reality that 14–20% of credited activity would have occurred without the incentive—the government still pays for this activity, but it should not be counted as new economic benefit. The transferability feature is designed to induce genuinely new activity (reshoring, capacity expansion) unlikely under current tax law, supporting the 80–86% incrementality range.</w:t>
      </w:r>
    </w:p>
    <w:p w14:paraId="3FC938E7" w14:textId="77777777" w:rsidR="001E698E" w:rsidRPr="00AA6B13" w:rsidRDefault="001E698E" w:rsidP="001E698E">
      <w:pPr>
        <w:pStyle w:val="Heading2"/>
        <w:rPr>
          <w:rFonts w:asciiTheme="majorBidi" w:hAnsiTheme="majorBidi"/>
          <w:color w:val="000000" w:themeColor="text1"/>
          <w:sz w:val="24"/>
          <w:szCs w:val="24"/>
        </w:rPr>
      </w:pPr>
      <w:r>
        <w:rPr>
          <w:rFonts w:asciiTheme="majorBidi" w:hAnsiTheme="majorBidi"/>
          <w:color w:val="000000" w:themeColor="text1"/>
          <w:sz w:val="24"/>
          <w:szCs w:val="24"/>
        </w:rPr>
        <w:t xml:space="preserve">B. DO IT NOW Cost Estimate: $416–456 </w:t>
      </w:r>
      <w:proofErr w:type="gramStart"/>
      <w:r>
        <w:rPr>
          <w:rFonts w:asciiTheme="majorBidi" w:hAnsiTheme="majorBidi"/>
          <w:color w:val="000000" w:themeColor="text1"/>
          <w:sz w:val="24"/>
          <w:szCs w:val="24"/>
        </w:rPr>
        <w:t>Billion</w:t>
      </w:r>
      <w:proofErr w:type="gramEnd"/>
      <w:r>
        <w:rPr>
          <w:rFonts w:asciiTheme="majorBidi" w:hAnsiTheme="majorBidi"/>
          <w:color w:val="000000" w:themeColor="text1"/>
          <w:sz w:val="24"/>
          <w:szCs w:val="24"/>
        </w:rPr>
        <w:t xml:space="preserve"> (10-Year with growth, QRE-blended) [MISA 14-Sector Expansion]</w:t>
      </w:r>
    </w:p>
    <w:p w14:paraId="2598C9EA"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Strategic sector DVA is estimated at $580–790 billion annually under MISA's 14-sector expansion. Additional 8% base (10% bonus) credit rate applied. DO IT NOW uses the same dual growth assumptions: 3% conservative / 5% dynamic.</w:t>
      </w:r>
    </w:p>
    <w:p w14:paraId="7186E13C" w14:textId="77777777" w:rsidR="001E698E" w:rsidRPr="00AA6B13"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INPUTS (strategic sectors only):</w:t>
      </w:r>
      <w:r>
        <w:rPr>
          <w:rFonts w:asciiTheme="majorBidi" w:hAnsiTheme="majorBidi" w:cstheme="majorBidi"/>
          <w:color w:val="000000" w:themeColor="text1"/>
          <w:sz w:val="24"/>
          <w:szCs w:val="24"/>
        </w:rPr>
        <w:br/>
        <w:t xml:space="preserve"> Strategic sector DVA base: $580–790B annually (midpoint: $685B) — expanded from original $450–560B by: 4 new sectors K–N (+$50–120B), §38B(c)(4) Upstream Supply Chain Rule (+$63–105B), EV drivetrain components in H(vii) (+$5–12B), and military vehicles in I(xii) (+$9–14B). Model uses $580B low-end anchor.</w:t>
      </w:r>
      <w:r>
        <w:rPr>
          <w:rFonts w:asciiTheme="majorBidi" w:hAnsiTheme="majorBidi" w:cstheme="majorBidi"/>
          <w:color w:val="000000" w:themeColor="text1"/>
          <w:sz w:val="24"/>
          <w:szCs w:val="24"/>
        </w:rPr>
        <w:br/>
        <w:t xml:space="preserve"> DVA Scaling Fraction: 0.80 (higher than MINA’s 0.76;</w:t>
      </w:r>
      <w:r>
        <w:rPr>
          <w:rFonts w:asciiTheme="majorBidi" w:hAnsiTheme="majorBidi" w:cstheme="majorBidi"/>
          <w:color w:val="000000" w:themeColor="text1"/>
          <w:sz w:val="24"/>
          <w:szCs w:val="24"/>
        </w:rPr>
        <w:br/>
        <w:t xml:space="preserve"> at 65% avg DVA: 0.20 + 0.80 × (0.65 − 0.20) / 0.60 = 0.80)</w:t>
      </w:r>
      <w:r>
        <w:rPr>
          <w:rFonts w:asciiTheme="majorBidi" w:hAnsiTheme="majorBidi" w:cstheme="majorBidi"/>
          <w:color w:val="000000" w:themeColor="text1"/>
          <w:sz w:val="24"/>
          <w:szCs w:val="24"/>
        </w:rPr>
        <w:br/>
        <w:t xml:space="preserve"> Utilization Factor: 0.85 (same as MINA)</w:t>
      </w:r>
      <w:r>
        <w:rPr>
          <w:rFonts w:asciiTheme="majorBidi" w:hAnsiTheme="majorBidi" w:cstheme="majorBidi"/>
          <w:color w:val="000000" w:themeColor="text1"/>
          <w:sz w:val="24"/>
          <w:szCs w:val="24"/>
        </w:rPr>
        <w:br/>
        <w:t xml:space="preserve"> Additional Credit Rate: 8% base / 10% bonus</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YEAR 1:</w:t>
      </w:r>
      <w:r>
        <w:rPr>
          <w:rFonts w:asciiTheme="majorBidi" w:hAnsiTheme="majorBidi" w:cstheme="majorBidi"/>
          <w:color w:val="000000" w:themeColor="text1"/>
          <w:sz w:val="24"/>
          <w:szCs w:val="24"/>
        </w:rPr>
        <w:br/>
        <w:t xml:space="preserve"> = $580B × 0.80 × 0.85 × 8% = $31.6B (base)</w:t>
      </w:r>
      <w:r>
        <w:rPr>
          <w:rFonts w:asciiTheme="majorBidi" w:hAnsiTheme="majorBidi" w:cstheme="majorBidi"/>
          <w:color w:val="000000" w:themeColor="text1"/>
          <w:sz w:val="24"/>
          <w:szCs w:val="24"/>
        </w:rPr>
        <w:br/>
        <w:t xml:space="preserve"> = $580B × 0.80 × 0.85 × 10% = $39.4B (bonus)</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10-YEAR WITH 5% GROWTH:</w:t>
      </w:r>
      <w:r>
        <w:rPr>
          <w:rFonts w:asciiTheme="majorBidi" w:hAnsiTheme="majorBidi" w:cstheme="majorBidi"/>
          <w:color w:val="000000" w:themeColor="text1"/>
          <w:sz w:val="24"/>
          <w:szCs w:val="24"/>
        </w:rPr>
        <w:br/>
        <w:t xml:space="preserve"> Base (8%): $416B</w:t>
      </w:r>
      <w:r>
        <w:rPr>
          <w:rFonts w:asciiTheme="majorBidi" w:hAnsiTheme="majorBidi" w:cstheme="majorBidi"/>
          <w:color w:val="000000" w:themeColor="text1"/>
          <w:sz w:val="24"/>
          <w:szCs w:val="24"/>
        </w:rPr>
        <w:br/>
        <w:t xml:space="preserve"> Bonus (10%): $520B</w:t>
      </w:r>
      <w:r>
        <w:rPr>
          <w:rFonts w:asciiTheme="majorBidi" w:hAnsiTheme="majorBidi" w:cstheme="majorBidi"/>
          <w:color w:val="000000" w:themeColor="text1"/>
          <w:sz w:val="24"/>
          <w:szCs w:val="24"/>
        </w:rPr>
        <w:br/>
        <w:t xml:space="preserve"> Blended: $416–456B</w:t>
      </w:r>
    </w:p>
    <w:p w14:paraId="5E7BA2B9" w14:textId="77777777" w:rsidR="001E698E" w:rsidRPr="00AA6B13" w:rsidRDefault="001E698E" w:rsidP="001E698E">
      <w:pPr>
        <w:spacing w:after="160"/>
        <w:ind w:left="432"/>
        <w:rPr>
          <w:rFonts w:asciiTheme="majorBidi" w:hAnsiTheme="majorBidi" w:cstheme="majorBidi"/>
          <w:color w:val="000000" w:themeColor="text1"/>
          <w:sz w:val="24"/>
          <w:szCs w:val="24"/>
        </w:rPr>
      </w:pPr>
      <w:r>
        <w:rPr>
          <w:rFonts w:asciiTheme="majorBidi" w:hAnsiTheme="majorBidi" w:cstheme="majorBidi"/>
          <w:i/>
          <w:color w:val="000000" w:themeColor="text1"/>
          <w:sz w:val="24"/>
          <w:szCs w:val="24"/>
        </w:rPr>
        <w:lastRenderedPageBreak/>
        <w:t>SOURCES: Strategic sector DVA from BEA GDP by Industry subsectors; DOD Industrial Base Assessment; Census ASM by NAICS subsector</w:t>
      </w:r>
    </w:p>
    <w:p w14:paraId="481E6AA6" w14:textId="77777777" w:rsidR="001E698E" w:rsidRPr="00AA6B13" w:rsidRDefault="001E698E" w:rsidP="001E698E">
      <w:pPr>
        <w:pStyle w:val="Heading2"/>
        <w:rPr>
          <w:rFonts w:asciiTheme="majorBidi" w:hAnsiTheme="majorBidi"/>
          <w:color w:val="000000" w:themeColor="text1"/>
          <w:sz w:val="24"/>
          <w:szCs w:val="24"/>
        </w:rPr>
      </w:pPr>
      <w:r>
        <w:rPr>
          <w:rFonts w:asciiTheme="majorBidi" w:hAnsiTheme="majorBidi"/>
          <w:color w:val="000000" w:themeColor="text1"/>
          <w:sz w:val="24"/>
          <w:szCs w:val="24"/>
        </w:rPr>
        <w:t>C. Mannie Mac Cost Estimate: $25 Billion Appropriation (Net Federal Cost: $12.7 Billion)</w:t>
      </w:r>
    </w:p>
    <w:p w14:paraId="51EE3B2B"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The $25 billion appropriation provides the full capital base for the Manufacturing Finance Corporation. Per the MFC Act, this appropriation covers all program costs — loan loss reserves, operating capital, interest rate buy-down, systems investment, and contingency.</w:t>
      </w:r>
    </w:p>
    <w:p w14:paraId="3B60CACC" w14:textId="77777777" w:rsidR="001E698E" w:rsidRPr="00AA6B13"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APPROPRIATION ALLOCATION (per MFC Act):</w:t>
      </w:r>
      <w:r>
        <w:rPr>
          <w:rFonts w:asciiTheme="majorBidi" w:hAnsiTheme="majorBidi" w:cstheme="majorBidi"/>
          <w:color w:val="000000" w:themeColor="text1"/>
          <w:sz w:val="24"/>
          <w:szCs w:val="24"/>
        </w:rPr>
        <w:br/>
        <w:t xml:space="preserve"> $10.0B Loan loss reserves</w:t>
      </w:r>
      <w:r>
        <w:rPr>
          <w:rFonts w:asciiTheme="majorBidi" w:hAnsiTheme="majorBidi" w:cstheme="majorBidi"/>
          <w:color w:val="000000" w:themeColor="text1"/>
          <w:sz w:val="24"/>
          <w:szCs w:val="24"/>
        </w:rPr>
        <w:br/>
        <w:t xml:space="preserve"> $8.1B Interest rate buy-down (derived from coverage model)</w:t>
      </w:r>
      <w:r>
        <w:rPr>
          <w:rFonts w:asciiTheme="majorBidi" w:hAnsiTheme="majorBidi" w:cstheme="majorBidi"/>
          <w:color w:val="000000" w:themeColor="text1"/>
          <w:sz w:val="24"/>
          <w:szCs w:val="24"/>
        </w:rPr>
        <w:br/>
        <w:t xml:space="preserve"> $4.6B Capital buffer / contingency</w:t>
      </w:r>
      <w:r>
        <w:rPr>
          <w:rFonts w:asciiTheme="majorBidi" w:hAnsiTheme="majorBidi" w:cstheme="majorBidi"/>
          <w:color w:val="000000" w:themeColor="text1"/>
          <w:sz w:val="24"/>
          <w:szCs w:val="24"/>
        </w:rPr>
        <w:br/>
        <w:t xml:space="preserve"> $1.3B Administration and technology</w:t>
      </w:r>
      <w:r>
        <w:rPr>
          <w:rFonts w:asciiTheme="majorBidi" w:hAnsiTheme="majorBidi" w:cstheme="majorBidi"/>
          <w:color w:val="000000" w:themeColor="text1"/>
          <w:sz w:val="24"/>
          <w:szCs w:val="24"/>
        </w:rPr>
        <w:br/>
        <w:t xml:space="preserve"> $1.0B Working capital fund</w:t>
      </w:r>
      <w:r>
        <w:rPr>
          <w:rFonts w:asciiTheme="majorBidi" w:hAnsiTheme="majorBidi" w:cstheme="majorBidi"/>
          <w:color w:val="000000" w:themeColor="text1"/>
          <w:sz w:val="24"/>
          <w:szCs w:val="24"/>
        </w:rPr>
        <w:br/>
        <w:t xml:space="preserve"> = $25.0B total</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LEVERAGE CHAIN:</w:t>
      </w:r>
      <w:r>
        <w:rPr>
          <w:rFonts w:asciiTheme="majorBidi" w:hAnsiTheme="majorBidi" w:cstheme="majorBidi"/>
          <w:color w:val="000000" w:themeColor="text1"/>
          <w:sz w:val="24"/>
          <w:szCs w:val="24"/>
        </w:rPr>
        <w:br/>
        <w:t xml:space="preserve"> $10B reserves at 4-5% loss rate → ~$252–313B guaranteed lending</w:t>
      </w:r>
      <w:r>
        <w:rPr>
          <w:rFonts w:asciiTheme="majorBidi" w:hAnsiTheme="majorBidi" w:cstheme="majorBidi"/>
          <w:color w:val="000000" w:themeColor="text1"/>
          <w:sz w:val="24"/>
          <w:szCs w:val="24"/>
        </w:rPr>
        <w:br/>
        <w:t xml:space="preserve"> At 40% debt-to-equity: ~$252–313B debt → ~$630–782B total investment</w:t>
      </w:r>
      <w:r>
        <w:rPr>
          <w:rFonts w:asciiTheme="majorBidi" w:hAnsiTheme="majorBidi" w:cstheme="majorBidi"/>
          <w:color w:val="000000" w:themeColor="text1"/>
          <w:sz w:val="24"/>
          <w:szCs w:val="24"/>
        </w:rPr>
        <w:br/>
        <w:t xml:space="preserve"> Published as ~$706B (midpoint)</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WEIGHTED GUARANTEE RATE: 79.3%</w:t>
      </w:r>
      <w:r>
        <w:rPr>
          <w:rFonts w:asciiTheme="majorBidi" w:hAnsiTheme="majorBidi" w:cstheme="majorBidi"/>
          <w:color w:val="000000" w:themeColor="text1"/>
          <w:sz w:val="24"/>
          <w:szCs w:val="24"/>
        </w:rPr>
        <w:br/>
        <w:t xml:space="preserve"> Small </w:t>
      </w:r>
      <w:proofErr w:type="spellStart"/>
      <w:r>
        <w:rPr>
          <w:rFonts w:asciiTheme="majorBidi" w:hAnsiTheme="majorBidi" w:cstheme="majorBidi"/>
          <w:color w:val="000000" w:themeColor="text1"/>
          <w:sz w:val="24"/>
          <w:szCs w:val="24"/>
        </w:rPr>
        <w:t>mfg</w:t>
      </w:r>
      <w:proofErr w:type="spellEnd"/>
      <w:r>
        <w:rPr>
          <w:rFonts w:asciiTheme="majorBidi" w:hAnsiTheme="majorBidi" w:cstheme="majorBidi"/>
          <w:color w:val="000000" w:themeColor="text1"/>
          <w:sz w:val="24"/>
          <w:szCs w:val="24"/>
        </w:rPr>
        <w:t xml:space="preserve"> (&lt;$50M): 85% guarantee × 40% share = 34.0%</w:t>
      </w:r>
      <w:r>
        <w:rPr>
          <w:rFonts w:asciiTheme="majorBidi" w:hAnsiTheme="majorBidi" w:cstheme="majorBidi"/>
          <w:color w:val="000000" w:themeColor="text1"/>
          <w:sz w:val="24"/>
          <w:szCs w:val="24"/>
        </w:rPr>
        <w:br/>
        <w:t xml:space="preserve"> Mid </w:t>
      </w:r>
      <w:proofErr w:type="spellStart"/>
      <w:r>
        <w:rPr>
          <w:rFonts w:asciiTheme="majorBidi" w:hAnsiTheme="majorBidi" w:cstheme="majorBidi"/>
          <w:color w:val="000000" w:themeColor="text1"/>
          <w:sz w:val="24"/>
          <w:szCs w:val="24"/>
        </w:rPr>
        <w:t>mfg</w:t>
      </w:r>
      <w:proofErr w:type="spellEnd"/>
      <w:r>
        <w:rPr>
          <w:rFonts w:asciiTheme="majorBidi" w:hAnsiTheme="majorBidi" w:cstheme="majorBidi"/>
          <w:color w:val="000000" w:themeColor="text1"/>
          <w:sz w:val="24"/>
          <w:szCs w:val="24"/>
        </w:rPr>
        <w:t xml:space="preserve"> ($50-250M): 75% guarantee × 35% share = 26.25%</w:t>
      </w:r>
      <w:r>
        <w:rPr>
          <w:rFonts w:asciiTheme="majorBidi" w:hAnsiTheme="majorBidi" w:cstheme="majorBidi"/>
          <w:color w:val="000000" w:themeColor="text1"/>
          <w:sz w:val="24"/>
          <w:szCs w:val="24"/>
        </w:rPr>
        <w:br/>
        <w:t xml:space="preserve"> Large </w:t>
      </w:r>
      <w:proofErr w:type="spellStart"/>
      <w:r>
        <w:rPr>
          <w:rFonts w:asciiTheme="majorBidi" w:hAnsiTheme="majorBidi" w:cstheme="majorBidi"/>
          <w:color w:val="000000" w:themeColor="text1"/>
          <w:sz w:val="24"/>
          <w:szCs w:val="24"/>
        </w:rPr>
        <w:t>mfg</w:t>
      </w:r>
      <w:proofErr w:type="spellEnd"/>
      <w:r>
        <w:rPr>
          <w:rFonts w:asciiTheme="majorBidi" w:hAnsiTheme="majorBidi" w:cstheme="majorBidi"/>
          <w:color w:val="000000" w:themeColor="text1"/>
          <w:sz w:val="24"/>
          <w:szCs w:val="24"/>
        </w:rPr>
        <w:t xml:space="preserve"> (&gt;$250M): 70% guarantee × 15% share = 10.5%</w:t>
      </w:r>
      <w:r>
        <w:rPr>
          <w:rFonts w:asciiTheme="majorBidi" w:hAnsiTheme="majorBidi" w:cstheme="majorBidi"/>
          <w:color w:val="000000" w:themeColor="text1"/>
          <w:sz w:val="24"/>
          <w:szCs w:val="24"/>
        </w:rPr>
        <w:br/>
        <w:t xml:space="preserve"> Workforce/training: 80% guarantee × 10% share = 8.0%</w:t>
      </w:r>
      <w:r>
        <w:rPr>
          <w:rFonts w:asciiTheme="majorBidi" w:hAnsiTheme="majorBidi" w:cstheme="majorBidi"/>
          <w:color w:val="000000" w:themeColor="text1"/>
          <w:sz w:val="24"/>
          <w:szCs w:val="24"/>
        </w:rPr>
        <w:br/>
        <w:t xml:space="preserve"> Weighted average: 78.75% ≈ 79.3%</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REVENUE OFFSET (Returned to Treasury):</w:t>
      </w:r>
      <w:r>
        <w:rPr>
          <w:rFonts w:asciiTheme="majorBidi" w:hAnsiTheme="majorBidi" w:cstheme="majorBidi"/>
          <w:color w:val="000000" w:themeColor="text1"/>
          <w:sz w:val="24"/>
          <w:szCs w:val="24"/>
        </w:rPr>
        <w:br/>
        <w:t xml:space="preserve"> Guarantee fees: $8.5B (40 bps annual on $212B avg outstanding)</w:t>
      </w:r>
      <w:r>
        <w:rPr>
          <w:rFonts w:asciiTheme="majorBidi" w:hAnsiTheme="majorBidi" w:cstheme="majorBidi"/>
          <w:color w:val="000000" w:themeColor="text1"/>
          <w:sz w:val="24"/>
          <w:szCs w:val="24"/>
        </w:rPr>
        <w:br/>
        <w:t xml:space="preserve"> Securitization spreads: $3.2B (15 bps on avg volume)</w:t>
      </w:r>
      <w:r>
        <w:rPr>
          <w:rFonts w:asciiTheme="majorBidi" w:hAnsiTheme="majorBidi" w:cstheme="majorBidi"/>
          <w:color w:val="000000" w:themeColor="text1"/>
          <w:sz w:val="24"/>
          <w:szCs w:val="24"/>
        </w:rPr>
        <w:br/>
        <w:t xml:space="preserve"> Secondary market revenue: $0.7B (8 bps on securitized portion)</w:t>
      </w:r>
      <w:r>
        <w:rPr>
          <w:rFonts w:asciiTheme="majorBidi" w:hAnsiTheme="majorBidi" w:cstheme="majorBidi"/>
          <w:color w:val="000000" w:themeColor="text1"/>
          <w:sz w:val="24"/>
          <w:szCs w:val="24"/>
        </w:rPr>
        <w:br/>
        <w:t xml:space="preserve"> Total 10-yr revenue: $12.3B</w:t>
      </w:r>
      <w:r>
        <w:rPr>
          <w:rFonts w:asciiTheme="majorBidi" w:hAnsiTheme="majorBidi" w:cstheme="majorBidi"/>
          <w:color w:val="000000" w:themeColor="text1"/>
          <w:sz w:val="24"/>
          <w:szCs w:val="24"/>
        </w:rPr>
        <w:br/>
        <w:t xml:space="preserve"> Net federal cost: $25.0B − $12.3B = $12.7B</w:t>
      </w:r>
    </w:p>
    <w:p w14:paraId="0B50B659" w14:textId="77777777" w:rsidR="001E698E" w:rsidRPr="00AA6B13" w:rsidRDefault="001E698E" w:rsidP="001E698E">
      <w:pPr>
        <w:spacing w:after="160"/>
        <w:ind w:left="432"/>
        <w:rPr>
          <w:rFonts w:asciiTheme="majorBidi" w:hAnsiTheme="majorBidi" w:cstheme="majorBidi"/>
          <w:color w:val="000000" w:themeColor="text1"/>
          <w:sz w:val="24"/>
          <w:szCs w:val="24"/>
        </w:rPr>
      </w:pPr>
      <w:r>
        <w:rPr>
          <w:rFonts w:asciiTheme="majorBidi" w:hAnsiTheme="majorBidi" w:cstheme="majorBidi"/>
          <w:i/>
          <w:color w:val="000000" w:themeColor="text1"/>
          <w:sz w:val="24"/>
          <w:szCs w:val="24"/>
        </w:rPr>
        <w:t>SOURCES: Manufacturing Finance Corporation Act (draft bill); SBA 7(a) default rates (https://www.sba.gov/about-sba/sba-performance); Fannie Mae/Freddie Mac leverage models</w:t>
      </w:r>
    </w:p>
    <w:p w14:paraId="32703DB0" w14:textId="77777777" w:rsidR="001E698E" w:rsidRPr="00AA6B13" w:rsidRDefault="001E698E" w:rsidP="001E698E">
      <w:pPr>
        <w:pStyle w:val="Heading2"/>
        <w:rPr>
          <w:rFonts w:asciiTheme="majorBidi" w:hAnsiTheme="majorBidi"/>
          <w:color w:val="000000" w:themeColor="text1"/>
          <w:sz w:val="24"/>
          <w:szCs w:val="24"/>
        </w:rPr>
      </w:pPr>
      <w:r>
        <w:rPr>
          <w:rFonts w:asciiTheme="majorBidi" w:hAnsiTheme="majorBidi"/>
          <w:color w:val="000000" w:themeColor="text1"/>
          <w:sz w:val="24"/>
          <w:szCs w:val="24"/>
        </w:rPr>
        <w:lastRenderedPageBreak/>
        <w:t xml:space="preserve">D. MERA Cost Estimate: $36–73 </w:t>
      </w:r>
      <w:proofErr w:type="gramStart"/>
      <w:r>
        <w:rPr>
          <w:rFonts w:asciiTheme="majorBidi" w:hAnsiTheme="majorBidi"/>
          <w:color w:val="000000" w:themeColor="text1"/>
          <w:sz w:val="24"/>
          <w:szCs w:val="24"/>
        </w:rPr>
        <w:t>Billion</w:t>
      </w:r>
      <w:proofErr w:type="gramEnd"/>
      <w:r>
        <w:rPr>
          <w:rFonts w:asciiTheme="majorBidi" w:hAnsiTheme="majorBidi"/>
          <w:color w:val="000000" w:themeColor="text1"/>
          <w:sz w:val="24"/>
          <w:szCs w:val="24"/>
        </w:rPr>
        <w:t xml:space="preserve"> (10-Year, Dual-Track) </w:t>
      </w:r>
    </w:p>
    <w:p w14:paraId="16FB5C1C"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MERA provides two tracks: Track 1 (§2010A/§2505A) provides an additional $250M unified credit for intrafamily transfers; Track 2 (§1202A) provides 100% capital gains exclusion for external sales with a determination date, pro-rata equity allocation (PREA), 3.5:1 debt ceiling, and seller recapture liability.</w:t>
      </w:r>
    </w:p>
    <w:p w14:paraId="4409697A" w14:textId="77777777" w:rsidR="001E698E" w:rsidRPr="00AA6B13" w:rsidRDefault="001E698E" w:rsidP="001E698E">
      <w:pPr>
        <w:shd w:val="clear" w:color="auto" w:fill="F2F2F2"/>
        <w:spacing w:before="120"/>
        <w:ind w:left="432" w:right="432"/>
        <w:rPr>
          <w:rFonts w:asciiTheme="majorBidi" w:hAnsiTheme="majorBidi" w:cstheme="majorBidi"/>
          <w:color w:val="000000" w:themeColor="text1"/>
          <w:sz w:val="24"/>
          <w:szCs w:val="24"/>
        </w:rPr>
      </w:pPr>
    </w:p>
    <w:p w14:paraId="382035DA" w14:textId="77777777" w:rsidR="001E698E" w:rsidRPr="00AA6B13" w:rsidRDefault="001E698E" w:rsidP="001E698E">
      <w:pPr>
        <w:pStyle w:val="Heading3"/>
        <w:rPr>
          <w:rFonts w:asciiTheme="majorBidi" w:hAnsiTheme="majorBidi"/>
          <w:color w:val="000000" w:themeColor="text1"/>
          <w:sz w:val="24"/>
          <w:szCs w:val="24"/>
        </w:rPr>
      </w:pPr>
      <w:r>
        <w:rPr>
          <w:rFonts w:asciiTheme="majorBidi" w:hAnsiTheme="majorBidi"/>
          <w:color w:val="000000" w:themeColor="text1"/>
          <w:sz w:val="24"/>
          <w:szCs w:val="24"/>
        </w:rPr>
        <w:t>Track 1: Gift/Estate Tax Revenue Loss ($19–50B)</w:t>
      </w:r>
    </w:p>
    <w:p w14:paraId="46BEBF71" w14:textId="77777777" w:rsidR="001E698E" w:rsidRPr="00AA6B13"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TRACK 1 DERIVATION </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STEP 1: Universe</w:t>
      </w:r>
      <w:r>
        <w:rPr>
          <w:rFonts w:asciiTheme="majorBidi" w:hAnsiTheme="majorBidi" w:cstheme="majorBidi"/>
          <w:color w:val="000000" w:themeColor="text1"/>
          <w:sz w:val="24"/>
          <w:szCs w:val="24"/>
        </w:rPr>
        <w:br/>
        <w:t xml:space="preserve"> ~125,000 boomer-owned </w:t>
      </w:r>
      <w:proofErr w:type="spellStart"/>
      <w:r>
        <w:rPr>
          <w:rFonts w:asciiTheme="majorBidi" w:hAnsiTheme="majorBidi" w:cstheme="majorBidi"/>
          <w:color w:val="000000" w:themeColor="text1"/>
          <w:sz w:val="24"/>
          <w:szCs w:val="24"/>
        </w:rPr>
        <w:t>mfg</w:t>
      </w:r>
      <w:proofErr w:type="spellEnd"/>
      <w:r>
        <w:rPr>
          <w:rFonts w:asciiTheme="majorBidi" w:hAnsiTheme="majorBidi" w:cstheme="majorBidi"/>
          <w:color w:val="000000" w:themeColor="text1"/>
          <w:sz w:val="24"/>
          <w:szCs w:val="24"/>
        </w:rPr>
        <w:t xml:space="preserve"> companies at succession risk</w:t>
      </w:r>
      <w:r>
        <w:rPr>
          <w:rFonts w:asciiTheme="majorBidi" w:hAnsiTheme="majorBidi" w:cstheme="majorBidi"/>
          <w:color w:val="000000" w:themeColor="text1"/>
          <w:sz w:val="24"/>
          <w:szCs w:val="24"/>
        </w:rPr>
        <w:br/>
        <w:t xml:space="preserve"> Source: Project Equity/The Century Foundation/UMA</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STEP 2: Per-Company Benefit Derivation</w:t>
      </w:r>
      <w:r>
        <w:rPr>
          <w:rFonts w:asciiTheme="majorBidi" w:hAnsiTheme="majorBidi" w:cstheme="majorBidi"/>
          <w:color w:val="000000" w:themeColor="text1"/>
          <w:sz w:val="24"/>
          <w:szCs w:val="24"/>
        </w:rPr>
        <w:br/>
        <w:t xml:space="preserve"> Census SUSB NAICS 31-33 employer firm size distribution:</w:t>
      </w:r>
      <w:r>
        <w:rPr>
          <w:rFonts w:asciiTheme="majorBidi" w:hAnsiTheme="majorBidi" w:cstheme="majorBidi"/>
          <w:color w:val="000000" w:themeColor="text1"/>
          <w:sz w:val="24"/>
          <w:szCs w:val="24"/>
        </w:rPr>
        <w:br/>
        <w:t xml:space="preserve"> ~60% have &lt;20 employees → EV $3-10M (below $14M exemption)</w:t>
      </w:r>
      <w:r>
        <w:rPr>
          <w:rFonts w:asciiTheme="majorBidi" w:hAnsiTheme="majorBidi" w:cstheme="majorBidi"/>
          <w:color w:val="000000" w:themeColor="text1"/>
          <w:sz w:val="24"/>
          <w:szCs w:val="24"/>
        </w:rPr>
        <w:br/>
        <w:t xml:space="preserve"> ~25% have 20-99 employees → EV $15-40M (above exemption)</w:t>
      </w:r>
      <w:r>
        <w:rPr>
          <w:rFonts w:asciiTheme="majorBidi" w:hAnsiTheme="majorBidi" w:cstheme="majorBidi"/>
          <w:color w:val="000000" w:themeColor="text1"/>
          <w:sz w:val="24"/>
          <w:szCs w:val="24"/>
        </w:rPr>
        <w:br/>
        <w:t xml:space="preserve"> ~15% have 100+ employees → EV $40M+ (well above exemption)</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 xml:space="preserve"> For firms EXCEEDING the $14M unified credit threshold:</w:t>
      </w:r>
      <w:r>
        <w:rPr>
          <w:rFonts w:asciiTheme="majorBidi" w:hAnsiTheme="majorBidi" w:cstheme="majorBidi"/>
          <w:color w:val="000000" w:themeColor="text1"/>
          <w:sz w:val="24"/>
          <w:szCs w:val="24"/>
        </w:rPr>
        <w:br/>
        <w:t xml:space="preserve"> Small-mid ($15-25M EV): taxable excess $1-11M → tax at 40% = $0.4-4.4M benefit</w:t>
      </w:r>
      <w:r>
        <w:rPr>
          <w:rFonts w:asciiTheme="majorBidi" w:hAnsiTheme="majorBidi" w:cstheme="majorBidi"/>
          <w:color w:val="000000" w:themeColor="text1"/>
          <w:sz w:val="24"/>
          <w:szCs w:val="24"/>
        </w:rPr>
        <w:br/>
        <w:t xml:space="preserve"> Mid ($25-50M EV): taxable excess $11-36M → tax at 40% = $4.4-14.4M benefit</w:t>
      </w:r>
      <w:r>
        <w:rPr>
          <w:rFonts w:asciiTheme="majorBidi" w:hAnsiTheme="majorBidi" w:cstheme="majorBidi"/>
          <w:color w:val="000000" w:themeColor="text1"/>
          <w:sz w:val="24"/>
          <w:szCs w:val="24"/>
        </w:rPr>
        <w:br/>
        <w:t xml:space="preserve"> Large ($50-100M+ EV): taxable excess $36M+ → tax at 40% = $14.4M+ benefit</w:t>
      </w:r>
      <w:r>
        <w:rPr>
          <w:rFonts w:asciiTheme="majorBidi" w:hAnsiTheme="majorBidi" w:cstheme="majorBidi"/>
          <w:color w:val="000000" w:themeColor="text1"/>
          <w:sz w:val="24"/>
          <w:szCs w:val="24"/>
        </w:rPr>
        <w:br/>
        <w:t xml:space="preserve"> Size-weighted average (right-skewed distribution): ~$12.5M excess</w:t>
      </w:r>
      <w:r>
        <w:rPr>
          <w:rFonts w:asciiTheme="majorBidi" w:hAnsiTheme="majorBidi" w:cstheme="majorBidi"/>
          <w:color w:val="000000" w:themeColor="text1"/>
          <w:sz w:val="24"/>
          <w:szCs w:val="24"/>
        </w:rPr>
        <w:br/>
        <w:t xml:space="preserve"> At 40% estate rate: $12.5M × 40% = $5.0M avg benefit per qualifying transfer</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STEP 3: Uptake Rate</w:t>
      </w:r>
      <w:r>
        <w:rPr>
          <w:rFonts w:asciiTheme="majorBidi" w:hAnsiTheme="majorBidi" w:cstheme="majorBidi"/>
          <w:color w:val="000000" w:themeColor="text1"/>
          <w:sz w:val="24"/>
          <w:szCs w:val="24"/>
        </w:rPr>
        <w:br/>
        <w:t xml:space="preserve"> Effective uptake among 125K: 3-8%</w:t>
      </w:r>
      <w:r>
        <w:rPr>
          <w:rFonts w:asciiTheme="majorBidi" w:hAnsiTheme="majorBidi" w:cstheme="majorBidi"/>
          <w:color w:val="000000" w:themeColor="text1"/>
          <w:sz w:val="24"/>
          <w:szCs w:val="24"/>
        </w:rPr>
        <w:br/>
        <w:t xml:space="preserve"> (Reflecting: 65% family preference × 30-40% transfer in 10yr</w:t>
      </w:r>
      <w:r>
        <w:rPr>
          <w:rFonts w:asciiTheme="majorBidi" w:hAnsiTheme="majorBidi" w:cstheme="majorBidi"/>
          <w:color w:val="000000" w:themeColor="text1"/>
          <w:sz w:val="24"/>
          <w:szCs w:val="24"/>
        </w:rPr>
        <w:br/>
        <w:t xml:space="preserve"> × 40-50% exceed exemption × ~50-70% actually claim)</w:t>
      </w:r>
      <w:r>
        <w:rPr>
          <w:rFonts w:asciiTheme="majorBidi" w:hAnsiTheme="majorBidi" w:cstheme="majorBidi"/>
          <w:color w:val="000000" w:themeColor="text1"/>
          <w:sz w:val="24"/>
          <w:szCs w:val="24"/>
        </w:rPr>
        <w:br/>
        <w:t xml:space="preserve"> Higher per-company benefit implies claiming cohort skews toward</w:t>
      </w:r>
      <w:r>
        <w:rPr>
          <w:rFonts w:asciiTheme="majorBidi" w:hAnsiTheme="majorBidi" w:cstheme="majorBidi"/>
          <w:color w:val="000000" w:themeColor="text1"/>
          <w:sz w:val="24"/>
          <w:szCs w:val="24"/>
        </w:rPr>
        <w:br/>
        <w:t xml:space="preserve"> larger firms, which are fewer in number → narrower uptake range</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STEP 4: 10-Year Cost</w:t>
      </w:r>
      <w:r>
        <w:rPr>
          <w:rFonts w:asciiTheme="majorBidi" w:hAnsiTheme="majorBidi" w:cstheme="majorBidi"/>
          <w:color w:val="000000" w:themeColor="text1"/>
          <w:sz w:val="24"/>
          <w:szCs w:val="24"/>
        </w:rPr>
        <w:br/>
        <w:t xml:space="preserve"> LOW: 125,000 × 3% × $5M = $18.75B ≈ $19B</w:t>
      </w:r>
      <w:r>
        <w:rPr>
          <w:rFonts w:asciiTheme="majorBidi" w:hAnsiTheme="majorBidi" w:cstheme="majorBidi"/>
          <w:color w:val="000000" w:themeColor="text1"/>
          <w:sz w:val="24"/>
          <w:szCs w:val="24"/>
        </w:rPr>
        <w:br/>
        <w:t xml:space="preserve"> HIGH: 125,000 × 8% × $5M = $50.0B</w:t>
      </w:r>
      <w:r>
        <w:rPr>
          <w:rFonts w:asciiTheme="majorBidi" w:hAnsiTheme="majorBidi" w:cstheme="majorBidi"/>
          <w:color w:val="000000" w:themeColor="text1"/>
          <w:sz w:val="24"/>
          <w:szCs w:val="24"/>
        </w:rPr>
        <w:br/>
        <w:t xml:space="preserve"> CENTRAL: ~$34B</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lastRenderedPageBreak/>
        <w:t xml:space="preserve">CROSS-CHECK: Estate tax = $20-25B/yr; </w:t>
      </w:r>
      <w:proofErr w:type="spellStart"/>
      <w:r>
        <w:rPr>
          <w:rFonts w:asciiTheme="majorBidi" w:hAnsiTheme="majorBidi" w:cstheme="majorBidi"/>
          <w:color w:val="000000" w:themeColor="text1"/>
          <w:sz w:val="24"/>
          <w:szCs w:val="24"/>
        </w:rPr>
        <w:t>mfg</w:t>
      </w:r>
      <w:proofErr w:type="spellEnd"/>
      <w:r>
        <w:rPr>
          <w:rFonts w:asciiTheme="majorBidi" w:hAnsiTheme="majorBidi" w:cstheme="majorBidi"/>
          <w:color w:val="000000" w:themeColor="text1"/>
          <w:sz w:val="24"/>
          <w:szCs w:val="24"/>
        </w:rPr>
        <w:t xml:space="preserve"> = ~5-8%</w:t>
      </w:r>
      <w:r>
        <w:rPr>
          <w:rFonts w:asciiTheme="majorBidi" w:hAnsiTheme="majorBidi" w:cstheme="majorBidi"/>
          <w:color w:val="000000" w:themeColor="text1"/>
          <w:sz w:val="24"/>
          <w:szCs w:val="24"/>
        </w:rPr>
        <w:br/>
        <w:t xml:space="preserve"> Track 1 = $1.9-5.0B/yr → represents 8-25% of total </w:t>
      </w:r>
      <w:proofErr w:type="spellStart"/>
      <w:r>
        <w:rPr>
          <w:rFonts w:asciiTheme="majorBidi" w:hAnsiTheme="majorBidi" w:cstheme="majorBidi"/>
          <w:color w:val="000000" w:themeColor="text1"/>
          <w:sz w:val="24"/>
          <w:szCs w:val="24"/>
        </w:rPr>
        <w:t>mfg</w:t>
      </w:r>
      <w:proofErr w:type="spellEnd"/>
      <w:r>
        <w:rPr>
          <w:rFonts w:asciiTheme="majorBidi" w:hAnsiTheme="majorBidi" w:cstheme="majorBidi"/>
          <w:color w:val="000000" w:themeColor="text1"/>
          <w:sz w:val="24"/>
          <w:szCs w:val="24"/>
        </w:rPr>
        <w:t xml:space="preserve"> estate tax</w:t>
      </w:r>
      <w:r>
        <w:rPr>
          <w:rFonts w:asciiTheme="majorBidi" w:hAnsiTheme="majorBidi" w:cstheme="majorBidi"/>
          <w:color w:val="000000" w:themeColor="text1"/>
          <w:sz w:val="24"/>
          <w:szCs w:val="24"/>
        </w:rPr>
        <w:br/>
        <w:t xml:space="preserve"> This is higher than prior estimate but consistent with $250M cap</w:t>
      </w:r>
      <w:r>
        <w:rPr>
          <w:rFonts w:asciiTheme="majorBidi" w:hAnsiTheme="majorBidi" w:cstheme="majorBidi"/>
          <w:color w:val="000000" w:themeColor="text1"/>
          <w:sz w:val="24"/>
          <w:szCs w:val="24"/>
        </w:rPr>
        <w:br/>
        <w:t xml:space="preserve"> targeting substantial manufacturing estates</w:t>
      </w:r>
    </w:p>
    <w:p w14:paraId="1EC32453" w14:textId="77777777" w:rsidR="001E698E" w:rsidRPr="00A55456" w:rsidRDefault="001E698E" w:rsidP="001E698E">
      <w:pPr>
        <w:spacing w:after="160"/>
        <w:ind w:left="432"/>
        <w:rPr>
          <w:rFonts w:asciiTheme="majorBidi" w:hAnsiTheme="majorBidi" w:cstheme="majorBidi"/>
          <w:i/>
          <w:color w:val="000000" w:themeColor="text1"/>
          <w:sz w:val="24"/>
          <w:szCs w:val="24"/>
          <w:lang w:val="fr-FR"/>
        </w:rPr>
      </w:pPr>
      <w:proofErr w:type="gramStart"/>
      <w:r>
        <w:rPr>
          <w:rFonts w:asciiTheme="majorBidi" w:hAnsiTheme="majorBidi" w:cstheme="majorBidi"/>
          <w:i/>
          <w:color w:val="000000" w:themeColor="text1"/>
          <w:sz w:val="24"/>
          <w:szCs w:val="24"/>
          <w:lang w:val="fr-FR"/>
        </w:rPr>
        <w:t>SOURCES:</w:t>
      </w:r>
      <w:proofErr w:type="gramEnd"/>
      <w:r>
        <w:rPr>
          <w:rFonts w:asciiTheme="majorBidi" w:hAnsiTheme="majorBidi" w:cstheme="majorBidi"/>
          <w:i/>
          <w:color w:val="000000" w:themeColor="text1"/>
          <w:sz w:val="24"/>
          <w:szCs w:val="24"/>
          <w:lang w:val="fr-FR"/>
        </w:rPr>
        <w:t xml:space="preserve"> </w:t>
      </w:r>
    </w:p>
    <w:p w14:paraId="3F554890" w14:textId="77777777" w:rsidR="001E698E" w:rsidRPr="00A55456" w:rsidRDefault="001E698E" w:rsidP="001E698E">
      <w:pPr>
        <w:spacing w:after="160"/>
        <w:ind w:left="432"/>
        <w:rPr>
          <w:rFonts w:asciiTheme="majorBidi" w:hAnsiTheme="majorBidi" w:cstheme="majorBidi"/>
          <w:i/>
          <w:color w:val="000000" w:themeColor="text1"/>
          <w:sz w:val="24"/>
          <w:szCs w:val="24"/>
          <w:lang w:val="fr-FR"/>
        </w:rPr>
      </w:pPr>
      <w:proofErr w:type="spellStart"/>
      <w:r>
        <w:rPr>
          <w:rFonts w:asciiTheme="majorBidi" w:hAnsiTheme="majorBidi" w:cstheme="majorBidi"/>
          <w:i/>
          <w:color w:val="000000" w:themeColor="text1"/>
          <w:sz w:val="24"/>
          <w:szCs w:val="24"/>
          <w:lang w:val="fr-FR"/>
        </w:rPr>
        <w:t>Census</w:t>
      </w:r>
      <w:proofErr w:type="spellEnd"/>
      <w:r>
        <w:rPr>
          <w:rFonts w:asciiTheme="majorBidi" w:hAnsiTheme="majorBidi" w:cstheme="majorBidi"/>
          <w:i/>
          <w:color w:val="000000" w:themeColor="text1"/>
          <w:sz w:val="24"/>
          <w:szCs w:val="24"/>
          <w:lang w:val="fr-FR"/>
        </w:rPr>
        <w:t xml:space="preserve"> SUSB 2021 (</w:t>
      </w:r>
      <w:r>
        <w:fldChar w:fldCharType="begin"/>
      </w:r>
      <w:r w:rsidRPr="000E2410">
        <w:rPr>
          <w:lang w:val="fr-FR"/>
        </w:rPr>
        <w:instrText>HYPERLINK "https://www.census.gov/data/tables/2021/econ/susb/2021-susb-annual.html"</w:instrText>
      </w:r>
      <w:r>
        <w:fldChar w:fldCharType="separate"/>
      </w:r>
      <w:r>
        <w:rPr>
          <w:rStyle w:val="Hyperlink"/>
          <w:rFonts w:asciiTheme="majorBidi" w:hAnsiTheme="majorBidi" w:cstheme="majorBidi"/>
          <w:i/>
          <w:sz w:val="24"/>
          <w:szCs w:val="24"/>
          <w:lang w:val="fr-FR"/>
        </w:rPr>
        <w:t>https://www.census.gov/data/tables/2021/econ/susb/2021-susb-annual.html</w:t>
      </w:r>
      <w:r>
        <w:fldChar w:fldCharType="end"/>
      </w:r>
      <w:r>
        <w:rPr>
          <w:rFonts w:asciiTheme="majorBidi" w:hAnsiTheme="majorBidi" w:cstheme="majorBidi"/>
          <w:i/>
          <w:color w:val="000000" w:themeColor="text1"/>
          <w:sz w:val="24"/>
          <w:szCs w:val="24"/>
          <w:lang w:val="fr-FR"/>
        </w:rPr>
        <w:t xml:space="preserve"> ); </w:t>
      </w:r>
    </w:p>
    <w:p w14:paraId="45CD8FEF" w14:textId="77777777" w:rsidR="001E698E" w:rsidRPr="00A55456" w:rsidRDefault="001E698E" w:rsidP="001E698E">
      <w:pPr>
        <w:spacing w:after="160"/>
        <w:ind w:left="432"/>
        <w:rPr>
          <w:rFonts w:asciiTheme="majorBidi" w:hAnsiTheme="majorBidi" w:cstheme="majorBidi"/>
          <w:i/>
          <w:color w:val="000000" w:themeColor="text1"/>
          <w:sz w:val="24"/>
          <w:szCs w:val="24"/>
          <w:lang w:val="fr-FR"/>
        </w:rPr>
      </w:pPr>
      <w:r>
        <w:rPr>
          <w:rFonts w:asciiTheme="majorBidi" w:hAnsiTheme="majorBidi" w:cstheme="majorBidi"/>
          <w:i/>
          <w:color w:val="000000" w:themeColor="text1"/>
          <w:sz w:val="24"/>
          <w:szCs w:val="24"/>
          <w:lang w:val="fr-FR"/>
        </w:rPr>
        <w:t xml:space="preserve">IRS SOI </w:t>
      </w:r>
      <w:proofErr w:type="spellStart"/>
      <w:r>
        <w:rPr>
          <w:rFonts w:asciiTheme="majorBidi" w:hAnsiTheme="majorBidi" w:cstheme="majorBidi"/>
          <w:i/>
          <w:color w:val="000000" w:themeColor="text1"/>
          <w:sz w:val="24"/>
          <w:szCs w:val="24"/>
          <w:lang w:val="fr-FR"/>
        </w:rPr>
        <w:t>Estate</w:t>
      </w:r>
      <w:proofErr w:type="spellEnd"/>
      <w:r>
        <w:rPr>
          <w:rFonts w:asciiTheme="majorBidi" w:hAnsiTheme="majorBidi" w:cstheme="majorBidi"/>
          <w:i/>
          <w:color w:val="000000" w:themeColor="text1"/>
          <w:sz w:val="24"/>
          <w:szCs w:val="24"/>
          <w:lang w:val="fr-FR"/>
        </w:rPr>
        <w:t xml:space="preserve"> </w:t>
      </w:r>
      <w:proofErr w:type="spellStart"/>
      <w:r>
        <w:rPr>
          <w:rFonts w:asciiTheme="majorBidi" w:hAnsiTheme="majorBidi" w:cstheme="majorBidi"/>
          <w:i/>
          <w:color w:val="000000" w:themeColor="text1"/>
          <w:sz w:val="24"/>
          <w:szCs w:val="24"/>
          <w:lang w:val="fr-FR"/>
        </w:rPr>
        <w:t>Tax</w:t>
      </w:r>
      <w:proofErr w:type="spellEnd"/>
      <w:r>
        <w:rPr>
          <w:rFonts w:asciiTheme="majorBidi" w:hAnsiTheme="majorBidi" w:cstheme="majorBidi"/>
          <w:i/>
          <w:color w:val="000000" w:themeColor="text1"/>
          <w:sz w:val="24"/>
          <w:szCs w:val="24"/>
          <w:lang w:val="fr-FR"/>
        </w:rPr>
        <w:t xml:space="preserve"> </w:t>
      </w:r>
      <w:proofErr w:type="spellStart"/>
      <w:r>
        <w:rPr>
          <w:rFonts w:asciiTheme="majorBidi" w:hAnsiTheme="majorBidi" w:cstheme="majorBidi"/>
          <w:i/>
          <w:color w:val="000000" w:themeColor="text1"/>
          <w:sz w:val="24"/>
          <w:szCs w:val="24"/>
          <w:lang w:val="fr-FR"/>
        </w:rPr>
        <w:t>Statistics</w:t>
      </w:r>
      <w:proofErr w:type="spellEnd"/>
      <w:r>
        <w:rPr>
          <w:rFonts w:asciiTheme="majorBidi" w:hAnsiTheme="majorBidi" w:cstheme="majorBidi"/>
          <w:i/>
          <w:color w:val="000000" w:themeColor="text1"/>
          <w:sz w:val="24"/>
          <w:szCs w:val="24"/>
          <w:lang w:val="fr-FR"/>
        </w:rPr>
        <w:t xml:space="preserve"> (</w:t>
      </w:r>
      <w:r>
        <w:fldChar w:fldCharType="begin"/>
      </w:r>
      <w:r w:rsidRPr="000E2410">
        <w:rPr>
          <w:lang w:val="fr-FR"/>
        </w:rPr>
        <w:instrText>HYPERLINK "https://www.irs.gov/statistics/soi-tax-stats-estate-tax-statistics"</w:instrText>
      </w:r>
      <w:r>
        <w:fldChar w:fldCharType="separate"/>
      </w:r>
      <w:r>
        <w:rPr>
          <w:rStyle w:val="Hyperlink"/>
          <w:rFonts w:asciiTheme="majorBidi" w:hAnsiTheme="majorBidi" w:cstheme="majorBidi"/>
          <w:i/>
          <w:sz w:val="24"/>
          <w:szCs w:val="24"/>
          <w:lang w:val="fr-FR"/>
        </w:rPr>
        <w:t>https://www.irs.gov/statistics/soi-tax-stats-estate-tax-statistics</w:t>
      </w:r>
      <w:r>
        <w:fldChar w:fldCharType="end"/>
      </w:r>
      <w:proofErr w:type="gramStart"/>
      <w:r>
        <w:rPr>
          <w:rFonts w:asciiTheme="majorBidi" w:hAnsiTheme="majorBidi" w:cstheme="majorBidi"/>
          <w:i/>
          <w:color w:val="000000" w:themeColor="text1"/>
          <w:sz w:val="24"/>
          <w:szCs w:val="24"/>
          <w:lang w:val="fr-FR"/>
        </w:rPr>
        <w:t>);</w:t>
      </w:r>
      <w:proofErr w:type="gramEnd"/>
      <w:r>
        <w:rPr>
          <w:rFonts w:asciiTheme="majorBidi" w:hAnsiTheme="majorBidi" w:cstheme="majorBidi"/>
          <w:i/>
          <w:color w:val="000000" w:themeColor="text1"/>
          <w:sz w:val="24"/>
          <w:szCs w:val="24"/>
          <w:lang w:val="fr-FR"/>
        </w:rPr>
        <w:t xml:space="preserve"> </w:t>
      </w:r>
    </w:p>
    <w:p w14:paraId="7A179292" w14:textId="77777777" w:rsidR="001E698E" w:rsidRPr="00AA6B13" w:rsidRDefault="001E698E" w:rsidP="001E698E">
      <w:pPr>
        <w:spacing w:after="160"/>
        <w:ind w:left="432"/>
        <w:rPr>
          <w:rFonts w:asciiTheme="majorBidi" w:hAnsiTheme="majorBidi" w:cstheme="majorBidi"/>
          <w:color w:val="000000" w:themeColor="text1"/>
          <w:sz w:val="24"/>
          <w:szCs w:val="24"/>
        </w:rPr>
      </w:pPr>
      <w:r>
        <w:rPr>
          <w:rFonts w:asciiTheme="majorBidi" w:hAnsiTheme="majorBidi" w:cstheme="majorBidi"/>
          <w:i/>
          <w:color w:val="000000" w:themeColor="text1"/>
          <w:sz w:val="24"/>
          <w:szCs w:val="24"/>
        </w:rPr>
        <w:t>Project Equity/TCF succession data; Exit Planning Institute</w:t>
      </w:r>
    </w:p>
    <w:p w14:paraId="755EE791" w14:textId="77777777" w:rsidR="001E698E" w:rsidRPr="00AA6B13" w:rsidRDefault="001E698E" w:rsidP="001E698E">
      <w:pPr>
        <w:pStyle w:val="Heading3"/>
        <w:rPr>
          <w:rFonts w:asciiTheme="majorBidi" w:hAnsiTheme="majorBidi"/>
          <w:color w:val="000000" w:themeColor="text1"/>
          <w:sz w:val="24"/>
          <w:szCs w:val="24"/>
        </w:rPr>
      </w:pPr>
      <w:r>
        <w:rPr>
          <w:rFonts w:asciiTheme="majorBidi" w:hAnsiTheme="majorBidi"/>
          <w:color w:val="000000" w:themeColor="text1"/>
          <w:sz w:val="24"/>
          <w:szCs w:val="24"/>
        </w:rPr>
        <w:t>Track 2: Income Tax Revenue Loss ($16–25B)</w:t>
      </w:r>
    </w:p>
    <w:p w14:paraId="54E6A188" w14:textId="77777777" w:rsidR="001E698E"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TRACK 2 DERIVATION </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STEP 1: Per-Transaction Benefit Derivation</w:t>
      </w:r>
      <w:r>
        <w:rPr>
          <w:rFonts w:asciiTheme="majorBidi" w:hAnsiTheme="majorBidi" w:cstheme="majorBidi"/>
          <w:color w:val="000000" w:themeColor="text1"/>
          <w:sz w:val="24"/>
          <w:szCs w:val="24"/>
        </w:rPr>
        <w:br/>
        <w:t xml:space="preserve"> GF Data/</w:t>
      </w:r>
      <w:proofErr w:type="spellStart"/>
      <w:r>
        <w:rPr>
          <w:rFonts w:asciiTheme="majorBidi" w:hAnsiTheme="majorBidi" w:cstheme="majorBidi"/>
          <w:color w:val="000000" w:themeColor="text1"/>
          <w:sz w:val="24"/>
          <w:szCs w:val="24"/>
        </w:rPr>
        <w:t>BizBuySell</w:t>
      </w:r>
      <w:proofErr w:type="spellEnd"/>
      <w:r>
        <w:rPr>
          <w:rFonts w:asciiTheme="majorBidi" w:hAnsiTheme="majorBidi" w:cstheme="majorBidi"/>
          <w:color w:val="000000" w:themeColor="text1"/>
          <w:sz w:val="24"/>
          <w:szCs w:val="24"/>
        </w:rPr>
        <w:t xml:space="preserve"> mid-market </w:t>
      </w:r>
      <w:proofErr w:type="spellStart"/>
      <w:r>
        <w:rPr>
          <w:rFonts w:asciiTheme="majorBidi" w:hAnsiTheme="majorBidi" w:cstheme="majorBidi"/>
          <w:color w:val="000000" w:themeColor="text1"/>
          <w:sz w:val="24"/>
          <w:szCs w:val="24"/>
        </w:rPr>
        <w:t>mfg</w:t>
      </w:r>
      <w:proofErr w:type="spellEnd"/>
      <w:r>
        <w:rPr>
          <w:rFonts w:asciiTheme="majorBidi" w:hAnsiTheme="majorBidi" w:cstheme="majorBidi"/>
          <w:color w:val="000000" w:themeColor="text1"/>
          <w:sz w:val="24"/>
          <w:szCs w:val="24"/>
        </w:rPr>
        <w:t xml:space="preserve"> transaction data:</w:t>
      </w:r>
      <w:r>
        <w:rPr>
          <w:rFonts w:asciiTheme="majorBidi" w:hAnsiTheme="majorBidi" w:cstheme="majorBidi"/>
          <w:color w:val="000000" w:themeColor="text1"/>
          <w:sz w:val="24"/>
          <w:szCs w:val="24"/>
        </w:rPr>
        <w:br/>
        <w:t xml:space="preserve"> Median sale price for </w:t>
      </w:r>
      <w:proofErr w:type="spellStart"/>
      <w:r>
        <w:rPr>
          <w:rFonts w:asciiTheme="majorBidi" w:hAnsiTheme="majorBidi" w:cstheme="majorBidi"/>
          <w:color w:val="000000" w:themeColor="text1"/>
          <w:sz w:val="24"/>
          <w:szCs w:val="24"/>
        </w:rPr>
        <w:t>mfg</w:t>
      </w:r>
      <w:proofErr w:type="spellEnd"/>
      <w:r>
        <w:rPr>
          <w:rFonts w:asciiTheme="majorBidi" w:hAnsiTheme="majorBidi" w:cstheme="majorBidi"/>
          <w:color w:val="000000" w:themeColor="text1"/>
          <w:sz w:val="24"/>
          <w:szCs w:val="24"/>
        </w:rPr>
        <w:t xml:space="preserve"> employer firms: $15-35M</w:t>
      </w:r>
      <w:r>
        <w:rPr>
          <w:rFonts w:asciiTheme="majorBidi" w:hAnsiTheme="majorBidi" w:cstheme="majorBidi"/>
          <w:color w:val="000000" w:themeColor="text1"/>
          <w:sz w:val="24"/>
          <w:szCs w:val="24"/>
        </w:rPr>
        <w:br/>
        <w:t xml:space="preserve"> Average cost basis as % of sale: 15-25% (long-held businesses)</w:t>
      </w:r>
      <w:r>
        <w:rPr>
          <w:rFonts w:asciiTheme="majorBidi" w:hAnsiTheme="majorBidi" w:cstheme="majorBidi"/>
          <w:color w:val="000000" w:themeColor="text1"/>
          <w:sz w:val="24"/>
          <w:szCs w:val="24"/>
        </w:rPr>
        <w:br/>
        <w:t xml:space="preserve"> Average capital gain: ~$21M (midpoint of $12-30M range)</w:t>
      </w:r>
      <w:r>
        <w:rPr>
          <w:rFonts w:asciiTheme="majorBidi" w:hAnsiTheme="majorBidi" w:cstheme="majorBidi"/>
          <w:color w:val="000000" w:themeColor="text1"/>
          <w:sz w:val="24"/>
          <w:szCs w:val="24"/>
        </w:rPr>
        <w:br/>
        <w:t xml:space="preserve"> Blended CG rate: 23.8% (federal 20% + 3.8% NIIT)</w:t>
      </w:r>
      <w:r>
        <w:rPr>
          <w:rFonts w:asciiTheme="majorBidi" w:hAnsiTheme="majorBidi" w:cstheme="majorBidi"/>
          <w:color w:val="000000" w:themeColor="text1"/>
          <w:sz w:val="24"/>
          <w:szCs w:val="24"/>
        </w:rPr>
        <w:br/>
        <w:t xml:space="preserve"> Average CG tax saved: $21M × 23.8% = $5.0M per transaction</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STEP 2: Uptake Rate</w:t>
      </w:r>
      <w:r>
        <w:rPr>
          <w:rFonts w:asciiTheme="majorBidi" w:hAnsiTheme="majorBidi" w:cstheme="majorBidi"/>
          <w:color w:val="000000" w:themeColor="text1"/>
          <w:sz w:val="24"/>
          <w:szCs w:val="24"/>
        </w:rPr>
        <w:br/>
        <w:t xml:space="preserve"> Effective uptake among 125K: 2.5-4%</w:t>
      </w:r>
      <w:r>
        <w:rPr>
          <w:rFonts w:asciiTheme="majorBidi" w:hAnsiTheme="majorBidi" w:cstheme="majorBidi"/>
          <w:color w:val="000000" w:themeColor="text1"/>
          <w:sz w:val="24"/>
          <w:szCs w:val="24"/>
        </w:rPr>
        <w:br/>
        <w:t xml:space="preserve"> (Reflecting: 35% external sale preference × 30-40% sell in 10yr</w:t>
      </w:r>
      <w:r>
        <w:rPr>
          <w:rFonts w:asciiTheme="majorBidi" w:hAnsiTheme="majorBidi" w:cstheme="majorBidi"/>
          <w:color w:val="000000" w:themeColor="text1"/>
          <w:sz w:val="24"/>
          <w:szCs w:val="24"/>
        </w:rPr>
        <w:br/>
        <w:t xml:space="preserve"> × ~50-70% meet holding/guardrail requirements)</w:t>
      </w:r>
      <w:r>
        <w:rPr>
          <w:rFonts w:asciiTheme="majorBidi" w:hAnsiTheme="majorBidi" w:cstheme="majorBidi"/>
          <w:color w:val="000000" w:themeColor="text1"/>
          <w:sz w:val="24"/>
          <w:szCs w:val="24"/>
        </w:rPr>
        <w:br/>
        <w:t xml:space="preserve"> Higher benefit corresponds to larger transactions → fewer claimants</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STEP 3: Gross 10-Year Cost</w:t>
      </w:r>
      <w:r>
        <w:rPr>
          <w:rFonts w:asciiTheme="majorBidi" w:hAnsiTheme="majorBidi" w:cstheme="majorBidi"/>
          <w:color w:val="000000" w:themeColor="text1"/>
          <w:sz w:val="24"/>
          <w:szCs w:val="24"/>
        </w:rPr>
        <w:br/>
        <w:t xml:space="preserve"> LOW: 125,000 × 2.5% × $5M = $15.625B ≈ $16B</w:t>
      </w:r>
      <w:r>
        <w:rPr>
          <w:rFonts w:asciiTheme="majorBidi" w:hAnsiTheme="majorBidi" w:cstheme="majorBidi"/>
          <w:color w:val="000000" w:themeColor="text1"/>
          <w:sz w:val="24"/>
          <w:szCs w:val="24"/>
        </w:rPr>
        <w:br/>
        <w:t xml:space="preserve"> HIGH: 125,000 × 4.0% × $5M = $25.0B</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STEP 4: Recapture Offsets (embedded in range)</w:t>
      </w:r>
      <w:r>
        <w:rPr>
          <w:rFonts w:asciiTheme="majorBidi" w:hAnsiTheme="majorBidi" w:cstheme="majorBidi"/>
          <w:color w:val="000000" w:themeColor="text1"/>
          <w:sz w:val="24"/>
          <w:szCs w:val="24"/>
        </w:rPr>
        <w:br/>
        <w:t xml:space="preserve"> 3.5:1 debt ceiling deters PE leveraged buyouts</w:t>
      </w:r>
      <w:r>
        <w:rPr>
          <w:rFonts w:asciiTheme="majorBidi" w:hAnsiTheme="majorBidi" w:cstheme="majorBidi"/>
          <w:color w:val="000000" w:themeColor="text1"/>
          <w:sz w:val="24"/>
          <w:szCs w:val="24"/>
        </w:rPr>
        <w:br/>
        <w:t xml:space="preserve"> Seller recapture liability for employment reduction/offshoring</w:t>
      </w:r>
      <w:r>
        <w:rPr>
          <w:rFonts w:asciiTheme="majorBidi" w:hAnsiTheme="majorBidi" w:cstheme="majorBidi"/>
          <w:color w:val="000000" w:themeColor="text1"/>
          <w:sz w:val="24"/>
          <w:szCs w:val="24"/>
        </w:rPr>
        <w:br/>
        <w:t xml:space="preserve"> These offsets are incorporated in the conservative uptake rate</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 xml:space="preserve">CROSS-CHECK: </w:t>
      </w:r>
    </w:p>
    <w:p w14:paraId="2ECFC1FD" w14:textId="77777777" w:rsidR="001E698E" w:rsidRPr="000E2410" w:rsidRDefault="001E698E" w:rsidP="001E698E">
      <w:pPr>
        <w:shd w:val="clear" w:color="auto" w:fill="F2F2F2"/>
        <w:spacing w:before="80" w:after="80"/>
        <w:ind w:left="432"/>
        <w:rPr>
          <w:rFonts w:asciiTheme="majorBidi" w:hAnsiTheme="majorBidi" w:cstheme="majorBidi"/>
          <w:color w:val="000000" w:themeColor="text1"/>
          <w:sz w:val="24"/>
          <w:szCs w:val="24"/>
        </w:rPr>
      </w:pPr>
      <w:r w:rsidRPr="000E2410">
        <w:rPr>
          <w:rFonts w:asciiTheme="majorBidi" w:hAnsiTheme="majorBidi" w:cstheme="majorBidi"/>
          <w:color w:val="000000" w:themeColor="text1"/>
          <w:sz w:val="24"/>
          <w:szCs w:val="24"/>
        </w:rPr>
        <w:t xml:space="preserve">JCT QSBS = $5-7B/yr; </w:t>
      </w:r>
    </w:p>
    <w:p w14:paraId="7351C9BE" w14:textId="77777777" w:rsidR="001E698E" w:rsidRPr="000E2410" w:rsidRDefault="001E698E" w:rsidP="001E698E">
      <w:pPr>
        <w:shd w:val="clear" w:color="auto" w:fill="F2F2F2"/>
        <w:spacing w:before="80" w:after="80"/>
        <w:ind w:left="432"/>
        <w:rPr>
          <w:rFonts w:asciiTheme="majorBidi" w:hAnsiTheme="majorBidi" w:cstheme="majorBidi"/>
          <w:color w:val="000000" w:themeColor="text1"/>
          <w:sz w:val="24"/>
          <w:szCs w:val="24"/>
        </w:rPr>
      </w:pPr>
      <w:r w:rsidRPr="000E2410">
        <w:rPr>
          <w:rFonts w:asciiTheme="majorBidi" w:hAnsiTheme="majorBidi" w:cstheme="majorBidi"/>
          <w:color w:val="000000" w:themeColor="text1"/>
          <w:sz w:val="24"/>
          <w:szCs w:val="24"/>
        </w:rPr>
        <w:lastRenderedPageBreak/>
        <w:t>MERA Track 2 = $1.6-2.5B/yr</w:t>
      </w:r>
      <w:r w:rsidRPr="000E2410">
        <w:rPr>
          <w:rFonts w:asciiTheme="majorBidi" w:hAnsiTheme="majorBidi" w:cstheme="majorBidi"/>
          <w:color w:val="000000" w:themeColor="text1"/>
          <w:sz w:val="24"/>
          <w:szCs w:val="24"/>
        </w:rPr>
        <w:br/>
      </w:r>
    </w:p>
    <w:p w14:paraId="23B57F20" w14:textId="77777777" w:rsidR="001E698E" w:rsidRPr="00AA6B13"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Reasonable given MERA’s narrower scope (</w:t>
      </w:r>
      <w:proofErr w:type="spellStart"/>
      <w:r>
        <w:rPr>
          <w:rFonts w:asciiTheme="majorBidi" w:hAnsiTheme="majorBidi" w:cstheme="majorBidi"/>
          <w:color w:val="000000" w:themeColor="text1"/>
          <w:sz w:val="24"/>
          <w:szCs w:val="24"/>
        </w:rPr>
        <w:t>mfg</w:t>
      </w:r>
      <w:proofErr w:type="spellEnd"/>
      <w:r>
        <w:rPr>
          <w:rFonts w:asciiTheme="majorBidi" w:hAnsiTheme="majorBidi" w:cstheme="majorBidi"/>
          <w:color w:val="000000" w:themeColor="text1"/>
          <w:sz w:val="24"/>
          <w:szCs w:val="24"/>
        </w:rPr>
        <w:t xml:space="preserve"> only, 10yr holding)</w:t>
      </w:r>
    </w:p>
    <w:p w14:paraId="04DAC745"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 xml:space="preserve">SOURCES: </w:t>
      </w:r>
    </w:p>
    <w:p w14:paraId="581B50F8"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GF Data M&amp;A Report (mid-market manufacturing transactions</w:t>
      </w:r>
      <w:proofErr w:type="gramStart"/>
      <w:r>
        <w:rPr>
          <w:rFonts w:asciiTheme="majorBidi" w:hAnsiTheme="majorBidi" w:cstheme="majorBidi"/>
          <w:i/>
          <w:color w:val="000000" w:themeColor="text1"/>
          <w:sz w:val="24"/>
          <w:szCs w:val="24"/>
        </w:rPr>
        <w:t>);</w:t>
      </w:r>
      <w:proofErr w:type="gramEnd"/>
      <w:r>
        <w:rPr>
          <w:rFonts w:asciiTheme="majorBidi" w:hAnsiTheme="majorBidi" w:cstheme="majorBidi"/>
          <w:i/>
          <w:color w:val="000000" w:themeColor="text1"/>
          <w:sz w:val="24"/>
          <w:szCs w:val="24"/>
        </w:rPr>
        <w:t xml:space="preserve"> </w:t>
      </w:r>
    </w:p>
    <w:p w14:paraId="2AFE2F0F" w14:textId="77777777" w:rsidR="001E698E" w:rsidRDefault="001E698E" w:rsidP="001E698E">
      <w:pPr>
        <w:spacing w:after="160"/>
        <w:ind w:left="432"/>
        <w:rPr>
          <w:rFonts w:asciiTheme="majorBidi" w:hAnsiTheme="majorBidi" w:cstheme="majorBidi"/>
          <w:i/>
          <w:color w:val="000000" w:themeColor="text1"/>
          <w:sz w:val="24"/>
          <w:szCs w:val="24"/>
        </w:rPr>
      </w:pPr>
      <w:proofErr w:type="spellStart"/>
      <w:r>
        <w:rPr>
          <w:rFonts w:asciiTheme="majorBidi" w:hAnsiTheme="majorBidi" w:cstheme="majorBidi"/>
          <w:i/>
          <w:color w:val="000000" w:themeColor="text1"/>
          <w:sz w:val="24"/>
          <w:szCs w:val="24"/>
        </w:rPr>
        <w:t>BizBuySell</w:t>
      </w:r>
      <w:proofErr w:type="spellEnd"/>
      <w:r>
        <w:rPr>
          <w:rFonts w:asciiTheme="majorBidi" w:hAnsiTheme="majorBidi" w:cstheme="majorBidi"/>
          <w:i/>
          <w:color w:val="000000" w:themeColor="text1"/>
          <w:sz w:val="24"/>
          <w:szCs w:val="24"/>
        </w:rPr>
        <w:t xml:space="preserve"> Insight </w:t>
      </w:r>
      <w:proofErr w:type="gramStart"/>
      <w:r>
        <w:rPr>
          <w:rFonts w:asciiTheme="majorBidi" w:hAnsiTheme="majorBidi" w:cstheme="majorBidi"/>
          <w:i/>
          <w:color w:val="000000" w:themeColor="text1"/>
          <w:sz w:val="24"/>
          <w:szCs w:val="24"/>
        </w:rPr>
        <w:t>Report;</w:t>
      </w:r>
      <w:proofErr w:type="gramEnd"/>
    </w:p>
    <w:p w14:paraId="74601AAD"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 xml:space="preserve"> IRS CG </w:t>
      </w:r>
      <w:proofErr w:type="gramStart"/>
      <w:r>
        <w:rPr>
          <w:rFonts w:asciiTheme="majorBidi" w:hAnsiTheme="majorBidi" w:cstheme="majorBidi"/>
          <w:i/>
          <w:color w:val="000000" w:themeColor="text1"/>
          <w:sz w:val="24"/>
          <w:szCs w:val="24"/>
        </w:rPr>
        <w:t>rates;</w:t>
      </w:r>
      <w:proofErr w:type="gramEnd"/>
      <w:r>
        <w:rPr>
          <w:rFonts w:asciiTheme="majorBidi" w:hAnsiTheme="majorBidi" w:cstheme="majorBidi"/>
          <w:i/>
          <w:color w:val="000000" w:themeColor="text1"/>
          <w:sz w:val="24"/>
          <w:szCs w:val="24"/>
        </w:rPr>
        <w:t xml:space="preserve"> </w:t>
      </w:r>
    </w:p>
    <w:p w14:paraId="25EC62F3"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JCT Section 1202 QSBS estimates (</w:t>
      </w:r>
      <w:hyperlink r:id="rId9" w:history="1">
        <w:r>
          <w:rPr>
            <w:rStyle w:val="Hyperlink"/>
            <w:rFonts w:asciiTheme="majorBidi" w:hAnsiTheme="majorBidi" w:cstheme="majorBidi"/>
            <w:i/>
            <w:sz w:val="24"/>
            <w:szCs w:val="24"/>
          </w:rPr>
          <w:t>https://www.jct.gov/publications /</w:t>
        </w:r>
      </w:hyperlink>
      <w:proofErr w:type="gramStart"/>
      <w:r>
        <w:rPr>
          <w:rFonts w:asciiTheme="majorBidi" w:hAnsiTheme="majorBidi" w:cstheme="majorBidi"/>
          <w:i/>
          <w:color w:val="000000" w:themeColor="text1"/>
          <w:sz w:val="24"/>
          <w:szCs w:val="24"/>
        </w:rPr>
        <w:t>);</w:t>
      </w:r>
      <w:proofErr w:type="gramEnd"/>
      <w:r>
        <w:rPr>
          <w:rFonts w:asciiTheme="majorBidi" w:hAnsiTheme="majorBidi" w:cstheme="majorBidi"/>
          <w:i/>
          <w:color w:val="000000" w:themeColor="text1"/>
          <w:sz w:val="24"/>
          <w:szCs w:val="24"/>
        </w:rPr>
        <w:t xml:space="preserve"> </w:t>
      </w:r>
    </w:p>
    <w:p w14:paraId="789CC0BE" w14:textId="77777777" w:rsidR="001E698E" w:rsidRPr="00AA6B13" w:rsidRDefault="001E698E" w:rsidP="001E698E">
      <w:pPr>
        <w:spacing w:after="160"/>
        <w:ind w:left="432"/>
        <w:rPr>
          <w:rFonts w:asciiTheme="majorBidi" w:hAnsiTheme="majorBidi" w:cstheme="majorBidi"/>
          <w:color w:val="000000" w:themeColor="text1"/>
          <w:sz w:val="24"/>
          <w:szCs w:val="24"/>
        </w:rPr>
      </w:pPr>
      <w:proofErr w:type="spellStart"/>
      <w:r>
        <w:rPr>
          <w:rFonts w:asciiTheme="majorBidi" w:hAnsiTheme="majorBidi" w:cstheme="majorBidi"/>
          <w:i/>
          <w:color w:val="000000" w:themeColor="text1"/>
          <w:sz w:val="24"/>
          <w:szCs w:val="24"/>
        </w:rPr>
        <w:t>PitchBook</w:t>
      </w:r>
      <w:proofErr w:type="spellEnd"/>
      <w:r>
        <w:rPr>
          <w:rFonts w:asciiTheme="majorBidi" w:hAnsiTheme="majorBidi" w:cstheme="majorBidi"/>
          <w:i/>
          <w:color w:val="000000" w:themeColor="text1"/>
          <w:sz w:val="24"/>
          <w:szCs w:val="24"/>
        </w:rPr>
        <w:t xml:space="preserve"> PE deal data</w:t>
      </w:r>
    </w:p>
    <w:p w14:paraId="309B2944" w14:textId="77777777" w:rsidR="001E698E" w:rsidRPr="00AA6B13" w:rsidRDefault="001E698E" w:rsidP="001E698E">
      <w:pPr>
        <w:pStyle w:val="Heading3"/>
        <w:rPr>
          <w:rFonts w:asciiTheme="majorBidi" w:hAnsiTheme="majorBidi"/>
          <w:color w:val="000000" w:themeColor="text1"/>
          <w:sz w:val="24"/>
          <w:szCs w:val="24"/>
        </w:rPr>
      </w:pPr>
      <w:r>
        <w:rPr>
          <w:rFonts w:asciiTheme="majorBidi" w:hAnsiTheme="majorBidi"/>
          <w:color w:val="000000" w:themeColor="text1"/>
          <w:sz w:val="24"/>
          <w:szCs w:val="24"/>
        </w:rPr>
        <w:t>MERA Combined Cost</w:t>
      </w:r>
    </w:p>
    <w:p w14:paraId="4B8AF34A" w14:textId="77777777" w:rsidR="001E698E" w:rsidRPr="00AA6B13"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NET MERA COST :</w:t>
      </w:r>
      <w:r>
        <w:rPr>
          <w:rFonts w:asciiTheme="majorBidi" w:hAnsiTheme="majorBidi" w:cstheme="majorBidi"/>
          <w:color w:val="000000" w:themeColor="text1"/>
          <w:sz w:val="24"/>
          <w:szCs w:val="24"/>
        </w:rPr>
        <w:br/>
        <w:t xml:space="preserve"> Track 1 (Gift/Estate): $19-50B (central: $34B)</w:t>
      </w:r>
      <w:r>
        <w:rPr>
          <w:rFonts w:asciiTheme="majorBidi" w:hAnsiTheme="majorBidi" w:cstheme="majorBidi"/>
          <w:color w:val="000000" w:themeColor="text1"/>
          <w:sz w:val="24"/>
          <w:szCs w:val="24"/>
        </w:rPr>
        <w:br/>
        <w:t xml:space="preserve"> Track 2 (Income Tax): $16-25B (central: $20B)</w:t>
      </w:r>
      <w:r>
        <w:rPr>
          <w:rFonts w:asciiTheme="majorBidi" w:hAnsiTheme="majorBidi" w:cstheme="majorBidi"/>
          <w:color w:val="000000" w:themeColor="text1"/>
          <w:sz w:val="24"/>
          <w:szCs w:val="24"/>
        </w:rPr>
        <w:br/>
        <w:t xml:space="preserve"> Substitution interaction: +$2B low / −$2B high</w:t>
      </w:r>
      <w:r>
        <w:rPr>
          <w:rFonts w:asciiTheme="majorBidi" w:hAnsiTheme="majorBidi" w:cstheme="majorBidi"/>
          <w:color w:val="000000" w:themeColor="text1"/>
          <w:sz w:val="24"/>
          <w:szCs w:val="24"/>
        </w:rPr>
        <w:br/>
        <w:t xml:space="preserve"> (some firms switch tracks; larger dollar amounts = larger interaction)</w:t>
      </w:r>
      <w:r>
        <w:rPr>
          <w:rFonts w:asciiTheme="majorBidi" w:hAnsiTheme="majorBidi" w:cstheme="majorBidi"/>
          <w:color w:val="000000" w:themeColor="text1"/>
          <w:sz w:val="24"/>
          <w:szCs w:val="24"/>
        </w:rPr>
        <w:br/>
        <w:t xml:space="preserve"> TOTAL: $36-73B (central: $54B)</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SOURCES: All sources cited in Track 1 and Track 2 derivations above</w:t>
      </w:r>
    </w:p>
    <w:p w14:paraId="2CA432B4" w14:textId="77777777" w:rsidR="001E698E" w:rsidRPr="00AA6B13" w:rsidRDefault="001E698E" w:rsidP="001E698E">
      <w:pPr>
        <w:pStyle w:val="Heading1"/>
        <w:rPr>
          <w:rFonts w:asciiTheme="majorBidi" w:hAnsiTheme="majorBidi"/>
          <w:color w:val="000000" w:themeColor="text1"/>
          <w:sz w:val="24"/>
          <w:szCs w:val="24"/>
        </w:rPr>
      </w:pPr>
      <w:r>
        <w:rPr>
          <w:rFonts w:asciiTheme="majorBidi" w:hAnsiTheme="majorBidi"/>
          <w:color w:val="000000" w:themeColor="text1"/>
          <w:sz w:val="24"/>
          <w:szCs w:val="24"/>
        </w:rPr>
        <w:t>VI. Growth Scenario Assumptions (3% Conservative / 5% Dynamic)</w:t>
      </w:r>
    </w:p>
    <w:p w14:paraId="3239EE8B" w14:textId="77777777" w:rsidR="001E698E" w:rsidRPr="00712D99" w:rsidRDefault="001E698E" w:rsidP="001E698E">
      <w:pPr>
        <w:rPr>
          <w:rFonts w:asciiTheme="majorBidi" w:hAnsiTheme="majorBidi" w:cstheme="majorBidi"/>
          <w:b/>
          <w:bCs/>
          <w:color w:val="000000" w:themeColor="text1"/>
          <w:sz w:val="24"/>
          <w:szCs w:val="24"/>
        </w:rPr>
      </w:pPr>
      <w:r>
        <w:rPr>
          <w:rFonts w:asciiTheme="majorBidi" w:hAnsiTheme="majorBidi" w:cstheme="majorBidi"/>
          <w:b/>
          <w:bCs/>
          <w:color w:val="000000" w:themeColor="text1"/>
          <w:sz w:val="24"/>
          <w:szCs w:val="24"/>
        </w:rPr>
        <w:t>This assumption drives the dynamic cost estimates for MINA and DO IT NOW and is therefore one of the most consequential parameters in the model.</w:t>
      </w:r>
    </w:p>
    <w:p w14:paraId="73812B73" w14:textId="77777777" w:rsidR="001E698E" w:rsidRPr="00AA6B13"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HISTORICAL PRECEDENTS:</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1. Section 199 era (2005-2017):</w:t>
      </w:r>
      <w:r>
        <w:rPr>
          <w:rFonts w:asciiTheme="majorBidi" w:hAnsiTheme="majorBidi" w:cstheme="majorBidi"/>
          <w:color w:val="000000" w:themeColor="text1"/>
          <w:sz w:val="24"/>
          <w:szCs w:val="24"/>
        </w:rPr>
        <w:br/>
        <w:t xml:space="preserve"> Manufacturing sector growth: 2-3% annually</w:t>
      </w:r>
      <w:r>
        <w:rPr>
          <w:rFonts w:asciiTheme="majorBidi" w:hAnsiTheme="majorBidi" w:cstheme="majorBidi"/>
          <w:color w:val="000000" w:themeColor="text1"/>
          <w:sz w:val="24"/>
          <w:szCs w:val="24"/>
        </w:rPr>
        <w:br/>
        <w:t xml:space="preserve"> (with a much smaller incentive: 3.15% effective rate)</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2. TCJA impact (2018-2019):</w:t>
      </w:r>
      <w:r>
        <w:rPr>
          <w:rFonts w:asciiTheme="majorBidi" w:hAnsiTheme="majorBidi" w:cstheme="majorBidi"/>
          <w:color w:val="000000" w:themeColor="text1"/>
          <w:sz w:val="24"/>
          <w:szCs w:val="24"/>
        </w:rPr>
        <w:br/>
        <w:t xml:space="preserve"> Corporate rate cut 35% -&gt; 21%</w:t>
      </w:r>
      <w:r>
        <w:rPr>
          <w:rFonts w:asciiTheme="majorBidi" w:hAnsiTheme="majorBidi" w:cstheme="majorBidi"/>
          <w:color w:val="000000" w:themeColor="text1"/>
          <w:sz w:val="24"/>
          <w:szCs w:val="24"/>
        </w:rPr>
        <w:br/>
        <w:t xml:space="preserve"> Domestic investment increase: ~20% (Chodorow-Reich)</w:t>
      </w:r>
      <w:r>
        <w:rPr>
          <w:rFonts w:asciiTheme="majorBidi" w:hAnsiTheme="majorBidi" w:cstheme="majorBidi"/>
          <w:color w:val="000000" w:themeColor="text1"/>
          <w:sz w:val="24"/>
          <w:szCs w:val="24"/>
        </w:rPr>
        <w:br/>
        <w:t xml:space="preserve"> Annualized: ~10%/yr in first two years</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3. Reshoring Initiative data (2019-2024):</w:t>
      </w:r>
      <w:r>
        <w:rPr>
          <w:rFonts w:asciiTheme="majorBidi" w:hAnsiTheme="majorBidi" w:cstheme="majorBidi"/>
          <w:color w:val="000000" w:themeColor="text1"/>
          <w:sz w:val="24"/>
          <w:szCs w:val="24"/>
        </w:rPr>
        <w:br/>
        <w:t xml:space="preserve"> Reshoring + FDI announcements: 6%/yr growth</w:t>
      </w:r>
      <w:r>
        <w:rPr>
          <w:rFonts w:asciiTheme="majorBidi" w:hAnsiTheme="majorBidi" w:cstheme="majorBidi"/>
          <w:color w:val="000000" w:themeColor="text1"/>
          <w:sz w:val="24"/>
          <w:szCs w:val="24"/>
        </w:rPr>
        <w:br/>
        <w:t xml:space="preserve"> (before any of these bills are enacted)</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lastRenderedPageBreak/>
        <w:br/>
        <w:t>4. CHIPS Act response (2022-2024):</w:t>
      </w:r>
      <w:r>
        <w:rPr>
          <w:rFonts w:asciiTheme="majorBidi" w:hAnsiTheme="majorBidi" w:cstheme="majorBidi"/>
          <w:color w:val="000000" w:themeColor="text1"/>
          <w:sz w:val="24"/>
          <w:szCs w:val="24"/>
        </w:rPr>
        <w:br/>
        <w:t xml:space="preserve"> Semiconductor construction spending: +300% in 2 years</w:t>
      </w:r>
      <w:r>
        <w:rPr>
          <w:rFonts w:asciiTheme="majorBidi" w:hAnsiTheme="majorBidi" w:cstheme="majorBidi"/>
          <w:color w:val="000000" w:themeColor="text1"/>
          <w:sz w:val="24"/>
          <w:szCs w:val="24"/>
        </w:rPr>
        <w:br/>
        <w:t xml:space="preserve"> (sector-</w:t>
      </w:r>
      <w:proofErr w:type="gramStart"/>
      <w:r>
        <w:rPr>
          <w:rFonts w:asciiTheme="majorBidi" w:hAnsiTheme="majorBidi" w:cstheme="majorBidi"/>
          <w:color w:val="000000" w:themeColor="text1"/>
          <w:sz w:val="24"/>
          <w:szCs w:val="24"/>
        </w:rPr>
        <w:t>specific, but</w:t>
      </w:r>
      <w:proofErr w:type="gramEnd"/>
      <w:r>
        <w:rPr>
          <w:rFonts w:asciiTheme="majorBidi" w:hAnsiTheme="majorBidi" w:cstheme="majorBidi"/>
          <w:color w:val="000000" w:themeColor="text1"/>
          <w:sz w:val="24"/>
          <w:szCs w:val="24"/>
        </w:rPr>
        <w:t xml:space="preserve"> demonstrates incentive responsiveness)</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CONCLUSION: 5% is conservative given MINA provides a 5-6% credit</w:t>
      </w:r>
      <w:r>
        <w:rPr>
          <w:rFonts w:asciiTheme="majorBidi" w:hAnsiTheme="majorBidi" w:cstheme="majorBidi"/>
          <w:color w:val="000000" w:themeColor="text1"/>
          <w:sz w:val="24"/>
          <w:szCs w:val="24"/>
        </w:rPr>
        <w:br/>
        <w:t>(roughly double Section 199’s effective rate) plus DO IT NOW’s</w:t>
      </w:r>
      <w:r>
        <w:rPr>
          <w:rFonts w:asciiTheme="majorBidi" w:hAnsiTheme="majorBidi" w:cstheme="majorBidi"/>
          <w:color w:val="000000" w:themeColor="text1"/>
          <w:sz w:val="24"/>
          <w:szCs w:val="24"/>
        </w:rPr>
        <w:br/>
        <w:t>additional 8-10% for strategic sectors. Combined with Mannie Mac</w:t>
      </w:r>
      <w:r>
        <w:rPr>
          <w:rFonts w:asciiTheme="majorBidi" w:hAnsiTheme="majorBidi" w:cstheme="majorBidi"/>
          <w:color w:val="000000" w:themeColor="text1"/>
          <w:sz w:val="24"/>
          <w:szCs w:val="24"/>
        </w:rPr>
        <w:br/>
        <w:t>capital access and MERA succession planning, the package creates</w:t>
      </w:r>
      <w:r>
        <w:rPr>
          <w:rFonts w:asciiTheme="majorBidi" w:hAnsiTheme="majorBidi" w:cstheme="majorBidi"/>
          <w:color w:val="000000" w:themeColor="text1"/>
          <w:sz w:val="24"/>
          <w:szCs w:val="24"/>
        </w:rPr>
        <w:br/>
        <w:t>compounding incentives for domestic manufacturing expansion.</w:t>
      </w:r>
    </w:p>
    <w:p w14:paraId="3D6CDCA1" w14:textId="77777777" w:rsidR="001E698E" w:rsidRDefault="001E698E" w:rsidP="001E698E">
      <w:pPr>
        <w:spacing w:after="160"/>
        <w:ind w:left="432"/>
        <w:rPr>
          <w:rFonts w:asciiTheme="majorBidi" w:hAnsiTheme="majorBidi" w:cstheme="majorBidi"/>
          <w:i/>
          <w:color w:val="000000" w:themeColor="text1"/>
          <w:sz w:val="24"/>
          <w:szCs w:val="24"/>
          <w:lang w:val="fr-FR"/>
        </w:rPr>
      </w:pPr>
      <w:proofErr w:type="gramStart"/>
      <w:r>
        <w:rPr>
          <w:rFonts w:asciiTheme="majorBidi" w:hAnsiTheme="majorBidi" w:cstheme="majorBidi"/>
          <w:i/>
          <w:color w:val="000000" w:themeColor="text1"/>
          <w:sz w:val="24"/>
          <w:szCs w:val="24"/>
          <w:lang w:val="fr-FR"/>
        </w:rPr>
        <w:t>SOURCES:</w:t>
      </w:r>
      <w:proofErr w:type="gramEnd"/>
      <w:r>
        <w:rPr>
          <w:rFonts w:asciiTheme="majorBidi" w:hAnsiTheme="majorBidi" w:cstheme="majorBidi"/>
          <w:i/>
          <w:color w:val="000000" w:themeColor="text1"/>
          <w:sz w:val="24"/>
          <w:szCs w:val="24"/>
          <w:lang w:val="fr-FR"/>
        </w:rPr>
        <w:t xml:space="preserve"> </w:t>
      </w:r>
    </w:p>
    <w:p w14:paraId="1458DE17" w14:textId="77777777" w:rsidR="001E698E" w:rsidRDefault="001E698E" w:rsidP="001E698E">
      <w:pPr>
        <w:spacing w:after="160"/>
        <w:ind w:left="432"/>
        <w:rPr>
          <w:rFonts w:asciiTheme="majorBidi" w:hAnsiTheme="majorBidi" w:cstheme="majorBidi"/>
          <w:i/>
          <w:color w:val="000000" w:themeColor="text1"/>
          <w:sz w:val="24"/>
          <w:szCs w:val="24"/>
        </w:rPr>
      </w:pPr>
      <w:proofErr w:type="spellStart"/>
      <w:r>
        <w:rPr>
          <w:rFonts w:asciiTheme="majorBidi" w:hAnsiTheme="majorBidi" w:cstheme="majorBidi"/>
          <w:i/>
          <w:color w:val="000000" w:themeColor="text1"/>
          <w:sz w:val="24"/>
          <w:szCs w:val="24"/>
          <w:lang w:val="fr-FR"/>
        </w:rPr>
        <w:t>Chodorow</w:t>
      </w:r>
      <w:proofErr w:type="spellEnd"/>
      <w:r>
        <w:rPr>
          <w:rFonts w:asciiTheme="majorBidi" w:hAnsiTheme="majorBidi" w:cstheme="majorBidi"/>
          <w:i/>
          <w:color w:val="000000" w:themeColor="text1"/>
          <w:sz w:val="24"/>
          <w:szCs w:val="24"/>
          <w:lang w:val="fr-FR"/>
        </w:rPr>
        <w:t xml:space="preserve">-Reich, G. et al. </w:t>
      </w:r>
      <w:r>
        <w:rPr>
          <w:rFonts w:asciiTheme="majorBidi" w:hAnsiTheme="majorBidi" w:cstheme="majorBidi"/>
          <w:i/>
          <w:color w:val="000000" w:themeColor="text1"/>
          <w:sz w:val="24"/>
          <w:szCs w:val="24"/>
        </w:rPr>
        <w:t xml:space="preserve">(2024) NBER Working </w:t>
      </w:r>
      <w:proofErr w:type="gramStart"/>
      <w:r>
        <w:rPr>
          <w:rFonts w:asciiTheme="majorBidi" w:hAnsiTheme="majorBidi" w:cstheme="majorBidi"/>
          <w:i/>
          <w:color w:val="000000" w:themeColor="text1"/>
          <w:sz w:val="24"/>
          <w:szCs w:val="24"/>
        </w:rPr>
        <w:t>Paper;</w:t>
      </w:r>
      <w:proofErr w:type="gramEnd"/>
      <w:r>
        <w:rPr>
          <w:rFonts w:asciiTheme="majorBidi" w:hAnsiTheme="majorBidi" w:cstheme="majorBidi"/>
          <w:i/>
          <w:color w:val="000000" w:themeColor="text1"/>
          <w:sz w:val="24"/>
          <w:szCs w:val="24"/>
        </w:rPr>
        <w:t xml:space="preserve"> </w:t>
      </w:r>
    </w:p>
    <w:p w14:paraId="304CC46A"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Reshoring Initiative Annual Report 2024 (</w:t>
      </w:r>
      <w:hyperlink r:id="rId10" w:history="1">
        <w:r>
          <w:rPr>
            <w:rStyle w:val="Hyperlink"/>
            <w:rFonts w:asciiTheme="majorBidi" w:hAnsiTheme="majorBidi" w:cstheme="majorBidi"/>
            <w:i/>
            <w:sz w:val="24"/>
            <w:szCs w:val="24"/>
          </w:rPr>
          <w:t>https://reshorenow.org/data/</w:t>
        </w:r>
      </w:hyperlink>
      <w:r>
        <w:rPr>
          <w:rFonts w:asciiTheme="majorBidi" w:hAnsiTheme="majorBidi" w:cstheme="majorBidi"/>
          <w:i/>
          <w:color w:val="000000" w:themeColor="text1"/>
          <w:sz w:val="24"/>
          <w:szCs w:val="24"/>
        </w:rPr>
        <w:t xml:space="preserve"> </w:t>
      </w:r>
      <w:proofErr w:type="gramStart"/>
      <w:r>
        <w:rPr>
          <w:rFonts w:asciiTheme="majorBidi" w:hAnsiTheme="majorBidi" w:cstheme="majorBidi"/>
          <w:i/>
          <w:color w:val="000000" w:themeColor="text1"/>
          <w:sz w:val="24"/>
          <w:szCs w:val="24"/>
        </w:rPr>
        <w:t>);</w:t>
      </w:r>
      <w:proofErr w:type="gramEnd"/>
      <w:r>
        <w:rPr>
          <w:rFonts w:asciiTheme="majorBidi" w:hAnsiTheme="majorBidi" w:cstheme="majorBidi"/>
          <w:i/>
          <w:color w:val="000000" w:themeColor="text1"/>
          <w:sz w:val="24"/>
          <w:szCs w:val="24"/>
        </w:rPr>
        <w:t xml:space="preserve"> </w:t>
      </w:r>
    </w:p>
    <w:p w14:paraId="0C17E8DC"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Census Construction Spending (</w:t>
      </w:r>
      <w:hyperlink r:id="rId11" w:history="1">
        <w:r>
          <w:rPr>
            <w:rStyle w:val="Hyperlink"/>
            <w:rFonts w:asciiTheme="majorBidi" w:hAnsiTheme="majorBidi" w:cstheme="majorBidi"/>
            <w:i/>
            <w:sz w:val="24"/>
            <w:szCs w:val="24"/>
          </w:rPr>
          <w:t>https://www.census.gov/construction/c30/c30index.html</w:t>
        </w:r>
      </w:hyperlink>
      <w:r>
        <w:rPr>
          <w:rFonts w:asciiTheme="majorBidi" w:hAnsiTheme="majorBidi" w:cstheme="majorBidi"/>
          <w:i/>
          <w:color w:val="000000" w:themeColor="text1"/>
          <w:sz w:val="24"/>
          <w:szCs w:val="24"/>
        </w:rPr>
        <w:t xml:space="preserve"> </w:t>
      </w:r>
      <w:proofErr w:type="gramStart"/>
      <w:r>
        <w:rPr>
          <w:rFonts w:asciiTheme="majorBidi" w:hAnsiTheme="majorBidi" w:cstheme="majorBidi"/>
          <w:i/>
          <w:color w:val="000000" w:themeColor="text1"/>
          <w:sz w:val="24"/>
          <w:szCs w:val="24"/>
        </w:rPr>
        <w:t>);</w:t>
      </w:r>
      <w:proofErr w:type="gramEnd"/>
      <w:r>
        <w:rPr>
          <w:rFonts w:asciiTheme="majorBidi" w:hAnsiTheme="majorBidi" w:cstheme="majorBidi"/>
          <w:i/>
          <w:color w:val="000000" w:themeColor="text1"/>
          <w:sz w:val="24"/>
          <w:szCs w:val="24"/>
        </w:rPr>
        <w:t xml:space="preserve"> </w:t>
      </w:r>
    </w:p>
    <w:p w14:paraId="0C4CE4F1" w14:textId="77777777" w:rsidR="001E698E" w:rsidRPr="00712D99"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CRS Report R43825</w:t>
      </w:r>
    </w:p>
    <w:p w14:paraId="7CF79AAF" w14:textId="77777777" w:rsidR="001E698E" w:rsidRPr="00AA6B13" w:rsidRDefault="001E698E" w:rsidP="001E698E">
      <w:pPr>
        <w:pStyle w:val="Heading2"/>
        <w:rPr>
          <w:rFonts w:asciiTheme="majorBidi" w:hAnsiTheme="majorBidi"/>
          <w:color w:val="000000" w:themeColor="text1"/>
          <w:sz w:val="24"/>
          <w:szCs w:val="24"/>
        </w:rPr>
      </w:pPr>
      <w:r>
        <w:rPr>
          <w:rFonts w:asciiTheme="majorBidi" w:hAnsiTheme="majorBidi"/>
          <w:color w:val="000000" w:themeColor="text1"/>
          <w:sz w:val="24"/>
          <w:szCs w:val="24"/>
        </w:rPr>
        <w:t>Qualified Reinvestment Elector Framework (Base/Bonus)</w:t>
      </w:r>
    </w:p>
    <w:p w14:paraId="41F62110"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The QRE framework drives the QRE-blended rate structure. A manufacturer qualifies for the bonus rate (6% MINA, 10% DO IT NOW) by satisfying ANY ONE of three tests:</w:t>
      </w:r>
    </w:p>
    <w:p w14:paraId="1A5F3576" w14:textId="77777777" w:rsidR="001E698E" w:rsidRPr="00AA6B13"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PATH A: CAPEX GROWTH TEST (§38A(b-1)(1)(A))</w:t>
      </w:r>
      <w:r>
        <w:rPr>
          <w:rFonts w:asciiTheme="majorBidi" w:hAnsiTheme="majorBidi" w:cstheme="majorBidi"/>
          <w:color w:val="000000" w:themeColor="text1"/>
          <w:sz w:val="24"/>
          <w:szCs w:val="24"/>
        </w:rPr>
        <w:br/>
        <w:t xml:space="preserve"> Qualified domestic capex &gt; threshold % of trailing 3-year average</w:t>
      </w:r>
      <w:r>
        <w:rPr>
          <w:rFonts w:asciiTheme="majorBidi" w:hAnsiTheme="majorBidi" w:cstheme="majorBidi"/>
          <w:color w:val="000000" w:themeColor="text1"/>
          <w:sz w:val="24"/>
          <w:szCs w:val="24"/>
        </w:rPr>
        <w:br/>
        <w:t xml:space="preserve"> Years 1-2: 115% | Years 3-5: 110% | Year 6+: 105%</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PATH B: DISTRIBUTION RESTRAINT TEST (§38A(b-1)(1)(B))</w:t>
      </w:r>
      <w:r>
        <w:rPr>
          <w:rFonts w:asciiTheme="majorBidi" w:hAnsiTheme="majorBidi" w:cstheme="majorBidi"/>
          <w:color w:val="000000" w:themeColor="text1"/>
          <w:sz w:val="24"/>
          <w:szCs w:val="24"/>
        </w:rPr>
        <w:br/>
        <w:t xml:space="preserve"> Total shareholder distributions ≤ 50% of net income</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PATH C: INVESTMENT INTENSITY TEST (§38A(b-1)(1)(C))</w:t>
      </w:r>
      <w:r>
        <w:rPr>
          <w:rFonts w:asciiTheme="majorBidi" w:hAnsiTheme="majorBidi" w:cstheme="majorBidi"/>
          <w:color w:val="000000" w:themeColor="text1"/>
          <w:sz w:val="24"/>
          <w:szCs w:val="24"/>
        </w:rPr>
        <w:br/>
        <w:t xml:space="preserve"> Domestic capex + R&amp;D ≥ 15% of </w:t>
      </w:r>
      <w:proofErr w:type="spellStart"/>
      <w:r>
        <w:rPr>
          <w:rFonts w:asciiTheme="majorBidi" w:hAnsiTheme="majorBidi" w:cstheme="majorBidi"/>
          <w:color w:val="000000" w:themeColor="text1"/>
          <w:sz w:val="24"/>
          <w:szCs w:val="24"/>
        </w:rPr>
        <w:t>mfg</w:t>
      </w:r>
      <w:proofErr w:type="spellEnd"/>
      <w:r>
        <w:rPr>
          <w:rFonts w:asciiTheme="majorBidi" w:hAnsiTheme="majorBidi" w:cstheme="majorBidi"/>
          <w:color w:val="000000" w:themeColor="text1"/>
          <w:sz w:val="24"/>
          <w:szCs w:val="24"/>
        </w:rPr>
        <w:t xml:space="preserve"> gross receipts</w:t>
      </w:r>
      <w:r>
        <w:rPr>
          <w:rFonts w:asciiTheme="majorBidi" w:hAnsiTheme="majorBidi" w:cstheme="majorBidi"/>
          <w:color w:val="000000" w:themeColor="text1"/>
          <w:sz w:val="24"/>
          <w:szCs w:val="24"/>
        </w:rPr>
        <w:br/>
        <w:t xml:space="preserve"> (for firms with zero/negative net income)</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ESTIMATED QUALIFICATION RATES:</w:t>
      </w:r>
      <w:r>
        <w:rPr>
          <w:rFonts w:asciiTheme="majorBidi" w:hAnsiTheme="majorBidi" w:cstheme="majorBidi"/>
          <w:color w:val="000000" w:themeColor="text1"/>
          <w:sz w:val="24"/>
          <w:szCs w:val="24"/>
        </w:rPr>
        <w:br/>
        <w:t xml:space="preserve"> Path A: ~25-50% of electors</w:t>
      </w:r>
      <w:r>
        <w:rPr>
          <w:rFonts w:asciiTheme="majorBidi" w:hAnsiTheme="majorBidi" w:cstheme="majorBidi"/>
          <w:color w:val="000000" w:themeColor="text1"/>
          <w:sz w:val="24"/>
          <w:szCs w:val="24"/>
        </w:rPr>
        <w:br/>
        <w:t xml:space="preserve"> Path B: ~35-45% of electors</w:t>
      </w:r>
      <w:r>
        <w:rPr>
          <w:rFonts w:asciiTheme="majorBidi" w:hAnsiTheme="majorBidi" w:cstheme="majorBidi"/>
          <w:color w:val="000000" w:themeColor="text1"/>
          <w:sz w:val="24"/>
          <w:szCs w:val="24"/>
        </w:rPr>
        <w:br/>
        <w:t xml:space="preserve"> Path C: ~20-30% of electors</w:t>
      </w:r>
      <w:r>
        <w:rPr>
          <w:rFonts w:asciiTheme="majorBidi" w:hAnsiTheme="majorBidi" w:cstheme="majorBidi"/>
          <w:color w:val="000000" w:themeColor="text1"/>
          <w:sz w:val="24"/>
          <w:szCs w:val="24"/>
        </w:rPr>
        <w:br/>
        <w:t xml:space="preserve"> Combined (any one test): ~55-65% of electors</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lastRenderedPageBreak/>
        <w:t>CBO SCORING: Base rate is scoreable floor.</w:t>
      </w:r>
      <w:r>
        <w:rPr>
          <w:rFonts w:asciiTheme="majorBidi" w:hAnsiTheme="majorBidi" w:cstheme="majorBidi"/>
          <w:color w:val="000000" w:themeColor="text1"/>
          <w:sz w:val="24"/>
          <w:szCs w:val="24"/>
        </w:rPr>
        <w:br/>
        <w:t xml:space="preserve"> Bonus uptake is behavioral and not scored as base cost.</w:t>
      </w:r>
    </w:p>
    <w:p w14:paraId="5192B0C1"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 xml:space="preserve">SOURCES: </w:t>
      </w:r>
    </w:p>
    <w:p w14:paraId="0393C17F"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IRA QRE-blended precedent (Sections 45, 45L, 48</w:t>
      </w:r>
      <w:proofErr w:type="gramStart"/>
      <w:r>
        <w:rPr>
          <w:rFonts w:asciiTheme="majorBidi" w:hAnsiTheme="majorBidi" w:cstheme="majorBidi"/>
          <w:i/>
          <w:color w:val="000000" w:themeColor="text1"/>
          <w:sz w:val="24"/>
          <w:szCs w:val="24"/>
        </w:rPr>
        <w:t>);</w:t>
      </w:r>
      <w:proofErr w:type="gramEnd"/>
    </w:p>
    <w:p w14:paraId="5672CF65" w14:textId="77777777" w:rsidR="001E698E" w:rsidRPr="00712D99"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Claude AI analysis of manufacturing capex and distribution patterns</w:t>
      </w:r>
    </w:p>
    <w:p w14:paraId="0D8B409E" w14:textId="77777777" w:rsidR="001E698E" w:rsidRPr="00AA6B13" w:rsidRDefault="001E698E" w:rsidP="001E698E">
      <w:pPr>
        <w:pStyle w:val="Heading1"/>
        <w:rPr>
          <w:rFonts w:asciiTheme="majorBidi" w:hAnsiTheme="majorBidi"/>
          <w:color w:val="000000" w:themeColor="text1"/>
          <w:sz w:val="24"/>
          <w:szCs w:val="24"/>
        </w:rPr>
      </w:pPr>
      <w:r>
        <w:rPr>
          <w:rFonts w:asciiTheme="majorBidi" w:hAnsiTheme="majorBidi"/>
          <w:color w:val="000000" w:themeColor="text1"/>
          <w:sz w:val="24"/>
          <w:szCs w:val="24"/>
        </w:rPr>
        <w:t>VII. Economic Benefits</w:t>
      </w:r>
    </w:p>
    <w:p w14:paraId="323AA898" w14:textId="77777777" w:rsidR="001E698E" w:rsidRPr="00AA6B13" w:rsidRDefault="001E698E" w:rsidP="001E698E">
      <w:pPr>
        <w:pStyle w:val="Heading2"/>
        <w:rPr>
          <w:rFonts w:asciiTheme="majorBidi" w:hAnsiTheme="majorBidi"/>
          <w:color w:val="000000" w:themeColor="text1"/>
          <w:sz w:val="24"/>
          <w:szCs w:val="24"/>
        </w:rPr>
      </w:pPr>
      <w:r>
        <w:rPr>
          <w:rFonts w:asciiTheme="majorBidi" w:hAnsiTheme="majorBidi"/>
          <w:color w:val="000000" w:themeColor="text1"/>
          <w:sz w:val="24"/>
          <w:szCs w:val="24"/>
        </w:rPr>
        <w:t xml:space="preserve">A. GDP Impact ($1.9–3.6 </w:t>
      </w:r>
      <w:proofErr w:type="gramStart"/>
      <w:r>
        <w:rPr>
          <w:rFonts w:asciiTheme="majorBidi" w:hAnsiTheme="majorBidi"/>
          <w:color w:val="000000" w:themeColor="text1"/>
          <w:sz w:val="24"/>
          <w:szCs w:val="24"/>
        </w:rPr>
        <w:t>Trillion</w:t>
      </w:r>
      <w:proofErr w:type="gramEnd"/>
      <w:r>
        <w:rPr>
          <w:rFonts w:asciiTheme="majorBidi" w:hAnsiTheme="majorBidi"/>
          <w:color w:val="000000" w:themeColor="text1"/>
          <w:sz w:val="24"/>
          <w:szCs w:val="24"/>
        </w:rPr>
        <w:t xml:space="preserve"> Cumulative)</w:t>
      </w:r>
    </w:p>
    <w:p w14:paraId="0F6295BB"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The GDP impact estimate applies the manufacturing multiplier to incremental manufacturing activity generated by the package’s tax credits and capital deployment.</w:t>
      </w:r>
    </w:p>
    <w:tbl>
      <w:tblPr>
        <w:tblW w:w="0" w:type="auto"/>
        <w:jc w:val="center"/>
        <w:tblLook w:val="04A0" w:firstRow="1" w:lastRow="0" w:firstColumn="1" w:lastColumn="0" w:noHBand="0" w:noVBand="1"/>
      </w:tblPr>
      <w:tblGrid>
        <w:gridCol w:w="2880"/>
        <w:gridCol w:w="2880"/>
        <w:gridCol w:w="2880"/>
      </w:tblGrid>
      <w:tr w:rsidR="001E698E" w:rsidRPr="00AA6B13" w14:paraId="452C4FBE" w14:textId="77777777" w:rsidTr="00F4214C">
        <w:trPr>
          <w:jc w:val="center"/>
        </w:trPr>
        <w:tc>
          <w:tcPr>
            <w:tcW w:w="2880" w:type="dxa"/>
            <w:shd w:val="clear" w:color="auto" w:fill="D5E8F0"/>
          </w:tcPr>
          <w:p w14:paraId="5416D77C"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Metric</w:t>
            </w:r>
          </w:p>
        </w:tc>
        <w:tc>
          <w:tcPr>
            <w:tcW w:w="2880" w:type="dxa"/>
            <w:shd w:val="clear" w:color="auto" w:fill="D5E8F0"/>
          </w:tcPr>
          <w:p w14:paraId="0B55A4D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Estimate</w:t>
            </w:r>
          </w:p>
        </w:tc>
        <w:tc>
          <w:tcPr>
            <w:tcW w:w="2880" w:type="dxa"/>
            <w:shd w:val="clear" w:color="auto" w:fill="D5E8F0"/>
          </w:tcPr>
          <w:p w14:paraId="6FA26C9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Source</w:t>
            </w:r>
          </w:p>
        </w:tc>
      </w:tr>
      <w:tr w:rsidR="001E698E" w:rsidRPr="00AA6B13" w14:paraId="669F7738" w14:textId="77777777" w:rsidTr="00F4214C">
        <w:trPr>
          <w:jc w:val="center"/>
        </w:trPr>
        <w:tc>
          <w:tcPr>
            <w:tcW w:w="2880" w:type="dxa"/>
          </w:tcPr>
          <w:p w14:paraId="4FFC0E1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Manufacturing Multiplier</w:t>
            </w:r>
          </w:p>
        </w:tc>
        <w:tc>
          <w:tcPr>
            <w:tcW w:w="2880" w:type="dxa"/>
          </w:tcPr>
          <w:p w14:paraId="13B5F2BC"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 → $2.74</w:t>
            </w:r>
          </w:p>
        </w:tc>
        <w:tc>
          <w:tcPr>
            <w:tcW w:w="2880" w:type="dxa"/>
          </w:tcPr>
          <w:p w14:paraId="462DD05E"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NAM/IMPLAN</w:t>
            </w:r>
          </w:p>
        </w:tc>
      </w:tr>
      <w:tr w:rsidR="001E698E" w:rsidRPr="00AA6B13" w14:paraId="43A82914" w14:textId="77777777" w:rsidTr="00F4214C">
        <w:trPr>
          <w:jc w:val="center"/>
        </w:trPr>
        <w:tc>
          <w:tcPr>
            <w:tcW w:w="2880" w:type="dxa"/>
          </w:tcPr>
          <w:p w14:paraId="0EAD8DB7"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Extended Value Chain Multiplier</w:t>
            </w:r>
          </w:p>
        </w:tc>
        <w:tc>
          <w:tcPr>
            <w:tcW w:w="2880" w:type="dxa"/>
          </w:tcPr>
          <w:p w14:paraId="33226E50"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 → $3.60</w:t>
            </w:r>
          </w:p>
        </w:tc>
        <w:tc>
          <w:tcPr>
            <w:tcW w:w="2880" w:type="dxa"/>
          </w:tcPr>
          <w:p w14:paraId="4AEEBBD1"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Deloitte/</w:t>
            </w:r>
            <w:proofErr w:type="spellStart"/>
            <w:r>
              <w:rPr>
                <w:rFonts w:asciiTheme="majorBidi" w:hAnsiTheme="majorBidi" w:cstheme="majorBidi"/>
                <w:color w:val="000000" w:themeColor="text1"/>
                <w:sz w:val="24"/>
                <w:szCs w:val="24"/>
              </w:rPr>
              <w:t>Mfg</w:t>
            </w:r>
            <w:proofErr w:type="spellEnd"/>
            <w:r>
              <w:rPr>
                <w:rFonts w:asciiTheme="majorBidi" w:hAnsiTheme="majorBidi" w:cstheme="majorBidi"/>
                <w:color w:val="000000" w:themeColor="text1"/>
                <w:sz w:val="24"/>
                <w:szCs w:val="24"/>
              </w:rPr>
              <w:t xml:space="preserve"> Institute</w:t>
            </w:r>
          </w:p>
        </w:tc>
      </w:tr>
      <w:tr w:rsidR="001E698E" w:rsidRPr="00AA6B13" w14:paraId="0BD7B432" w14:textId="77777777" w:rsidTr="00F4214C">
        <w:trPr>
          <w:jc w:val="center"/>
        </w:trPr>
        <w:tc>
          <w:tcPr>
            <w:tcW w:w="2880" w:type="dxa"/>
          </w:tcPr>
          <w:p w14:paraId="253CAA2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Tax Multiplier</w:t>
            </w:r>
          </w:p>
        </w:tc>
        <w:tc>
          <w:tcPr>
            <w:tcW w:w="2880" w:type="dxa"/>
          </w:tcPr>
          <w:p w14:paraId="235945E2"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3.0</w:t>
            </w:r>
          </w:p>
        </w:tc>
        <w:tc>
          <w:tcPr>
            <w:tcW w:w="2880" w:type="dxa"/>
          </w:tcPr>
          <w:p w14:paraId="32DAB828"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Mertens &amp; Ravn (2013)</w:t>
            </w:r>
          </w:p>
        </w:tc>
      </w:tr>
      <w:tr w:rsidR="001E698E" w:rsidRPr="00AA6B13" w14:paraId="08CC6D14" w14:textId="77777777" w:rsidTr="00F4214C">
        <w:trPr>
          <w:jc w:val="center"/>
        </w:trPr>
        <w:tc>
          <w:tcPr>
            <w:tcW w:w="2880" w:type="dxa"/>
          </w:tcPr>
          <w:p w14:paraId="6D289796"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Cumulative GDP Impact (10yr)</w:t>
            </w:r>
          </w:p>
        </w:tc>
        <w:tc>
          <w:tcPr>
            <w:tcW w:w="2880" w:type="dxa"/>
          </w:tcPr>
          <w:p w14:paraId="494C42E3"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$2.3–4.4T</w:t>
            </w:r>
          </w:p>
        </w:tc>
        <w:tc>
          <w:tcPr>
            <w:tcW w:w="2880" w:type="dxa"/>
          </w:tcPr>
          <w:p w14:paraId="0DAEDFC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Calculated</w:t>
            </w:r>
          </w:p>
        </w:tc>
      </w:tr>
    </w:tbl>
    <w:p w14:paraId="2581552F" w14:textId="77777777" w:rsidR="001E698E"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METHOD: Apply manufacturing multiplier to incremental activity</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Step 1: Average annual gross stimulus</w:t>
      </w:r>
      <w:r>
        <w:rPr>
          <w:rFonts w:asciiTheme="majorBidi" w:hAnsiTheme="majorBidi" w:cstheme="majorBidi"/>
          <w:color w:val="000000" w:themeColor="text1"/>
          <w:sz w:val="24"/>
          <w:szCs w:val="24"/>
        </w:rPr>
        <w:br/>
        <w:t xml:space="preserve"> (Low + High) / 2 / 10 years = ~$150B/yr</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Step 2: Apply GDP multiplier (2.74)</w:t>
      </w:r>
      <w:r>
        <w:rPr>
          <w:rFonts w:asciiTheme="majorBidi" w:hAnsiTheme="majorBidi" w:cstheme="majorBidi"/>
          <w:color w:val="000000" w:themeColor="text1"/>
          <w:sz w:val="24"/>
          <w:szCs w:val="24"/>
        </w:rPr>
        <w:br/>
        <w:t xml:space="preserve"> $150B × 2.74 = ~$411B annual GDP impact at steady state</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Step 3: Apply ramp factor (0.705 avg over 10 years; see A-24 derivation below)</w:t>
      </w:r>
      <w:r>
        <w:rPr>
          <w:rFonts w:asciiTheme="majorBidi" w:hAnsiTheme="majorBidi" w:cstheme="majorBidi"/>
          <w:color w:val="000000" w:themeColor="text1"/>
          <w:sz w:val="24"/>
          <w:szCs w:val="24"/>
        </w:rPr>
        <w:br/>
        <w:t xml:space="preserve">Effects build over time; not all stimulus is immediate.    </w:t>
      </w:r>
    </w:p>
    <w:p w14:paraId="6DADB966" w14:textId="77777777" w:rsidR="001E698E"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RAMP FACTOR DERIVATION (A-24): </w:t>
      </w:r>
    </w:p>
    <w:p w14:paraId="3CAE6947" w14:textId="77777777" w:rsidR="001E698E"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Tax credit stimulus does not produce full GDP impact in Year 1. </w:t>
      </w:r>
    </w:p>
    <w:p w14:paraId="0A099FF0" w14:textId="77777777" w:rsidR="001E698E"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CBO’s fiscal multiplier framework documents that investment incentives affect the economy gradually as the capital stock builds out and supply-chain relationships form (CBO Working Paper 2015-02; CBO CBOSS Model 2022-09). </w:t>
      </w:r>
    </w:p>
    <w:p w14:paraId="2E49772E" w14:textId="77777777" w:rsidR="001E698E"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The TCJA experience confirms this: real GDP exceeded CBO’s pre-TCJA baseline by 1.0% by end-2018 and 2.5% by end-2019, indicating a multi-year ramp (CEA 2025, p. 5). </w:t>
      </w:r>
    </w:p>
    <w:p w14:paraId="536DF401" w14:textId="77777777" w:rsidR="001E698E"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lastRenderedPageBreak/>
        <w:t xml:space="preserve">This model applies a conservative linear ramp schedule:    Year 1: 20% | Year 2: 35% | Year 3: 50% | Year 4: 60% | Year 5: 70% | Year 6: 80% | Year 7: 90% | Years 8-10: 100%    </w:t>
      </w:r>
    </w:p>
    <w:p w14:paraId="3C36B177" w14:textId="77777777" w:rsidR="001E698E"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Average = (0.20 + 0.35 + 0.50 + 0.60 + 0.70 + 0.80 + 0.90 + 1.00 + 1.00 + 1.00) / 10 = 0.705    </w:t>
      </w:r>
    </w:p>
    <w:p w14:paraId="1942F9AD" w14:textId="77777777" w:rsidR="001E698E"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This is conservative relative to CBO’s ARRA analysis, which found GDP effects reaching 60-80% of peak within 2-3 years for investment tax incentives (CBO 2012). </w:t>
      </w:r>
    </w:p>
    <w:p w14:paraId="3971145A" w14:textId="77777777" w:rsidR="001E698E" w:rsidRPr="00AA6B13"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The 20% Year 1 assumption is deliberately cautious; it assumes manufacturers require a full year to restructure investment plans, secure permits, and begin claiming credits</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Step 4: 10-year cumulative</w:t>
      </w:r>
      <w:r>
        <w:rPr>
          <w:rFonts w:asciiTheme="majorBidi" w:hAnsiTheme="majorBidi" w:cstheme="majorBidi"/>
          <w:color w:val="000000" w:themeColor="text1"/>
          <w:sz w:val="24"/>
          <w:szCs w:val="24"/>
        </w:rPr>
        <w:br/>
        <w:t xml:space="preserve"> Low: $2.3T | High: $4.4T</w:t>
      </w:r>
    </w:p>
    <w:p w14:paraId="42268481" w14:textId="77777777" w:rsidR="001E698E" w:rsidRDefault="001E698E" w:rsidP="001E698E">
      <w:pPr>
        <w:spacing w:after="160"/>
        <w:ind w:left="432"/>
        <w:rPr>
          <w:rFonts w:asciiTheme="majorBidi" w:hAnsiTheme="majorBidi" w:cstheme="majorBidi"/>
          <w:i/>
          <w:color w:val="000000" w:themeColor="text1"/>
          <w:sz w:val="24"/>
          <w:szCs w:val="24"/>
        </w:rPr>
      </w:pPr>
    </w:p>
    <w:p w14:paraId="5AB63176"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 xml:space="preserve">SOURCES: </w:t>
      </w:r>
    </w:p>
    <w:p w14:paraId="1A946B96"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 xml:space="preserve">NAM/IMPLAN (https://nam.org/facts-about-manufacturing/); Mertens &amp; Ravn (2013) </w:t>
      </w:r>
    </w:p>
    <w:p w14:paraId="4AF02CAA"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American Economic Review 103(4):1212-</w:t>
      </w:r>
      <w:proofErr w:type="gramStart"/>
      <w:r>
        <w:rPr>
          <w:rFonts w:asciiTheme="majorBidi" w:hAnsiTheme="majorBidi" w:cstheme="majorBidi"/>
          <w:i/>
          <w:color w:val="000000" w:themeColor="text1"/>
          <w:sz w:val="24"/>
          <w:szCs w:val="24"/>
        </w:rPr>
        <w:t>1247;</w:t>
      </w:r>
      <w:proofErr w:type="gramEnd"/>
      <w:r>
        <w:rPr>
          <w:rFonts w:asciiTheme="majorBidi" w:hAnsiTheme="majorBidi" w:cstheme="majorBidi"/>
          <w:i/>
          <w:color w:val="000000" w:themeColor="text1"/>
          <w:sz w:val="24"/>
          <w:szCs w:val="24"/>
        </w:rPr>
        <w:t xml:space="preserve"> </w:t>
      </w:r>
    </w:p>
    <w:p w14:paraId="7AEE410F"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Chodorow-Reich (2020) NBER; CBO Working Paper 2015-02: The Fiscal Multiplier and Economic Policy Analysis (</w:t>
      </w:r>
      <w:hyperlink r:id="rId12" w:history="1">
        <w:r>
          <w:rPr>
            <w:rStyle w:val="Hyperlink"/>
            <w:rFonts w:asciiTheme="majorBidi" w:hAnsiTheme="majorBidi" w:cstheme="majorBidi"/>
            <w:i/>
            <w:sz w:val="24"/>
            <w:szCs w:val="24"/>
          </w:rPr>
          <w:t>https://www.cbo.gov/publication/49925</w:t>
        </w:r>
      </w:hyperlink>
      <w:r>
        <w:rPr>
          <w:rFonts w:asciiTheme="majorBidi" w:hAnsiTheme="majorBidi" w:cstheme="majorBidi"/>
          <w:i/>
          <w:color w:val="000000" w:themeColor="text1"/>
          <w:sz w:val="24"/>
          <w:szCs w:val="24"/>
        </w:rPr>
        <w:t xml:space="preserve"> </w:t>
      </w:r>
      <w:proofErr w:type="gramStart"/>
      <w:r>
        <w:rPr>
          <w:rFonts w:asciiTheme="majorBidi" w:hAnsiTheme="majorBidi" w:cstheme="majorBidi"/>
          <w:i/>
          <w:color w:val="000000" w:themeColor="text1"/>
          <w:sz w:val="24"/>
          <w:szCs w:val="24"/>
        </w:rPr>
        <w:t>);</w:t>
      </w:r>
      <w:proofErr w:type="gramEnd"/>
    </w:p>
    <w:p w14:paraId="2142CB58"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CBO Working Paper 2022-09: CBOSS Model (</w:t>
      </w:r>
      <w:hyperlink r:id="rId13" w:history="1">
        <w:r>
          <w:rPr>
            <w:rStyle w:val="Hyperlink"/>
            <w:rFonts w:asciiTheme="majorBidi" w:hAnsiTheme="majorBidi" w:cstheme="majorBidi"/>
            <w:i/>
            <w:sz w:val="24"/>
            <w:szCs w:val="24"/>
          </w:rPr>
          <w:t>https://www.cbo.gov/system/files/2022-09/57254-CBOSS.pdf</w:t>
        </w:r>
      </w:hyperlink>
      <w:r>
        <w:rPr>
          <w:rFonts w:asciiTheme="majorBidi" w:hAnsiTheme="majorBidi" w:cstheme="majorBidi"/>
          <w:i/>
          <w:color w:val="000000" w:themeColor="text1"/>
          <w:sz w:val="24"/>
          <w:szCs w:val="24"/>
        </w:rPr>
        <w:t xml:space="preserve"> </w:t>
      </w:r>
      <w:proofErr w:type="gramStart"/>
      <w:r>
        <w:rPr>
          <w:rFonts w:asciiTheme="majorBidi" w:hAnsiTheme="majorBidi" w:cstheme="majorBidi"/>
          <w:i/>
          <w:color w:val="000000" w:themeColor="text1"/>
          <w:sz w:val="24"/>
          <w:szCs w:val="24"/>
        </w:rPr>
        <w:t>);</w:t>
      </w:r>
      <w:proofErr w:type="gramEnd"/>
      <w:r>
        <w:rPr>
          <w:rFonts w:asciiTheme="majorBidi" w:hAnsiTheme="majorBidi" w:cstheme="majorBidi"/>
          <w:i/>
          <w:color w:val="000000" w:themeColor="text1"/>
          <w:sz w:val="24"/>
          <w:szCs w:val="24"/>
        </w:rPr>
        <w:t xml:space="preserve"> </w:t>
      </w:r>
    </w:p>
    <w:p w14:paraId="1A7FC237" w14:textId="77777777" w:rsidR="001E698E" w:rsidRPr="00AA6B13" w:rsidRDefault="001E698E" w:rsidP="001E698E">
      <w:pPr>
        <w:spacing w:after="160"/>
        <w:ind w:left="432"/>
        <w:rPr>
          <w:rFonts w:asciiTheme="majorBidi" w:hAnsiTheme="majorBidi" w:cstheme="majorBidi"/>
          <w:color w:val="000000" w:themeColor="text1"/>
          <w:sz w:val="24"/>
          <w:szCs w:val="24"/>
        </w:rPr>
      </w:pPr>
      <w:r>
        <w:rPr>
          <w:rFonts w:asciiTheme="majorBidi" w:hAnsiTheme="majorBidi" w:cstheme="majorBidi"/>
          <w:i/>
          <w:color w:val="000000" w:themeColor="text1"/>
          <w:sz w:val="24"/>
          <w:szCs w:val="24"/>
        </w:rPr>
        <w:t>CEA, The Economic Impact of Extending Expiring Provisions of the TCJA (April 2025)</w:t>
      </w:r>
    </w:p>
    <w:p w14:paraId="324A8A41" w14:textId="77777777" w:rsidR="001E698E" w:rsidRPr="00AA6B13" w:rsidRDefault="001E698E" w:rsidP="001E698E">
      <w:pPr>
        <w:pStyle w:val="Heading2"/>
        <w:rPr>
          <w:rFonts w:asciiTheme="majorBidi" w:hAnsiTheme="majorBidi"/>
          <w:color w:val="000000" w:themeColor="text1"/>
          <w:sz w:val="24"/>
          <w:szCs w:val="24"/>
        </w:rPr>
      </w:pPr>
      <w:r>
        <w:rPr>
          <w:rFonts w:asciiTheme="majorBidi" w:hAnsiTheme="majorBidi"/>
          <w:color w:val="000000" w:themeColor="text1"/>
          <w:sz w:val="24"/>
          <w:szCs w:val="24"/>
        </w:rPr>
        <w:t xml:space="preserve">B. Jobs Impact (3.4–6.5 </w:t>
      </w:r>
      <w:proofErr w:type="gramStart"/>
      <w:r>
        <w:rPr>
          <w:rFonts w:asciiTheme="majorBidi" w:hAnsiTheme="majorBidi"/>
          <w:color w:val="000000" w:themeColor="text1"/>
          <w:sz w:val="24"/>
          <w:szCs w:val="24"/>
        </w:rPr>
        <w:t>Million</w:t>
      </w:r>
      <w:proofErr w:type="gramEnd"/>
      <w:r>
        <w:rPr>
          <w:rFonts w:asciiTheme="majorBidi" w:hAnsiTheme="majorBidi"/>
          <w:color w:val="000000" w:themeColor="text1"/>
          <w:sz w:val="24"/>
          <w:szCs w:val="24"/>
        </w:rPr>
        <w:t>)</w:t>
      </w:r>
    </w:p>
    <w:tbl>
      <w:tblPr>
        <w:tblW w:w="0" w:type="auto"/>
        <w:jc w:val="center"/>
        <w:tblLook w:val="04A0" w:firstRow="1" w:lastRow="0" w:firstColumn="1" w:lastColumn="0" w:noHBand="0" w:noVBand="1"/>
      </w:tblPr>
      <w:tblGrid>
        <w:gridCol w:w="2880"/>
        <w:gridCol w:w="2880"/>
        <w:gridCol w:w="2880"/>
      </w:tblGrid>
      <w:tr w:rsidR="001E698E" w:rsidRPr="00AA6B13" w14:paraId="65ABE0DF" w14:textId="77777777" w:rsidTr="00F4214C">
        <w:trPr>
          <w:jc w:val="center"/>
        </w:trPr>
        <w:tc>
          <w:tcPr>
            <w:tcW w:w="2880" w:type="dxa"/>
            <w:shd w:val="clear" w:color="auto" w:fill="D5E8F0"/>
          </w:tcPr>
          <w:p w14:paraId="70A6A405"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Metric</w:t>
            </w:r>
          </w:p>
        </w:tc>
        <w:tc>
          <w:tcPr>
            <w:tcW w:w="2880" w:type="dxa"/>
            <w:shd w:val="clear" w:color="auto" w:fill="D5E8F0"/>
          </w:tcPr>
          <w:p w14:paraId="43EF4DC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Estimate</w:t>
            </w:r>
          </w:p>
        </w:tc>
        <w:tc>
          <w:tcPr>
            <w:tcW w:w="2880" w:type="dxa"/>
            <w:shd w:val="clear" w:color="auto" w:fill="D5E8F0"/>
          </w:tcPr>
          <w:p w14:paraId="4E888039"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Source</w:t>
            </w:r>
          </w:p>
        </w:tc>
      </w:tr>
      <w:tr w:rsidR="001E698E" w:rsidRPr="00AA6B13" w14:paraId="7D54FFE9" w14:textId="77777777" w:rsidTr="00F4214C">
        <w:trPr>
          <w:jc w:val="center"/>
        </w:trPr>
        <w:tc>
          <w:tcPr>
            <w:tcW w:w="2880" w:type="dxa"/>
          </w:tcPr>
          <w:p w14:paraId="0DDEC6DF"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Current US </w:t>
            </w:r>
            <w:proofErr w:type="spellStart"/>
            <w:r>
              <w:rPr>
                <w:rFonts w:asciiTheme="majorBidi" w:hAnsiTheme="majorBidi" w:cstheme="majorBidi"/>
                <w:color w:val="000000" w:themeColor="text1"/>
                <w:sz w:val="24"/>
                <w:szCs w:val="24"/>
              </w:rPr>
              <w:t>Mfg</w:t>
            </w:r>
            <w:proofErr w:type="spellEnd"/>
            <w:r>
              <w:rPr>
                <w:rFonts w:asciiTheme="majorBidi" w:hAnsiTheme="majorBidi" w:cstheme="majorBidi"/>
                <w:color w:val="000000" w:themeColor="text1"/>
                <w:sz w:val="24"/>
                <w:szCs w:val="24"/>
              </w:rPr>
              <w:t xml:space="preserve"> Employment</w:t>
            </w:r>
          </w:p>
        </w:tc>
        <w:tc>
          <w:tcPr>
            <w:tcW w:w="2880" w:type="dxa"/>
          </w:tcPr>
          <w:p w14:paraId="36801627"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12.9 million (2024)</w:t>
            </w:r>
          </w:p>
        </w:tc>
        <w:tc>
          <w:tcPr>
            <w:tcW w:w="2880" w:type="dxa"/>
          </w:tcPr>
          <w:p w14:paraId="6ADEB866"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BLS CES</w:t>
            </w:r>
          </w:p>
        </w:tc>
      </w:tr>
      <w:tr w:rsidR="001E698E" w:rsidRPr="00AA6B13" w14:paraId="15260E46" w14:textId="77777777" w:rsidTr="00F4214C">
        <w:trPr>
          <w:jc w:val="center"/>
        </w:trPr>
        <w:tc>
          <w:tcPr>
            <w:tcW w:w="2880" w:type="dxa"/>
          </w:tcPr>
          <w:p w14:paraId="40EA8C33"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Manufacturing Jobs Multiplier</w:t>
            </w:r>
          </w:p>
        </w:tc>
        <w:tc>
          <w:tcPr>
            <w:tcW w:w="2880" w:type="dxa"/>
          </w:tcPr>
          <w:p w14:paraId="0111526E"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 job → 3 additional (4.0× total)</w:t>
            </w:r>
          </w:p>
        </w:tc>
        <w:tc>
          <w:tcPr>
            <w:tcW w:w="2880" w:type="dxa"/>
          </w:tcPr>
          <w:p w14:paraId="1093E788"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Adjusted NAM</w:t>
            </w:r>
          </w:p>
        </w:tc>
      </w:tr>
      <w:tr w:rsidR="001E698E" w:rsidRPr="00AA6B13" w14:paraId="7E70523D" w14:textId="77777777" w:rsidTr="00F4214C">
        <w:trPr>
          <w:jc w:val="center"/>
        </w:trPr>
        <w:tc>
          <w:tcPr>
            <w:tcW w:w="2880" w:type="dxa"/>
          </w:tcPr>
          <w:p w14:paraId="6FFE4571"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Direct Jobs Created</w:t>
            </w:r>
          </w:p>
        </w:tc>
        <w:tc>
          <w:tcPr>
            <w:tcW w:w="2880" w:type="dxa"/>
          </w:tcPr>
          <w:p w14:paraId="08BAF67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1.03–1.96M</w:t>
            </w:r>
          </w:p>
        </w:tc>
        <w:tc>
          <w:tcPr>
            <w:tcW w:w="2880" w:type="dxa"/>
          </w:tcPr>
          <w:p w14:paraId="078E7021"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GDP / output per worker</w:t>
            </w:r>
          </w:p>
        </w:tc>
      </w:tr>
      <w:tr w:rsidR="001E698E" w:rsidRPr="00AA6B13" w14:paraId="700F32DF" w14:textId="77777777" w:rsidTr="00F4214C">
        <w:trPr>
          <w:jc w:val="center"/>
        </w:trPr>
        <w:tc>
          <w:tcPr>
            <w:tcW w:w="2880" w:type="dxa"/>
          </w:tcPr>
          <w:p w14:paraId="360FED77"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Total Jobs (w/ multiplier)</w:t>
            </w:r>
          </w:p>
        </w:tc>
        <w:tc>
          <w:tcPr>
            <w:tcW w:w="2880" w:type="dxa"/>
          </w:tcPr>
          <w:p w14:paraId="1C15B916"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4.1–7.8M</w:t>
            </w:r>
          </w:p>
        </w:tc>
        <w:tc>
          <w:tcPr>
            <w:tcW w:w="2880" w:type="dxa"/>
          </w:tcPr>
          <w:p w14:paraId="086A461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Direct × 4.0 (see below)</w:t>
            </w:r>
          </w:p>
        </w:tc>
      </w:tr>
    </w:tbl>
    <w:p w14:paraId="121F8B67" w14:textId="77777777" w:rsidR="001E698E" w:rsidRPr="00AA6B13" w:rsidRDefault="001E698E" w:rsidP="001E698E">
      <w:pPr>
        <w:shd w:val="clear" w:color="auto" w:fill="F2F2F2"/>
        <w:spacing w:before="120"/>
        <w:ind w:left="432" w:right="432"/>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lastRenderedPageBreak/>
        <w:t xml:space="preserve">JOBS MULTIPLIER ADJUSTMENT: The traditional NAM multiplier of 6.0× (1 </w:t>
      </w:r>
      <w:proofErr w:type="spellStart"/>
      <w:r>
        <w:rPr>
          <w:rFonts w:asciiTheme="majorBidi" w:hAnsiTheme="majorBidi" w:cstheme="majorBidi"/>
          <w:b/>
          <w:color w:val="000000" w:themeColor="text1"/>
          <w:sz w:val="24"/>
          <w:szCs w:val="24"/>
        </w:rPr>
        <w:t>mfg</w:t>
      </w:r>
      <w:proofErr w:type="spellEnd"/>
      <w:r>
        <w:rPr>
          <w:rFonts w:asciiTheme="majorBidi" w:hAnsiTheme="majorBidi" w:cstheme="majorBidi"/>
          <w:b/>
          <w:color w:val="000000" w:themeColor="text1"/>
          <w:sz w:val="24"/>
          <w:szCs w:val="24"/>
        </w:rPr>
        <w:t xml:space="preserve"> job = 5 additional) has been REDUCED by 33% to 4.0× to account for: (1) Robotics &amp; automation reducing production headcount (−10%), (2) AI-driven efficiency in admin/logistics/QC (−10%), (3) Supply chain consolidation reducing intermediate job layers (−13%).</w:t>
      </w:r>
    </w:p>
    <w:p w14:paraId="5F33A198" w14:textId="77777777" w:rsidR="001E698E" w:rsidRPr="00AA6B13" w:rsidRDefault="001E698E" w:rsidP="001E698E">
      <w:pPr>
        <w:pStyle w:val="Heading2"/>
        <w:rPr>
          <w:rFonts w:asciiTheme="majorBidi" w:hAnsiTheme="majorBidi"/>
          <w:color w:val="000000" w:themeColor="text1"/>
          <w:sz w:val="24"/>
          <w:szCs w:val="24"/>
        </w:rPr>
      </w:pPr>
      <w:r>
        <w:rPr>
          <w:rFonts w:asciiTheme="majorBidi" w:hAnsiTheme="majorBidi"/>
          <w:color w:val="000000" w:themeColor="text1"/>
          <w:sz w:val="24"/>
          <w:szCs w:val="24"/>
        </w:rPr>
        <w:t>C. Trade Balance Impact ($100–250B/yr by Year 10)</w:t>
      </w:r>
    </w:p>
    <w:tbl>
      <w:tblPr>
        <w:tblW w:w="0" w:type="auto"/>
        <w:jc w:val="center"/>
        <w:tblLook w:val="04A0" w:firstRow="1" w:lastRow="0" w:firstColumn="1" w:lastColumn="0" w:noHBand="0" w:noVBand="1"/>
      </w:tblPr>
      <w:tblGrid>
        <w:gridCol w:w="2880"/>
        <w:gridCol w:w="2880"/>
        <w:gridCol w:w="2880"/>
      </w:tblGrid>
      <w:tr w:rsidR="001E698E" w:rsidRPr="00AA6B13" w14:paraId="2C3B402E" w14:textId="77777777" w:rsidTr="00F4214C">
        <w:trPr>
          <w:jc w:val="center"/>
        </w:trPr>
        <w:tc>
          <w:tcPr>
            <w:tcW w:w="2880" w:type="dxa"/>
            <w:shd w:val="clear" w:color="auto" w:fill="D5E8F0"/>
          </w:tcPr>
          <w:p w14:paraId="5ACB2061"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Metric</w:t>
            </w:r>
          </w:p>
        </w:tc>
        <w:tc>
          <w:tcPr>
            <w:tcW w:w="2880" w:type="dxa"/>
            <w:shd w:val="clear" w:color="auto" w:fill="D5E8F0"/>
          </w:tcPr>
          <w:p w14:paraId="3DA6131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Estimate</w:t>
            </w:r>
          </w:p>
        </w:tc>
        <w:tc>
          <w:tcPr>
            <w:tcW w:w="2880" w:type="dxa"/>
            <w:shd w:val="clear" w:color="auto" w:fill="D5E8F0"/>
          </w:tcPr>
          <w:p w14:paraId="27380C43"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Source</w:t>
            </w:r>
          </w:p>
        </w:tc>
      </w:tr>
      <w:tr w:rsidR="001E698E" w:rsidRPr="00AA6B13" w14:paraId="00491621" w14:textId="77777777" w:rsidTr="00F4214C">
        <w:trPr>
          <w:jc w:val="center"/>
        </w:trPr>
        <w:tc>
          <w:tcPr>
            <w:tcW w:w="2880" w:type="dxa"/>
          </w:tcPr>
          <w:p w14:paraId="7819F661"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Current US Trade Deficit (goods)</w:t>
            </w:r>
          </w:p>
        </w:tc>
        <w:tc>
          <w:tcPr>
            <w:tcW w:w="2880" w:type="dxa"/>
          </w:tcPr>
          <w:p w14:paraId="170DE6FE"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~$1.2 trillion (2024)</w:t>
            </w:r>
          </w:p>
        </w:tc>
        <w:tc>
          <w:tcPr>
            <w:tcW w:w="2880" w:type="dxa"/>
          </w:tcPr>
          <w:p w14:paraId="0B636C9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Census Foreign Trade</w:t>
            </w:r>
          </w:p>
        </w:tc>
      </w:tr>
      <w:tr w:rsidR="001E698E" w:rsidRPr="00AA6B13" w14:paraId="6A00637B" w14:textId="77777777" w:rsidTr="00F4214C">
        <w:trPr>
          <w:jc w:val="center"/>
        </w:trPr>
        <w:tc>
          <w:tcPr>
            <w:tcW w:w="2880" w:type="dxa"/>
          </w:tcPr>
          <w:p w14:paraId="0EE2917C"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Reshoring Potential (TCO-based)</w:t>
            </w:r>
          </w:p>
        </w:tc>
        <w:tc>
          <w:tcPr>
            <w:tcW w:w="2880" w:type="dxa"/>
          </w:tcPr>
          <w:p w14:paraId="24F3FCF2"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$200 billion+</w:t>
            </w:r>
          </w:p>
        </w:tc>
        <w:tc>
          <w:tcPr>
            <w:tcW w:w="2880" w:type="dxa"/>
          </w:tcPr>
          <w:p w14:paraId="3F3B88E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Reshoring Initiative</w:t>
            </w:r>
          </w:p>
        </w:tc>
      </w:tr>
      <w:tr w:rsidR="001E698E" w:rsidRPr="00AA6B13" w14:paraId="2B0804C7" w14:textId="77777777" w:rsidTr="00F4214C">
        <w:trPr>
          <w:jc w:val="center"/>
        </w:trPr>
        <w:tc>
          <w:tcPr>
            <w:tcW w:w="2880" w:type="dxa"/>
          </w:tcPr>
          <w:p w14:paraId="2BF543CC"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Import Substitution (10yr)</w:t>
            </w:r>
          </w:p>
        </w:tc>
        <w:tc>
          <w:tcPr>
            <w:tcW w:w="2880" w:type="dxa"/>
          </w:tcPr>
          <w:p w14:paraId="7B36A1FA"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$50–100B/yr</w:t>
            </w:r>
          </w:p>
        </w:tc>
        <w:tc>
          <w:tcPr>
            <w:tcW w:w="2880" w:type="dxa"/>
          </w:tcPr>
          <w:p w14:paraId="79F0EED9"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Calculated</w:t>
            </w:r>
          </w:p>
        </w:tc>
      </w:tr>
      <w:tr w:rsidR="001E698E" w:rsidRPr="00AA6B13" w14:paraId="16728E4C" w14:textId="77777777" w:rsidTr="00F4214C">
        <w:trPr>
          <w:jc w:val="center"/>
        </w:trPr>
        <w:tc>
          <w:tcPr>
            <w:tcW w:w="2880" w:type="dxa"/>
          </w:tcPr>
          <w:p w14:paraId="6DAC093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Export Growth (10yr)</w:t>
            </w:r>
          </w:p>
        </w:tc>
        <w:tc>
          <w:tcPr>
            <w:tcW w:w="2880" w:type="dxa"/>
          </w:tcPr>
          <w:p w14:paraId="7BE9F198"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$50–150B/yr</w:t>
            </w:r>
          </w:p>
        </w:tc>
        <w:tc>
          <w:tcPr>
            <w:tcW w:w="2880" w:type="dxa"/>
          </w:tcPr>
          <w:p w14:paraId="58E64F06"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Calculated</w:t>
            </w:r>
          </w:p>
        </w:tc>
      </w:tr>
      <w:tr w:rsidR="001E698E" w:rsidRPr="00AA6B13" w14:paraId="47DD7318" w14:textId="77777777" w:rsidTr="00F4214C">
        <w:trPr>
          <w:jc w:val="center"/>
        </w:trPr>
        <w:tc>
          <w:tcPr>
            <w:tcW w:w="2880" w:type="dxa"/>
          </w:tcPr>
          <w:p w14:paraId="43C9A96A"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Total Trade Improvement</w:t>
            </w:r>
          </w:p>
        </w:tc>
        <w:tc>
          <w:tcPr>
            <w:tcW w:w="2880" w:type="dxa"/>
          </w:tcPr>
          <w:p w14:paraId="2A751D01"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$100–250B/yr by Year 10</w:t>
            </w:r>
          </w:p>
        </w:tc>
        <w:tc>
          <w:tcPr>
            <w:tcW w:w="2880" w:type="dxa"/>
          </w:tcPr>
          <w:p w14:paraId="69E66C81"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Sum of components</w:t>
            </w:r>
          </w:p>
        </w:tc>
      </w:tr>
    </w:tbl>
    <w:p w14:paraId="15953E95" w14:textId="77777777" w:rsidR="001E698E" w:rsidRPr="00AA6B13" w:rsidRDefault="001E698E" w:rsidP="001E698E">
      <w:pPr>
        <w:pStyle w:val="Heading1"/>
        <w:rPr>
          <w:rFonts w:asciiTheme="majorBidi" w:hAnsiTheme="majorBidi"/>
          <w:color w:val="000000" w:themeColor="text1"/>
          <w:sz w:val="24"/>
          <w:szCs w:val="24"/>
        </w:rPr>
      </w:pPr>
      <w:r>
        <w:rPr>
          <w:rFonts w:asciiTheme="majorBidi" w:hAnsiTheme="majorBidi"/>
          <w:color w:val="000000" w:themeColor="text1"/>
          <w:sz w:val="24"/>
          <w:szCs w:val="24"/>
        </w:rPr>
        <w:t>VIII. Mannie Mac Risk Analysis — Default Rate Stress Testing</w:t>
      </w:r>
    </w:p>
    <w:p w14:paraId="198E8BF5"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This section analyzes the fiscal exposure of the Mannie Mac program under various default rate scenarios, using the 4–5% loss rate assumption from the Manufacturing Finance Corporation Act.</w:t>
      </w:r>
    </w:p>
    <w:tbl>
      <w:tblPr>
        <w:tblW w:w="0" w:type="auto"/>
        <w:jc w:val="center"/>
        <w:tblLook w:val="04A0" w:firstRow="1" w:lastRow="0" w:firstColumn="1" w:lastColumn="0" w:noHBand="0" w:noVBand="1"/>
      </w:tblPr>
      <w:tblGrid>
        <w:gridCol w:w="2160"/>
        <w:gridCol w:w="2160"/>
        <w:gridCol w:w="2160"/>
        <w:gridCol w:w="2160"/>
      </w:tblGrid>
      <w:tr w:rsidR="001E698E" w:rsidRPr="00AA6B13" w14:paraId="17E32190" w14:textId="77777777" w:rsidTr="00F4214C">
        <w:trPr>
          <w:jc w:val="center"/>
        </w:trPr>
        <w:tc>
          <w:tcPr>
            <w:tcW w:w="2160" w:type="dxa"/>
            <w:shd w:val="clear" w:color="auto" w:fill="D5E8F0"/>
          </w:tcPr>
          <w:p w14:paraId="0C9C07D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Period/Program</w:t>
            </w:r>
          </w:p>
        </w:tc>
        <w:tc>
          <w:tcPr>
            <w:tcW w:w="2160" w:type="dxa"/>
            <w:shd w:val="clear" w:color="auto" w:fill="D5E8F0"/>
          </w:tcPr>
          <w:p w14:paraId="58E510FA"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Default Rate</w:t>
            </w:r>
          </w:p>
        </w:tc>
        <w:tc>
          <w:tcPr>
            <w:tcW w:w="2160" w:type="dxa"/>
            <w:shd w:val="clear" w:color="auto" w:fill="D5E8F0"/>
          </w:tcPr>
          <w:p w14:paraId="66C9332A"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Loss Rate (after recovery)</w:t>
            </w:r>
          </w:p>
        </w:tc>
        <w:tc>
          <w:tcPr>
            <w:tcW w:w="2160" w:type="dxa"/>
            <w:shd w:val="clear" w:color="auto" w:fill="D5E8F0"/>
          </w:tcPr>
          <w:p w14:paraId="4FBCC51F"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Source</w:t>
            </w:r>
          </w:p>
        </w:tc>
      </w:tr>
      <w:tr w:rsidR="001E698E" w:rsidRPr="00AA6B13" w14:paraId="2B23DA47" w14:textId="77777777" w:rsidTr="00F4214C">
        <w:trPr>
          <w:jc w:val="center"/>
        </w:trPr>
        <w:tc>
          <w:tcPr>
            <w:tcW w:w="2160" w:type="dxa"/>
          </w:tcPr>
          <w:p w14:paraId="7F8B48F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SBA 7(a) Normal (2015-2019)</w:t>
            </w:r>
          </w:p>
        </w:tc>
        <w:tc>
          <w:tcPr>
            <w:tcW w:w="2160" w:type="dxa"/>
          </w:tcPr>
          <w:p w14:paraId="1D7BC3D1"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2.5%</w:t>
            </w:r>
          </w:p>
        </w:tc>
        <w:tc>
          <w:tcPr>
            <w:tcW w:w="2160" w:type="dxa"/>
          </w:tcPr>
          <w:p w14:paraId="3013DB5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1.4%</w:t>
            </w:r>
          </w:p>
        </w:tc>
        <w:tc>
          <w:tcPr>
            <w:tcW w:w="2160" w:type="dxa"/>
          </w:tcPr>
          <w:p w14:paraId="04D2EEE8"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SBA Reports</w:t>
            </w:r>
          </w:p>
        </w:tc>
      </w:tr>
      <w:tr w:rsidR="001E698E" w:rsidRPr="00AA6B13" w14:paraId="04399603" w14:textId="77777777" w:rsidTr="00F4214C">
        <w:trPr>
          <w:jc w:val="center"/>
        </w:trPr>
        <w:tc>
          <w:tcPr>
            <w:tcW w:w="2160" w:type="dxa"/>
          </w:tcPr>
          <w:p w14:paraId="19799EC7"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Manufacturing Loans Normal</w:t>
            </w:r>
          </w:p>
        </w:tc>
        <w:tc>
          <w:tcPr>
            <w:tcW w:w="2160" w:type="dxa"/>
          </w:tcPr>
          <w:p w14:paraId="69CCE89F"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6.2-7.7%</w:t>
            </w:r>
          </w:p>
        </w:tc>
        <w:tc>
          <w:tcPr>
            <w:tcW w:w="2160" w:type="dxa"/>
          </w:tcPr>
          <w:p w14:paraId="7504FBA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4-5%</w:t>
            </w:r>
          </w:p>
        </w:tc>
        <w:tc>
          <w:tcPr>
            <w:tcW w:w="2160" w:type="dxa"/>
          </w:tcPr>
          <w:p w14:paraId="5B37BC2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MFC Act</w:t>
            </w:r>
          </w:p>
        </w:tc>
      </w:tr>
      <w:tr w:rsidR="001E698E" w:rsidRPr="00AA6B13" w14:paraId="7A7ED2B7" w14:textId="77777777" w:rsidTr="00F4214C">
        <w:trPr>
          <w:jc w:val="center"/>
        </w:trPr>
        <w:tc>
          <w:tcPr>
            <w:tcW w:w="2160" w:type="dxa"/>
          </w:tcPr>
          <w:p w14:paraId="303C97E7"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SBA 7(a) Crisis (2008-2010)</w:t>
            </w:r>
          </w:p>
        </w:tc>
        <w:tc>
          <w:tcPr>
            <w:tcW w:w="2160" w:type="dxa"/>
          </w:tcPr>
          <w:p w14:paraId="1F9C5635"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6.5%</w:t>
            </w:r>
          </w:p>
        </w:tc>
        <w:tc>
          <w:tcPr>
            <w:tcW w:w="2160" w:type="dxa"/>
          </w:tcPr>
          <w:p w14:paraId="4BA3E833"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4.2%</w:t>
            </w:r>
          </w:p>
        </w:tc>
        <w:tc>
          <w:tcPr>
            <w:tcW w:w="2160" w:type="dxa"/>
          </w:tcPr>
          <w:p w14:paraId="6A0FC82A"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SBA Reports</w:t>
            </w:r>
          </w:p>
        </w:tc>
      </w:tr>
      <w:tr w:rsidR="001E698E" w:rsidRPr="00AA6B13" w14:paraId="4AE7652C" w14:textId="77777777" w:rsidTr="00F4214C">
        <w:trPr>
          <w:jc w:val="center"/>
        </w:trPr>
        <w:tc>
          <w:tcPr>
            <w:tcW w:w="2160" w:type="dxa"/>
          </w:tcPr>
          <w:p w14:paraId="6E66A00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Manufacturing Loans Stress</w:t>
            </w:r>
          </w:p>
        </w:tc>
        <w:tc>
          <w:tcPr>
            <w:tcW w:w="2160" w:type="dxa"/>
          </w:tcPr>
          <w:p w14:paraId="72171060"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12-15%</w:t>
            </w:r>
          </w:p>
        </w:tc>
        <w:tc>
          <w:tcPr>
            <w:tcW w:w="2160" w:type="dxa"/>
          </w:tcPr>
          <w:p w14:paraId="79DC243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7.8-9.8%</w:t>
            </w:r>
          </w:p>
        </w:tc>
        <w:tc>
          <w:tcPr>
            <w:tcW w:w="2160" w:type="dxa"/>
          </w:tcPr>
          <w:p w14:paraId="0D67319F"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FDIC/Author est.</w:t>
            </w:r>
          </w:p>
        </w:tc>
      </w:tr>
    </w:tbl>
    <w:p w14:paraId="2A211C9B" w14:textId="77777777" w:rsidR="001E698E" w:rsidRPr="00AA6B13"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STRESS TEST SCENARIOS (using $200B guaranteed volume, 79.3% guarantee):</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Federal Loss = Volume × Default Rate × (1 − Recovery) × Guarantee%</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Base Case (MFC): 6.5% default, 35% recovery → $8.4B federal loss (1.2× covered)</w:t>
      </w:r>
      <w:r>
        <w:rPr>
          <w:rFonts w:asciiTheme="majorBidi" w:hAnsiTheme="majorBidi" w:cstheme="majorBidi"/>
          <w:color w:val="000000" w:themeColor="text1"/>
          <w:sz w:val="24"/>
          <w:szCs w:val="24"/>
        </w:rPr>
        <w:br/>
        <w:t>MFC High End: 7.7% default, 35% recovery → $10.0B federal loss (1.0× covered)</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lastRenderedPageBreak/>
        <w:t>Moderate Stress: 10% default, 30% recovery → $11.1B (needs $1.1B additional)</w:t>
      </w:r>
      <w:r>
        <w:rPr>
          <w:rFonts w:asciiTheme="majorBidi" w:hAnsiTheme="majorBidi" w:cstheme="majorBidi"/>
          <w:color w:val="000000" w:themeColor="text1"/>
          <w:sz w:val="24"/>
          <w:szCs w:val="24"/>
        </w:rPr>
        <w:br/>
        <w:t>Severe Stress: 15% default, 25% recovery → $17.8B (needs $7.8B additional)</w:t>
      </w:r>
      <w:r>
        <w:rPr>
          <w:rFonts w:asciiTheme="majorBidi" w:hAnsiTheme="majorBidi" w:cstheme="majorBidi"/>
          <w:color w:val="000000" w:themeColor="text1"/>
          <w:sz w:val="24"/>
          <w:szCs w:val="24"/>
        </w:rPr>
        <w:br/>
        <w:t>Catastrophic: 20% default, 20% recovery → $25.4B (needs $15.4B additional)</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CONCLUSION: The $10B reserve covers expected losses through MFC high-end.</w:t>
      </w:r>
      <w:r>
        <w:rPr>
          <w:rFonts w:asciiTheme="majorBidi" w:hAnsiTheme="majorBidi" w:cstheme="majorBidi"/>
          <w:color w:val="000000" w:themeColor="text1"/>
          <w:sz w:val="24"/>
          <w:szCs w:val="24"/>
        </w:rPr>
        <w:br/>
        <w:t>Moderate stress requires modest additional appropriation.</w:t>
      </w:r>
      <w:r>
        <w:rPr>
          <w:rFonts w:asciiTheme="majorBidi" w:hAnsiTheme="majorBidi" w:cstheme="majorBidi"/>
          <w:color w:val="000000" w:themeColor="text1"/>
          <w:sz w:val="24"/>
          <w:szCs w:val="24"/>
        </w:rPr>
        <w:br/>
        <w:t>Severe/catastrophic scenarios would require congressional action.</w:t>
      </w:r>
    </w:p>
    <w:p w14:paraId="5353350F"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SOURCES: FDIC Quarterly Banking Profile (</w:t>
      </w:r>
      <w:hyperlink r:id="rId14" w:history="1">
        <w:r>
          <w:rPr>
            <w:rStyle w:val="Hyperlink"/>
            <w:rFonts w:asciiTheme="majorBidi" w:hAnsiTheme="majorBidi" w:cstheme="majorBidi"/>
            <w:i/>
            <w:sz w:val="24"/>
            <w:szCs w:val="24"/>
          </w:rPr>
          <w:t>https://www.fdic.gov/analysis/quarterly-banking-profile/</w:t>
        </w:r>
      </w:hyperlink>
      <w:r>
        <w:rPr>
          <w:rFonts w:asciiTheme="majorBidi" w:hAnsiTheme="majorBidi" w:cstheme="majorBidi"/>
          <w:i/>
          <w:color w:val="000000" w:themeColor="text1"/>
          <w:sz w:val="24"/>
          <w:szCs w:val="24"/>
        </w:rPr>
        <w:t xml:space="preserve"> </w:t>
      </w:r>
      <w:proofErr w:type="gramStart"/>
      <w:r>
        <w:rPr>
          <w:rFonts w:asciiTheme="majorBidi" w:hAnsiTheme="majorBidi" w:cstheme="majorBidi"/>
          <w:i/>
          <w:color w:val="000000" w:themeColor="text1"/>
          <w:sz w:val="24"/>
          <w:szCs w:val="24"/>
        </w:rPr>
        <w:t>);</w:t>
      </w:r>
      <w:proofErr w:type="gramEnd"/>
      <w:r>
        <w:rPr>
          <w:rFonts w:asciiTheme="majorBidi" w:hAnsiTheme="majorBidi" w:cstheme="majorBidi"/>
          <w:i/>
          <w:color w:val="000000" w:themeColor="text1"/>
          <w:sz w:val="24"/>
          <w:szCs w:val="24"/>
        </w:rPr>
        <w:t xml:space="preserve"> </w:t>
      </w:r>
    </w:p>
    <w:p w14:paraId="3A27569E" w14:textId="77777777" w:rsidR="001E698E" w:rsidRPr="00AA6B13" w:rsidRDefault="001E698E" w:rsidP="001E698E">
      <w:pPr>
        <w:spacing w:after="160"/>
        <w:ind w:left="432"/>
        <w:rPr>
          <w:rFonts w:asciiTheme="majorBidi" w:hAnsiTheme="majorBidi" w:cstheme="majorBidi"/>
          <w:color w:val="000000" w:themeColor="text1"/>
          <w:sz w:val="24"/>
          <w:szCs w:val="24"/>
        </w:rPr>
      </w:pPr>
      <w:r>
        <w:rPr>
          <w:rFonts w:asciiTheme="majorBidi" w:hAnsiTheme="majorBidi" w:cstheme="majorBidi"/>
          <w:i/>
          <w:color w:val="000000" w:themeColor="text1"/>
          <w:sz w:val="24"/>
          <w:szCs w:val="24"/>
        </w:rPr>
        <w:t>SBA 7(a) Performance Reports; Federal Reserve H.8 data (</w:t>
      </w:r>
      <w:hyperlink r:id="rId15" w:history="1">
        <w:r>
          <w:rPr>
            <w:rStyle w:val="Hyperlink"/>
            <w:rFonts w:asciiTheme="majorBidi" w:hAnsiTheme="majorBidi" w:cstheme="majorBidi"/>
            <w:i/>
            <w:sz w:val="24"/>
            <w:szCs w:val="24"/>
          </w:rPr>
          <w:t>https://www.federalreserve.gov/releases/chargeoff/</w:t>
        </w:r>
      </w:hyperlink>
      <w:r>
        <w:rPr>
          <w:rFonts w:asciiTheme="majorBidi" w:hAnsiTheme="majorBidi" w:cstheme="majorBidi"/>
          <w:i/>
          <w:color w:val="000000" w:themeColor="text1"/>
          <w:sz w:val="24"/>
          <w:szCs w:val="24"/>
        </w:rPr>
        <w:t xml:space="preserve"> )</w:t>
      </w:r>
    </w:p>
    <w:p w14:paraId="1232C0E5" w14:textId="77777777" w:rsidR="001E698E" w:rsidRPr="00AA6B13" w:rsidRDefault="001E698E" w:rsidP="001E698E">
      <w:pPr>
        <w:pStyle w:val="Heading1"/>
        <w:rPr>
          <w:rFonts w:asciiTheme="majorBidi" w:hAnsiTheme="majorBidi"/>
          <w:color w:val="000000" w:themeColor="text1"/>
          <w:sz w:val="24"/>
          <w:szCs w:val="24"/>
        </w:rPr>
      </w:pPr>
      <w:r>
        <w:rPr>
          <w:rFonts w:asciiTheme="majorBidi" w:hAnsiTheme="majorBidi"/>
          <w:color w:val="000000" w:themeColor="text1"/>
          <w:sz w:val="24"/>
          <w:szCs w:val="24"/>
        </w:rPr>
        <w:t>IX. Return on Investment and Derived Metrics</w:t>
      </w:r>
    </w:p>
    <w:p w14:paraId="401ECE55" w14:textId="77777777" w:rsidR="001E698E"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ROI = Cumulative GDP Impact / Package Cost</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Floor (worst case): $2.3T / $1.62T = 1.42×</w:t>
      </w:r>
      <w:r>
        <w:rPr>
          <w:rFonts w:asciiTheme="majorBidi" w:hAnsiTheme="majorBidi" w:cstheme="majorBidi"/>
          <w:color w:val="000000" w:themeColor="text1"/>
          <w:sz w:val="24"/>
          <w:szCs w:val="24"/>
        </w:rPr>
        <w:br/>
        <w:t>Ceiling (best case): $4.4T / $1.44T = 3.06×</w:t>
      </w:r>
      <w:r>
        <w:rPr>
          <w:rFonts w:asciiTheme="majorBidi" w:hAnsiTheme="majorBidi" w:cstheme="majorBidi"/>
          <w:color w:val="000000" w:themeColor="text1"/>
          <w:sz w:val="24"/>
          <w:szCs w:val="24"/>
        </w:rPr>
        <w:br/>
        <w:t>Blended: ~2.3×</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COST PER JOB:</w:t>
      </w:r>
      <w:r>
        <w:rPr>
          <w:rFonts w:asciiTheme="majorBidi" w:hAnsiTheme="majorBidi" w:cstheme="majorBidi"/>
          <w:color w:val="000000" w:themeColor="text1"/>
          <w:sz w:val="24"/>
          <w:szCs w:val="24"/>
        </w:rPr>
        <w:br/>
        <w:t>Low (high jobs, low cost): $1.44T / 7.8M = ~$179K per job</w:t>
      </w:r>
      <w:r>
        <w:rPr>
          <w:rFonts w:asciiTheme="majorBidi" w:hAnsiTheme="majorBidi" w:cstheme="majorBidi"/>
          <w:color w:val="000000" w:themeColor="text1"/>
          <w:sz w:val="24"/>
          <w:szCs w:val="24"/>
        </w:rPr>
        <w:br/>
        <w:t>High (low jobs, high cost): $1.62T / 4.1M = ~$381K per job</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CONTEXT: CHIPS Act ~$500K-1M per direct job; IRA ~$200-400K per job.</w:t>
      </w:r>
      <w:r>
        <w:rPr>
          <w:rFonts w:asciiTheme="majorBidi" w:hAnsiTheme="majorBidi" w:cstheme="majorBidi"/>
          <w:color w:val="000000" w:themeColor="text1"/>
          <w:sz w:val="24"/>
          <w:szCs w:val="24"/>
        </w:rPr>
        <w:br/>
        <w:t>This package: $179–381K per job.</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COST OF INACTION (A-23):</w:t>
      </w:r>
      <w:r>
        <w:rPr>
          <w:rFonts w:asciiTheme="majorBidi" w:hAnsiTheme="majorBidi" w:cstheme="majorBidi"/>
          <w:color w:val="000000" w:themeColor="text1"/>
          <w:sz w:val="24"/>
          <w:szCs w:val="24"/>
        </w:rPr>
        <w:br/>
        <w:t xml:space="preserve"> Jobs at risk (TCJA expiration): 2.9M</w:t>
      </w:r>
      <w:r>
        <w:rPr>
          <w:rFonts w:asciiTheme="majorBidi" w:hAnsiTheme="majorBidi" w:cstheme="majorBidi"/>
          <w:color w:val="000000" w:themeColor="text1"/>
          <w:sz w:val="24"/>
          <w:szCs w:val="24"/>
        </w:rPr>
        <w:br/>
        <w:t xml:space="preserve"> GDP at risk: $470B/yr</w:t>
      </w:r>
      <w:r>
        <w:rPr>
          <w:rFonts w:asciiTheme="majorBidi" w:hAnsiTheme="majorBidi" w:cstheme="majorBidi"/>
          <w:color w:val="000000" w:themeColor="text1"/>
          <w:sz w:val="24"/>
          <w:szCs w:val="24"/>
        </w:rPr>
        <w:br/>
        <w:t xml:space="preserve"> Net benefit of action: ~$6.0–8.1T combined vs. inaction baseline</w:t>
      </w:r>
      <w:r>
        <w:rPr>
          <w:rFonts w:asciiTheme="majorBidi" w:hAnsiTheme="majorBidi" w:cstheme="majorBidi"/>
          <w:color w:val="000000" w:themeColor="text1"/>
          <w:sz w:val="24"/>
          <w:szCs w:val="24"/>
        </w:rPr>
        <w:br/>
      </w:r>
      <w:r>
        <w:rPr>
          <w:rFonts w:asciiTheme="majorBidi" w:hAnsiTheme="majorBidi" w:cstheme="majorBidi"/>
          <w:color w:val="000000" w:themeColor="text1"/>
          <w:sz w:val="24"/>
          <w:szCs w:val="24"/>
        </w:rPr>
        <w:br/>
        <w:t xml:space="preserve"> DERIVATION (A-23): The $470B/yr figure comes from the NAM/EY Macroeconomic Analysis of TCJA Manufacturing Provisions (January 2025), which used the EY General Equilibrium Model to estimate the impact of allowing all nine TCJA manufacturing-related provisions to expire. </w:t>
      </w:r>
    </w:p>
    <w:p w14:paraId="78DE751B" w14:textId="77777777" w:rsidR="001E698E"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The study found that these expirations would reduce US GDP by $470 billion annually in each of the first ten years, put 2.9 million economy-wide jobs at risk (1.1 million in manufacturing directly), and reduce employee compensation by $540 billion. </w:t>
      </w:r>
    </w:p>
    <w:p w14:paraId="093F9209" w14:textId="77777777" w:rsidR="001E698E"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lastRenderedPageBreak/>
        <w:t xml:space="preserve">The $470B annual figure reflects the general-equilibrium effect of higher effective tax rates on R&amp;D, capital investment, and business interest—provisions that disproportionately affect manufacturers. </w:t>
      </w:r>
    </w:p>
    <w:p w14:paraId="66D21518" w14:textId="77777777" w:rsidR="001E698E"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The White House CEA (April 2025) independently estimated TCJA expiration would reduce GDP by 2.6–3.2% in the long run, broadly consistent with the EY annual estimate as a share of GDP (~1.6%). </w:t>
      </w:r>
    </w:p>
    <w:p w14:paraId="248031E8" w14:textId="77777777" w:rsidR="001E698E" w:rsidRPr="00AA6B13" w:rsidRDefault="001E698E" w:rsidP="001E698E">
      <w:pPr>
        <w:shd w:val="clear" w:color="auto" w:fill="F2F2F2"/>
        <w:spacing w:before="80" w:after="80"/>
        <w:ind w:left="432"/>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This model uses the $470B/yr EY estimate as the annual cost of policy inaction, applied over 10 years ($4.7T cumulative) to frame the net benefit of the Manufacturing Renaissance Package.</w:t>
      </w:r>
    </w:p>
    <w:p w14:paraId="6507523E"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 xml:space="preserve">SOURCES: CHIPS Act cost-per-job: CRS </w:t>
      </w:r>
      <w:proofErr w:type="gramStart"/>
      <w:r>
        <w:rPr>
          <w:rFonts w:asciiTheme="majorBidi" w:hAnsiTheme="majorBidi" w:cstheme="majorBidi"/>
          <w:i/>
          <w:color w:val="000000" w:themeColor="text1"/>
          <w:sz w:val="24"/>
          <w:szCs w:val="24"/>
        </w:rPr>
        <w:t>R47523;</w:t>
      </w:r>
      <w:proofErr w:type="gramEnd"/>
    </w:p>
    <w:p w14:paraId="64EB00DE"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 xml:space="preserve"> IRA estimates: Treasury Dept; Economic Impacts of the Expiration of Tax Policies That Encourage Manufacturing (Jan 2025) (</w:t>
      </w:r>
      <w:hyperlink r:id="rId16" w:history="1">
        <w:r>
          <w:rPr>
            <w:rStyle w:val="Hyperlink"/>
            <w:rFonts w:asciiTheme="majorBidi" w:hAnsiTheme="majorBidi" w:cstheme="majorBidi"/>
            <w:i/>
            <w:sz w:val="24"/>
            <w:szCs w:val="24"/>
          </w:rPr>
          <w:t>https://nam.org/wp-content/uploads/securepdfs/2025/01/NAM_EY_TCJA_Mfg_Provisions_Analysis.pdf</w:t>
        </w:r>
      </w:hyperlink>
      <w:r>
        <w:rPr>
          <w:rFonts w:asciiTheme="majorBidi" w:hAnsiTheme="majorBidi" w:cstheme="majorBidi"/>
          <w:i/>
          <w:color w:val="000000" w:themeColor="text1"/>
          <w:sz w:val="24"/>
          <w:szCs w:val="24"/>
        </w:rPr>
        <w:t xml:space="preserve">; </w:t>
      </w:r>
    </w:p>
    <w:p w14:paraId="268D3784" w14:textId="77777777" w:rsidR="001E698E" w:rsidRDefault="001E698E" w:rsidP="001E698E">
      <w:pPr>
        <w:spacing w:after="160"/>
        <w:ind w:left="432"/>
        <w:rPr>
          <w:rFonts w:asciiTheme="majorBidi" w:hAnsiTheme="majorBidi" w:cstheme="majorBidi"/>
          <w:i/>
          <w:color w:val="000000" w:themeColor="text1"/>
          <w:sz w:val="24"/>
          <w:szCs w:val="24"/>
        </w:rPr>
      </w:pPr>
      <w:r>
        <w:rPr>
          <w:rFonts w:asciiTheme="majorBidi" w:hAnsiTheme="majorBidi" w:cstheme="majorBidi"/>
          <w:i/>
          <w:color w:val="000000" w:themeColor="text1"/>
          <w:sz w:val="24"/>
          <w:szCs w:val="24"/>
        </w:rPr>
        <w:t>CEA, The Economic Impact of Extending Expiring Provisions of the TCJA (April 2025) (</w:t>
      </w:r>
      <w:hyperlink r:id="rId17" w:history="1">
        <w:r>
          <w:rPr>
            <w:rStyle w:val="Hyperlink"/>
            <w:rFonts w:asciiTheme="majorBidi" w:hAnsiTheme="majorBidi" w:cstheme="majorBidi"/>
            <w:i/>
            <w:sz w:val="24"/>
            <w:szCs w:val="24"/>
          </w:rPr>
          <w:t>https://www.whitehouse.gov/wp-content/uploads/2025/03/Economic-Impact-of-Extending-TCJA-Provisions.pdf</w:t>
        </w:r>
      </w:hyperlink>
      <w:r>
        <w:rPr>
          <w:rFonts w:asciiTheme="majorBidi" w:hAnsiTheme="majorBidi" w:cstheme="majorBidi"/>
          <w:i/>
          <w:color w:val="000000" w:themeColor="text1"/>
          <w:sz w:val="24"/>
          <w:szCs w:val="24"/>
        </w:rPr>
        <w:t>);</w:t>
      </w:r>
    </w:p>
    <w:p w14:paraId="129787E4" w14:textId="77777777" w:rsidR="001E698E" w:rsidRPr="00AA6B13" w:rsidRDefault="001E698E" w:rsidP="001E698E">
      <w:pPr>
        <w:spacing w:after="160"/>
        <w:ind w:left="432"/>
        <w:rPr>
          <w:rFonts w:asciiTheme="majorBidi" w:hAnsiTheme="majorBidi" w:cstheme="majorBidi"/>
          <w:color w:val="000000" w:themeColor="text1"/>
          <w:sz w:val="24"/>
          <w:szCs w:val="24"/>
        </w:rPr>
      </w:pPr>
      <w:r>
        <w:rPr>
          <w:rFonts w:asciiTheme="majorBidi" w:hAnsiTheme="majorBidi" w:cstheme="majorBidi"/>
          <w:i/>
          <w:color w:val="000000" w:themeColor="text1"/>
          <w:sz w:val="24"/>
          <w:szCs w:val="24"/>
        </w:rPr>
        <w:t xml:space="preserve"> Tax Foundation TCJA Analysis (</w:t>
      </w:r>
      <w:hyperlink r:id="rId18" w:history="1">
        <w:r>
          <w:rPr>
            <w:rStyle w:val="Hyperlink"/>
            <w:rFonts w:asciiTheme="majorBidi" w:hAnsiTheme="majorBidi" w:cstheme="majorBidi"/>
            <w:i/>
            <w:sz w:val="24"/>
            <w:szCs w:val="24"/>
          </w:rPr>
          <w:t>https://taxfoundation.org/research/all/federal/tax-cuts-and-jobs-act-tcja-permanent-analysis/</w:t>
        </w:r>
      </w:hyperlink>
      <w:r>
        <w:rPr>
          <w:rFonts w:asciiTheme="majorBidi" w:hAnsiTheme="majorBidi" w:cstheme="majorBidi"/>
          <w:i/>
          <w:color w:val="000000" w:themeColor="text1"/>
          <w:sz w:val="24"/>
          <w:szCs w:val="24"/>
        </w:rPr>
        <w:t xml:space="preserve"> )</w:t>
      </w:r>
    </w:p>
    <w:p w14:paraId="5A44ED80" w14:textId="77777777" w:rsidR="001E698E" w:rsidRPr="00AA6B13" w:rsidRDefault="001E698E" w:rsidP="001E698E">
      <w:pPr>
        <w:pStyle w:val="Heading1"/>
        <w:rPr>
          <w:rFonts w:asciiTheme="majorBidi" w:hAnsiTheme="majorBidi"/>
          <w:color w:val="000000" w:themeColor="text1"/>
          <w:sz w:val="24"/>
          <w:szCs w:val="24"/>
        </w:rPr>
      </w:pPr>
      <w:r>
        <w:rPr>
          <w:rFonts w:asciiTheme="majorBidi" w:hAnsiTheme="majorBidi"/>
          <w:color w:val="000000" w:themeColor="text1"/>
          <w:sz w:val="24"/>
          <w:szCs w:val="24"/>
        </w:rPr>
        <w:t>X. Methodology Note: Relationship to CBO Scoring</w:t>
      </w:r>
    </w:p>
    <w:p w14:paraId="21581FC5"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This analysis employs estimation methods informed by Congressional Budget Office (CBO) practices but differs in important respects:</w:t>
      </w:r>
    </w:p>
    <w:p w14:paraId="4CC77AFE"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Similarities to CBO Methodology: 10-year budget window consistent with standard scoring conventions. Use of peer-reviewed academic research for multipliers and behavioral parameters. Presentation of ranges rather than point estimates to reflect uncertainty. Baseline-plus-behavioral-adjustment framework.</w:t>
      </w:r>
    </w:p>
    <w:p w14:paraId="1BC6457B"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Key Differences from CBO Scoring: Dynamic assumptions included — this analysis incorporates macroeconomic feedback effects (3–5% growth scenarios, GDP multipliers, incrementality factors on benefits). CBO primarily uses static scoring, providing dynamic estimates only when specifically requested. Simplified modeling — CBO employs proprietary econometric models calibrated over decades with access to confidential Treasury and agency data. This analysis uses simplified formulas with publicly available inputs. No external validation — CBO estimates undergo rigorous internal peer review and historical accuracy testing. These estimates have not been independently validated.</w:t>
      </w:r>
    </w:p>
    <w:p w14:paraId="2064460B" w14:textId="77777777" w:rsidR="001E698E" w:rsidRPr="00AA6B13" w:rsidRDefault="001E698E" w:rsidP="001E698E">
      <w:pPr>
        <w:spacing w:after="160"/>
        <w:rPr>
          <w:rFonts w:asciiTheme="majorBidi" w:hAnsiTheme="majorBidi" w:cstheme="majorBidi"/>
          <w:color w:val="000000" w:themeColor="text1"/>
          <w:sz w:val="24"/>
          <w:szCs w:val="24"/>
        </w:rPr>
      </w:pPr>
      <w:r>
        <w:rPr>
          <w:rFonts w:asciiTheme="majorBidi" w:hAnsiTheme="majorBidi" w:cstheme="majorBidi"/>
          <w:i/>
          <w:color w:val="000000" w:themeColor="text1"/>
          <w:sz w:val="24"/>
          <w:szCs w:val="24"/>
        </w:rPr>
        <w:t>Appropriate Use: This document provides a reasonable framework for understanding the fiscal and economic magnitude of the legislative package. It should be understood as a best-efforts economic projection, not a substitute for official CBO scoring.</w:t>
      </w:r>
    </w:p>
    <w:p w14:paraId="41DFDCFA" w14:textId="77777777" w:rsidR="001E698E" w:rsidRPr="00AA6B13" w:rsidRDefault="001E698E" w:rsidP="001E698E">
      <w:pPr>
        <w:pStyle w:val="Heading1"/>
        <w:rPr>
          <w:rFonts w:asciiTheme="majorBidi" w:hAnsiTheme="majorBidi"/>
          <w:color w:val="000000" w:themeColor="text1"/>
          <w:sz w:val="24"/>
          <w:szCs w:val="24"/>
        </w:rPr>
      </w:pPr>
      <w:r>
        <w:rPr>
          <w:rFonts w:asciiTheme="majorBidi" w:hAnsiTheme="majorBidi"/>
          <w:color w:val="000000" w:themeColor="text1"/>
          <w:sz w:val="24"/>
          <w:szCs w:val="24"/>
        </w:rPr>
        <w:lastRenderedPageBreak/>
        <w:t>XI. Master Reference Table</w:t>
      </w:r>
    </w:p>
    <w:p w14:paraId="442D3983"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Every quantitative input in the CBA, with its value, source, and derivation section reference.</w:t>
      </w:r>
    </w:p>
    <w:tbl>
      <w:tblPr>
        <w:tblW w:w="0" w:type="auto"/>
        <w:jc w:val="center"/>
        <w:tblLook w:val="04A0" w:firstRow="1" w:lastRow="0" w:firstColumn="1" w:lastColumn="0" w:noHBand="0" w:noVBand="1"/>
      </w:tblPr>
      <w:tblGrid>
        <w:gridCol w:w="1699"/>
        <w:gridCol w:w="1971"/>
        <w:gridCol w:w="2021"/>
        <w:gridCol w:w="2949"/>
      </w:tblGrid>
      <w:tr w:rsidR="001E698E" w:rsidRPr="00AA6B13" w14:paraId="76E03F63" w14:textId="77777777" w:rsidTr="00F4214C">
        <w:trPr>
          <w:jc w:val="center"/>
        </w:trPr>
        <w:tc>
          <w:tcPr>
            <w:tcW w:w="2160" w:type="dxa"/>
            <w:shd w:val="clear" w:color="auto" w:fill="D5E8F0"/>
          </w:tcPr>
          <w:p w14:paraId="16043680"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Ref</w:t>
            </w:r>
          </w:p>
        </w:tc>
        <w:tc>
          <w:tcPr>
            <w:tcW w:w="2160" w:type="dxa"/>
            <w:shd w:val="clear" w:color="auto" w:fill="D5E8F0"/>
          </w:tcPr>
          <w:p w14:paraId="3AAB9328"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Parameter</w:t>
            </w:r>
          </w:p>
        </w:tc>
        <w:tc>
          <w:tcPr>
            <w:tcW w:w="2160" w:type="dxa"/>
            <w:shd w:val="clear" w:color="auto" w:fill="D5E8F0"/>
          </w:tcPr>
          <w:p w14:paraId="63394A62"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Value</w:t>
            </w:r>
          </w:p>
        </w:tc>
        <w:tc>
          <w:tcPr>
            <w:tcW w:w="2160" w:type="dxa"/>
            <w:shd w:val="clear" w:color="auto" w:fill="D5E8F0"/>
          </w:tcPr>
          <w:p w14:paraId="27E77E2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b/>
                <w:color w:val="000000" w:themeColor="text1"/>
                <w:sz w:val="24"/>
                <w:szCs w:val="24"/>
              </w:rPr>
              <w:t>Primary Source</w:t>
            </w:r>
          </w:p>
        </w:tc>
      </w:tr>
      <w:tr w:rsidR="001E698E" w:rsidRPr="00AA6B13" w14:paraId="2BFD4D19" w14:textId="77777777" w:rsidTr="00F4214C">
        <w:trPr>
          <w:jc w:val="center"/>
        </w:trPr>
        <w:tc>
          <w:tcPr>
            <w:tcW w:w="2160" w:type="dxa"/>
          </w:tcPr>
          <w:p w14:paraId="13ECBE4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A-1</w:t>
            </w:r>
          </w:p>
        </w:tc>
        <w:tc>
          <w:tcPr>
            <w:tcW w:w="2160" w:type="dxa"/>
          </w:tcPr>
          <w:p w14:paraId="7C4BEF92"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US </w:t>
            </w:r>
            <w:proofErr w:type="spellStart"/>
            <w:r>
              <w:rPr>
                <w:rFonts w:asciiTheme="majorBidi" w:hAnsiTheme="majorBidi" w:cstheme="majorBidi"/>
                <w:color w:val="000000" w:themeColor="text1"/>
                <w:sz w:val="24"/>
                <w:szCs w:val="24"/>
              </w:rPr>
              <w:t>Mfg</w:t>
            </w:r>
            <w:proofErr w:type="spellEnd"/>
            <w:r>
              <w:rPr>
                <w:rFonts w:asciiTheme="majorBidi" w:hAnsiTheme="majorBidi" w:cstheme="majorBidi"/>
                <w:color w:val="000000" w:themeColor="text1"/>
                <w:sz w:val="24"/>
                <w:szCs w:val="24"/>
              </w:rPr>
              <w:t xml:space="preserve"> Value-Added</w:t>
            </w:r>
          </w:p>
        </w:tc>
        <w:tc>
          <w:tcPr>
            <w:tcW w:w="2160" w:type="dxa"/>
          </w:tcPr>
          <w:p w14:paraId="0832AF13"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$2.9T</w:t>
            </w:r>
          </w:p>
        </w:tc>
        <w:tc>
          <w:tcPr>
            <w:tcW w:w="2160" w:type="dxa"/>
          </w:tcPr>
          <w:p w14:paraId="1B73291F"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BEA GDP by Industry</w:t>
            </w:r>
          </w:p>
        </w:tc>
      </w:tr>
      <w:tr w:rsidR="001E698E" w:rsidRPr="00AA6B13" w14:paraId="7D7E7CCB" w14:textId="77777777" w:rsidTr="00F4214C">
        <w:trPr>
          <w:jc w:val="center"/>
        </w:trPr>
        <w:tc>
          <w:tcPr>
            <w:tcW w:w="2160" w:type="dxa"/>
          </w:tcPr>
          <w:p w14:paraId="2F8392D2"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A-2</w:t>
            </w:r>
          </w:p>
        </w:tc>
        <w:tc>
          <w:tcPr>
            <w:tcW w:w="2160" w:type="dxa"/>
          </w:tcPr>
          <w:p w14:paraId="65A45ADA"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DVA Cost Base</w:t>
            </w:r>
          </w:p>
        </w:tc>
        <w:tc>
          <w:tcPr>
            <w:tcW w:w="2160" w:type="dxa"/>
          </w:tcPr>
          <w:p w14:paraId="6D3E51D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~$2.5T</w:t>
            </w:r>
          </w:p>
        </w:tc>
        <w:tc>
          <w:tcPr>
            <w:tcW w:w="2160" w:type="dxa"/>
          </w:tcPr>
          <w:p w14:paraId="0AD737A5"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Calc: A-1 minus profits/foreign depreciation</w:t>
            </w:r>
          </w:p>
        </w:tc>
      </w:tr>
      <w:tr w:rsidR="001E698E" w:rsidRPr="00AA6B13" w14:paraId="5EB8B481" w14:textId="77777777" w:rsidTr="00F4214C">
        <w:trPr>
          <w:jc w:val="center"/>
        </w:trPr>
        <w:tc>
          <w:tcPr>
            <w:tcW w:w="2160" w:type="dxa"/>
          </w:tcPr>
          <w:p w14:paraId="78867F5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A-3</w:t>
            </w:r>
          </w:p>
        </w:tc>
        <w:tc>
          <w:tcPr>
            <w:tcW w:w="2160" w:type="dxa"/>
          </w:tcPr>
          <w:p w14:paraId="5AD10A25"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DVA Scaling Fraction</w:t>
            </w:r>
          </w:p>
        </w:tc>
        <w:tc>
          <w:tcPr>
            <w:tcW w:w="2160" w:type="dxa"/>
          </w:tcPr>
          <w:p w14:paraId="207F14E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0.76</w:t>
            </w:r>
          </w:p>
        </w:tc>
        <w:tc>
          <w:tcPr>
            <w:tcW w:w="2160" w:type="dxa"/>
          </w:tcPr>
          <w:p w14:paraId="46524F4A"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Census ASM 62% DVA → 0.20+0.80</w:t>
            </w:r>
            <w:proofErr w:type="gramStart"/>
            <w:r>
              <w:rPr>
                <w:rFonts w:asciiTheme="majorBidi" w:hAnsiTheme="majorBidi" w:cstheme="majorBidi"/>
                <w:color w:val="000000" w:themeColor="text1"/>
                <w:sz w:val="24"/>
                <w:szCs w:val="24"/>
              </w:rPr>
              <w:t>×(</w:t>
            </w:r>
            <w:proofErr w:type="gramEnd"/>
            <w:r>
              <w:rPr>
                <w:rFonts w:asciiTheme="majorBidi" w:hAnsiTheme="majorBidi" w:cstheme="majorBidi"/>
                <w:color w:val="000000" w:themeColor="text1"/>
                <w:sz w:val="24"/>
                <w:szCs w:val="24"/>
              </w:rPr>
              <w:t>0.62−0.20)/0.60 = 0.76</w:t>
            </w:r>
          </w:p>
        </w:tc>
      </w:tr>
      <w:tr w:rsidR="001E698E" w:rsidRPr="00AA6B13" w14:paraId="2F065835" w14:textId="77777777" w:rsidTr="00F4214C">
        <w:trPr>
          <w:jc w:val="center"/>
        </w:trPr>
        <w:tc>
          <w:tcPr>
            <w:tcW w:w="2160" w:type="dxa"/>
          </w:tcPr>
          <w:p w14:paraId="6EF1A4E8"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A-4</w:t>
            </w:r>
          </w:p>
        </w:tc>
        <w:tc>
          <w:tcPr>
            <w:tcW w:w="2160" w:type="dxa"/>
          </w:tcPr>
          <w:p w14:paraId="475055A3"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Utilization Factor</w:t>
            </w:r>
          </w:p>
        </w:tc>
        <w:tc>
          <w:tcPr>
            <w:tcW w:w="2160" w:type="dxa"/>
          </w:tcPr>
          <w:p w14:paraId="6FF223B5"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0.85</w:t>
            </w:r>
          </w:p>
        </w:tc>
        <w:tc>
          <w:tcPr>
            <w:tcW w:w="2160" w:type="dxa"/>
          </w:tcPr>
          <w:p w14:paraId="3750BA42"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Sec. 199 precedent</w:t>
            </w:r>
          </w:p>
        </w:tc>
      </w:tr>
      <w:tr w:rsidR="001E698E" w:rsidRPr="00AA6B13" w14:paraId="069C9B05" w14:textId="77777777" w:rsidTr="00F4214C">
        <w:trPr>
          <w:jc w:val="center"/>
        </w:trPr>
        <w:tc>
          <w:tcPr>
            <w:tcW w:w="2160" w:type="dxa"/>
          </w:tcPr>
          <w:p w14:paraId="2172C81E"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A-6</w:t>
            </w:r>
          </w:p>
        </w:tc>
        <w:tc>
          <w:tcPr>
            <w:tcW w:w="2160" w:type="dxa"/>
          </w:tcPr>
          <w:p w14:paraId="4B73D8BA" w14:textId="77777777" w:rsidR="001E698E" w:rsidRPr="00AA6B13" w:rsidRDefault="001E698E" w:rsidP="00F4214C">
            <w:pPr>
              <w:rPr>
                <w:rFonts w:asciiTheme="majorBidi" w:hAnsiTheme="majorBidi" w:cstheme="majorBidi"/>
                <w:color w:val="000000" w:themeColor="text1"/>
                <w:sz w:val="24"/>
                <w:szCs w:val="24"/>
              </w:rPr>
            </w:pPr>
            <w:proofErr w:type="spellStart"/>
            <w:r>
              <w:rPr>
                <w:rFonts w:asciiTheme="majorBidi" w:hAnsiTheme="majorBidi" w:cstheme="majorBidi"/>
                <w:color w:val="000000" w:themeColor="text1"/>
                <w:sz w:val="24"/>
                <w:szCs w:val="24"/>
              </w:rPr>
              <w:t>Mfg</w:t>
            </w:r>
            <w:proofErr w:type="spellEnd"/>
            <w:r>
              <w:rPr>
                <w:rFonts w:asciiTheme="majorBidi" w:hAnsiTheme="majorBidi" w:cstheme="majorBidi"/>
                <w:color w:val="000000" w:themeColor="text1"/>
                <w:sz w:val="24"/>
                <w:szCs w:val="24"/>
              </w:rPr>
              <w:t xml:space="preserve"> GDP Multiplier</w:t>
            </w:r>
          </w:p>
        </w:tc>
        <w:tc>
          <w:tcPr>
            <w:tcW w:w="2160" w:type="dxa"/>
          </w:tcPr>
          <w:p w14:paraId="364E2965"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$2.74</w:t>
            </w:r>
          </w:p>
        </w:tc>
        <w:tc>
          <w:tcPr>
            <w:tcW w:w="2160" w:type="dxa"/>
          </w:tcPr>
          <w:p w14:paraId="6F96C8A7"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NAM/IMPLAN</w:t>
            </w:r>
          </w:p>
        </w:tc>
      </w:tr>
      <w:tr w:rsidR="001E698E" w:rsidRPr="00AA6B13" w14:paraId="158C5B40" w14:textId="77777777" w:rsidTr="00F4214C">
        <w:trPr>
          <w:jc w:val="center"/>
        </w:trPr>
        <w:tc>
          <w:tcPr>
            <w:tcW w:w="2160" w:type="dxa"/>
          </w:tcPr>
          <w:p w14:paraId="40F3B4F5"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A-7</w:t>
            </w:r>
          </w:p>
        </w:tc>
        <w:tc>
          <w:tcPr>
            <w:tcW w:w="2160" w:type="dxa"/>
          </w:tcPr>
          <w:p w14:paraId="6071DFF0"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Value Chain Multiplier</w:t>
            </w:r>
          </w:p>
        </w:tc>
        <w:tc>
          <w:tcPr>
            <w:tcW w:w="2160" w:type="dxa"/>
          </w:tcPr>
          <w:p w14:paraId="0BA8D83A"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$3.60</w:t>
            </w:r>
          </w:p>
        </w:tc>
        <w:tc>
          <w:tcPr>
            <w:tcW w:w="2160" w:type="dxa"/>
          </w:tcPr>
          <w:p w14:paraId="677BDAF8"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Deloitte/</w:t>
            </w:r>
            <w:proofErr w:type="spellStart"/>
            <w:r>
              <w:rPr>
                <w:rFonts w:asciiTheme="majorBidi" w:hAnsiTheme="majorBidi" w:cstheme="majorBidi"/>
                <w:color w:val="000000" w:themeColor="text1"/>
                <w:sz w:val="24"/>
                <w:szCs w:val="24"/>
              </w:rPr>
              <w:t>Mfg</w:t>
            </w:r>
            <w:proofErr w:type="spellEnd"/>
            <w:r>
              <w:rPr>
                <w:rFonts w:asciiTheme="majorBidi" w:hAnsiTheme="majorBidi" w:cstheme="majorBidi"/>
                <w:color w:val="000000" w:themeColor="text1"/>
                <w:sz w:val="24"/>
                <w:szCs w:val="24"/>
              </w:rPr>
              <w:t xml:space="preserve"> Institute</w:t>
            </w:r>
          </w:p>
        </w:tc>
      </w:tr>
      <w:tr w:rsidR="001E698E" w:rsidRPr="00AA6B13" w14:paraId="76258EAC" w14:textId="77777777" w:rsidTr="00F4214C">
        <w:trPr>
          <w:jc w:val="center"/>
        </w:trPr>
        <w:tc>
          <w:tcPr>
            <w:tcW w:w="2160" w:type="dxa"/>
          </w:tcPr>
          <w:p w14:paraId="44956318"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A-8</w:t>
            </w:r>
          </w:p>
        </w:tc>
        <w:tc>
          <w:tcPr>
            <w:tcW w:w="2160" w:type="dxa"/>
          </w:tcPr>
          <w:p w14:paraId="3207561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Tax Multiplier</w:t>
            </w:r>
          </w:p>
        </w:tc>
        <w:tc>
          <w:tcPr>
            <w:tcW w:w="2160" w:type="dxa"/>
          </w:tcPr>
          <w:p w14:paraId="5E7E063F"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3.0</w:t>
            </w:r>
          </w:p>
        </w:tc>
        <w:tc>
          <w:tcPr>
            <w:tcW w:w="2160" w:type="dxa"/>
          </w:tcPr>
          <w:p w14:paraId="23C27595"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Mertens &amp; Ravn (2013)</w:t>
            </w:r>
          </w:p>
        </w:tc>
      </w:tr>
      <w:tr w:rsidR="001E698E" w:rsidRPr="00AA6B13" w14:paraId="6E6EBC1F" w14:textId="77777777" w:rsidTr="00F4214C">
        <w:trPr>
          <w:jc w:val="center"/>
        </w:trPr>
        <w:tc>
          <w:tcPr>
            <w:tcW w:w="2160" w:type="dxa"/>
          </w:tcPr>
          <w:p w14:paraId="19DF4982"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A-9</w:t>
            </w:r>
          </w:p>
        </w:tc>
        <w:tc>
          <w:tcPr>
            <w:tcW w:w="2160" w:type="dxa"/>
          </w:tcPr>
          <w:p w14:paraId="2613BEC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MINA 10yr Cost</w:t>
            </w:r>
          </w:p>
        </w:tc>
        <w:tc>
          <w:tcPr>
            <w:tcW w:w="2160" w:type="dxa"/>
          </w:tcPr>
          <w:p w14:paraId="5E8B3EEC"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$978–1,073B</w:t>
            </w:r>
          </w:p>
        </w:tc>
        <w:tc>
          <w:tcPr>
            <w:tcW w:w="2160" w:type="dxa"/>
          </w:tcPr>
          <w:p w14:paraId="1EF9C106"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Calc: A-2 through A-4 + 3–5% growth</w:t>
            </w:r>
          </w:p>
        </w:tc>
      </w:tr>
      <w:tr w:rsidR="001E698E" w:rsidRPr="00AA6B13" w14:paraId="5EA3D2E8" w14:textId="77777777" w:rsidTr="00F4214C">
        <w:trPr>
          <w:jc w:val="center"/>
        </w:trPr>
        <w:tc>
          <w:tcPr>
            <w:tcW w:w="2160" w:type="dxa"/>
          </w:tcPr>
          <w:p w14:paraId="2933F34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A-10</w:t>
            </w:r>
          </w:p>
        </w:tc>
        <w:tc>
          <w:tcPr>
            <w:tcW w:w="2160" w:type="dxa"/>
          </w:tcPr>
          <w:p w14:paraId="490830E0"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DO IT NOW 10yr Cost</w:t>
            </w:r>
          </w:p>
        </w:tc>
        <w:tc>
          <w:tcPr>
            <w:tcW w:w="2160" w:type="dxa"/>
          </w:tcPr>
          <w:p w14:paraId="5A47CB8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$416–456B</w:t>
            </w:r>
          </w:p>
        </w:tc>
        <w:tc>
          <w:tcPr>
            <w:tcW w:w="2160" w:type="dxa"/>
          </w:tcPr>
          <w:p w14:paraId="0F58D9AF"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Calc: $580B DVA × 0.80 × 0.85 × blended 9.2% × 10yr; 14-sector MISA expansion</w:t>
            </w:r>
          </w:p>
        </w:tc>
      </w:tr>
      <w:tr w:rsidR="001E698E" w:rsidRPr="00AA6B13" w14:paraId="1131D4DD" w14:textId="77777777" w:rsidTr="00F4214C">
        <w:trPr>
          <w:jc w:val="center"/>
        </w:trPr>
        <w:tc>
          <w:tcPr>
            <w:tcW w:w="2160" w:type="dxa"/>
          </w:tcPr>
          <w:p w14:paraId="4DDF014C"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A-11</w:t>
            </w:r>
          </w:p>
        </w:tc>
        <w:tc>
          <w:tcPr>
            <w:tcW w:w="2160" w:type="dxa"/>
          </w:tcPr>
          <w:p w14:paraId="7F41937A"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GDP Impact (10yr)</w:t>
            </w:r>
          </w:p>
        </w:tc>
        <w:tc>
          <w:tcPr>
            <w:tcW w:w="2160" w:type="dxa"/>
          </w:tcPr>
          <w:p w14:paraId="11C3AB7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$2.3–4.4T</w:t>
            </w:r>
          </w:p>
        </w:tc>
        <w:tc>
          <w:tcPr>
            <w:tcW w:w="2160" w:type="dxa"/>
          </w:tcPr>
          <w:p w14:paraId="1A96406A"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Calc: multiplier on incremental </w:t>
            </w:r>
            <w:proofErr w:type="spellStart"/>
            <w:r>
              <w:rPr>
                <w:rFonts w:asciiTheme="majorBidi" w:hAnsiTheme="majorBidi" w:cstheme="majorBidi"/>
                <w:color w:val="000000" w:themeColor="text1"/>
                <w:sz w:val="24"/>
                <w:szCs w:val="24"/>
              </w:rPr>
              <w:t>mfg</w:t>
            </w:r>
            <w:proofErr w:type="spellEnd"/>
          </w:p>
        </w:tc>
      </w:tr>
      <w:tr w:rsidR="001E698E" w:rsidRPr="00AA6B13" w14:paraId="10EE33B5" w14:textId="77777777" w:rsidTr="00F4214C">
        <w:trPr>
          <w:jc w:val="center"/>
        </w:trPr>
        <w:tc>
          <w:tcPr>
            <w:tcW w:w="2160" w:type="dxa"/>
          </w:tcPr>
          <w:p w14:paraId="3FBFD829"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A-12</w:t>
            </w:r>
          </w:p>
        </w:tc>
        <w:tc>
          <w:tcPr>
            <w:tcW w:w="2160" w:type="dxa"/>
          </w:tcPr>
          <w:p w14:paraId="3DD46760"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Current </w:t>
            </w:r>
            <w:proofErr w:type="spellStart"/>
            <w:r>
              <w:rPr>
                <w:rFonts w:asciiTheme="majorBidi" w:hAnsiTheme="majorBidi" w:cstheme="majorBidi"/>
                <w:color w:val="000000" w:themeColor="text1"/>
                <w:sz w:val="24"/>
                <w:szCs w:val="24"/>
              </w:rPr>
              <w:t>Mfg</w:t>
            </w:r>
            <w:proofErr w:type="spellEnd"/>
            <w:r>
              <w:rPr>
                <w:rFonts w:asciiTheme="majorBidi" w:hAnsiTheme="majorBidi" w:cstheme="majorBidi"/>
                <w:color w:val="000000" w:themeColor="text1"/>
                <w:sz w:val="24"/>
                <w:szCs w:val="24"/>
              </w:rPr>
              <w:t xml:space="preserve"> Employment</w:t>
            </w:r>
          </w:p>
        </w:tc>
        <w:tc>
          <w:tcPr>
            <w:tcW w:w="2160" w:type="dxa"/>
          </w:tcPr>
          <w:p w14:paraId="188E967C"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12.9M</w:t>
            </w:r>
          </w:p>
        </w:tc>
        <w:tc>
          <w:tcPr>
            <w:tcW w:w="2160" w:type="dxa"/>
          </w:tcPr>
          <w:p w14:paraId="312FC6E6"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BLS CES Series</w:t>
            </w:r>
          </w:p>
        </w:tc>
      </w:tr>
      <w:tr w:rsidR="001E698E" w:rsidRPr="00AA6B13" w14:paraId="1DD00C1B" w14:textId="77777777" w:rsidTr="00F4214C">
        <w:trPr>
          <w:jc w:val="center"/>
        </w:trPr>
        <w:tc>
          <w:tcPr>
            <w:tcW w:w="2160" w:type="dxa"/>
          </w:tcPr>
          <w:p w14:paraId="1D426B8A"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A-13</w:t>
            </w:r>
          </w:p>
        </w:tc>
        <w:tc>
          <w:tcPr>
            <w:tcW w:w="2160" w:type="dxa"/>
          </w:tcPr>
          <w:p w14:paraId="18245D3C"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Jobs Multiplier (adj)</w:t>
            </w:r>
          </w:p>
        </w:tc>
        <w:tc>
          <w:tcPr>
            <w:tcW w:w="2160" w:type="dxa"/>
          </w:tcPr>
          <w:p w14:paraId="461980F1"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4.0×</w:t>
            </w:r>
          </w:p>
        </w:tc>
        <w:tc>
          <w:tcPr>
            <w:tcW w:w="2160" w:type="dxa"/>
          </w:tcPr>
          <w:p w14:paraId="5B747597"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NAM 6.0× reduced 33% for AI/automation</w:t>
            </w:r>
          </w:p>
        </w:tc>
      </w:tr>
      <w:tr w:rsidR="001E698E" w:rsidRPr="00AA6B13" w14:paraId="6835ED4D" w14:textId="77777777" w:rsidTr="00F4214C">
        <w:trPr>
          <w:jc w:val="center"/>
        </w:trPr>
        <w:tc>
          <w:tcPr>
            <w:tcW w:w="2160" w:type="dxa"/>
          </w:tcPr>
          <w:p w14:paraId="516D3103"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A-14</w:t>
            </w:r>
          </w:p>
        </w:tc>
        <w:tc>
          <w:tcPr>
            <w:tcW w:w="2160" w:type="dxa"/>
          </w:tcPr>
          <w:p w14:paraId="64FE2BAF"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Jobs Created</w:t>
            </w:r>
          </w:p>
        </w:tc>
        <w:tc>
          <w:tcPr>
            <w:tcW w:w="2160" w:type="dxa"/>
          </w:tcPr>
          <w:p w14:paraId="05DED27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4.1–7.8M</w:t>
            </w:r>
          </w:p>
        </w:tc>
        <w:tc>
          <w:tcPr>
            <w:tcW w:w="2160" w:type="dxa"/>
          </w:tcPr>
          <w:p w14:paraId="503DA6D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Calc: GDP / output per worker × 4.0×</w:t>
            </w:r>
          </w:p>
        </w:tc>
      </w:tr>
      <w:tr w:rsidR="001E698E" w:rsidRPr="00AA6B13" w14:paraId="29BF0B15" w14:textId="77777777" w:rsidTr="00F4214C">
        <w:trPr>
          <w:jc w:val="center"/>
        </w:trPr>
        <w:tc>
          <w:tcPr>
            <w:tcW w:w="2160" w:type="dxa"/>
          </w:tcPr>
          <w:p w14:paraId="77DD9E7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A-15</w:t>
            </w:r>
          </w:p>
        </w:tc>
        <w:tc>
          <w:tcPr>
            <w:tcW w:w="2160" w:type="dxa"/>
          </w:tcPr>
          <w:p w14:paraId="0C14AF2C"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Goods Trade Deficit</w:t>
            </w:r>
          </w:p>
        </w:tc>
        <w:tc>
          <w:tcPr>
            <w:tcW w:w="2160" w:type="dxa"/>
          </w:tcPr>
          <w:p w14:paraId="1090D52C"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~$1.2T</w:t>
            </w:r>
          </w:p>
        </w:tc>
        <w:tc>
          <w:tcPr>
            <w:tcW w:w="2160" w:type="dxa"/>
          </w:tcPr>
          <w:p w14:paraId="1F4EB69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Census Foreign Trade</w:t>
            </w:r>
          </w:p>
        </w:tc>
      </w:tr>
      <w:tr w:rsidR="001E698E" w:rsidRPr="00AA6B13" w14:paraId="2FE1149F" w14:textId="77777777" w:rsidTr="00F4214C">
        <w:trPr>
          <w:jc w:val="center"/>
        </w:trPr>
        <w:tc>
          <w:tcPr>
            <w:tcW w:w="2160" w:type="dxa"/>
          </w:tcPr>
          <w:p w14:paraId="2118EAC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lastRenderedPageBreak/>
              <w:t>A-16</w:t>
            </w:r>
          </w:p>
        </w:tc>
        <w:tc>
          <w:tcPr>
            <w:tcW w:w="2160" w:type="dxa"/>
          </w:tcPr>
          <w:p w14:paraId="53F31547"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Trade Improvement</w:t>
            </w:r>
          </w:p>
        </w:tc>
        <w:tc>
          <w:tcPr>
            <w:tcW w:w="2160" w:type="dxa"/>
          </w:tcPr>
          <w:p w14:paraId="2F8427D9"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$100–250B/yr</w:t>
            </w:r>
          </w:p>
        </w:tc>
        <w:tc>
          <w:tcPr>
            <w:tcW w:w="2160" w:type="dxa"/>
          </w:tcPr>
          <w:p w14:paraId="7BF98E9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Reshoring Initiative + calc</w:t>
            </w:r>
          </w:p>
        </w:tc>
      </w:tr>
      <w:tr w:rsidR="001E698E" w:rsidRPr="00AA6B13" w14:paraId="58C2C43C" w14:textId="77777777" w:rsidTr="00F4214C">
        <w:trPr>
          <w:jc w:val="center"/>
        </w:trPr>
        <w:tc>
          <w:tcPr>
            <w:tcW w:w="2160" w:type="dxa"/>
          </w:tcPr>
          <w:p w14:paraId="68E0EDB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A-17</w:t>
            </w:r>
          </w:p>
        </w:tc>
        <w:tc>
          <w:tcPr>
            <w:tcW w:w="2160" w:type="dxa"/>
          </w:tcPr>
          <w:p w14:paraId="180BF958"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Mannie Mac Leverage</w:t>
            </w:r>
          </w:p>
        </w:tc>
        <w:tc>
          <w:tcPr>
            <w:tcW w:w="2160" w:type="dxa"/>
          </w:tcPr>
          <w:p w14:paraId="1E696E7A"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$25B→$706B; $12.7B net cost</w:t>
            </w:r>
          </w:p>
        </w:tc>
        <w:tc>
          <w:tcPr>
            <w:tcW w:w="2160" w:type="dxa"/>
          </w:tcPr>
          <w:p w14:paraId="4DBFF910"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MFC Act + 40% D/E ratio</w:t>
            </w:r>
          </w:p>
        </w:tc>
      </w:tr>
      <w:tr w:rsidR="001E698E" w:rsidRPr="00AA6B13" w14:paraId="09E03427" w14:textId="77777777" w:rsidTr="00F4214C">
        <w:trPr>
          <w:jc w:val="center"/>
        </w:trPr>
        <w:tc>
          <w:tcPr>
            <w:tcW w:w="2160" w:type="dxa"/>
          </w:tcPr>
          <w:p w14:paraId="42EF2171"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A-18</w:t>
            </w:r>
          </w:p>
        </w:tc>
        <w:tc>
          <w:tcPr>
            <w:tcW w:w="2160" w:type="dxa"/>
          </w:tcPr>
          <w:p w14:paraId="6AE2B840"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Guarantee Rate (</w:t>
            </w:r>
            <w:proofErr w:type="spellStart"/>
            <w:r>
              <w:rPr>
                <w:rFonts w:asciiTheme="majorBidi" w:hAnsiTheme="majorBidi" w:cstheme="majorBidi"/>
                <w:color w:val="000000" w:themeColor="text1"/>
                <w:sz w:val="24"/>
                <w:szCs w:val="24"/>
              </w:rPr>
              <w:t>wtd</w:t>
            </w:r>
            <w:proofErr w:type="spellEnd"/>
            <w:r>
              <w:rPr>
                <w:rFonts w:asciiTheme="majorBidi" w:hAnsiTheme="majorBidi" w:cstheme="majorBidi"/>
                <w:color w:val="000000" w:themeColor="text1"/>
                <w:sz w:val="24"/>
                <w:szCs w:val="24"/>
              </w:rPr>
              <w:t>)</w:t>
            </w:r>
          </w:p>
        </w:tc>
        <w:tc>
          <w:tcPr>
            <w:tcW w:w="2160" w:type="dxa"/>
          </w:tcPr>
          <w:p w14:paraId="16C3650A"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79.3%</w:t>
            </w:r>
          </w:p>
        </w:tc>
        <w:tc>
          <w:tcPr>
            <w:tcW w:w="2160" w:type="dxa"/>
          </w:tcPr>
          <w:p w14:paraId="6107F8C9"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MFC Act tiered structure</w:t>
            </w:r>
          </w:p>
        </w:tc>
      </w:tr>
      <w:tr w:rsidR="001E698E" w:rsidRPr="00AA6B13" w14:paraId="13DA399D" w14:textId="77777777" w:rsidTr="00F4214C">
        <w:trPr>
          <w:jc w:val="center"/>
        </w:trPr>
        <w:tc>
          <w:tcPr>
            <w:tcW w:w="2160" w:type="dxa"/>
          </w:tcPr>
          <w:p w14:paraId="793D7CAE"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A-20</w:t>
            </w:r>
          </w:p>
        </w:tc>
        <w:tc>
          <w:tcPr>
            <w:tcW w:w="2160" w:type="dxa"/>
          </w:tcPr>
          <w:p w14:paraId="46E5081C"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MERA Cost </w:t>
            </w:r>
          </w:p>
        </w:tc>
        <w:tc>
          <w:tcPr>
            <w:tcW w:w="2160" w:type="dxa"/>
          </w:tcPr>
          <w:p w14:paraId="5B74FF66"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$36–73B</w:t>
            </w:r>
          </w:p>
        </w:tc>
        <w:tc>
          <w:tcPr>
            <w:tcW w:w="2160" w:type="dxa"/>
          </w:tcPr>
          <w:p w14:paraId="3276D51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Census SUSB/IRS: $5M/transfer, $5M/sale</w:t>
            </w:r>
          </w:p>
        </w:tc>
      </w:tr>
      <w:tr w:rsidR="001E698E" w:rsidRPr="00AA6B13" w14:paraId="7FA3CAF6" w14:textId="77777777" w:rsidTr="00F4214C">
        <w:trPr>
          <w:jc w:val="center"/>
        </w:trPr>
        <w:tc>
          <w:tcPr>
            <w:tcW w:w="2160" w:type="dxa"/>
          </w:tcPr>
          <w:p w14:paraId="35E0F67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A-21</w:t>
            </w:r>
          </w:p>
        </w:tc>
        <w:tc>
          <w:tcPr>
            <w:tcW w:w="2160" w:type="dxa"/>
          </w:tcPr>
          <w:p w14:paraId="125C9A3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ROI</w:t>
            </w:r>
          </w:p>
        </w:tc>
        <w:tc>
          <w:tcPr>
            <w:tcW w:w="2160" w:type="dxa"/>
          </w:tcPr>
          <w:p w14:paraId="0595C991"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1.47×–3.15× (gross)</w:t>
            </w:r>
          </w:p>
        </w:tc>
        <w:tc>
          <w:tcPr>
            <w:tcW w:w="2160" w:type="dxa"/>
          </w:tcPr>
          <w:p w14:paraId="5E62640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Calc: A-11 / package cost</w:t>
            </w:r>
          </w:p>
        </w:tc>
      </w:tr>
      <w:tr w:rsidR="001E698E" w:rsidRPr="00AA6B13" w14:paraId="2D2FA80F" w14:textId="77777777" w:rsidTr="00F4214C">
        <w:trPr>
          <w:jc w:val="center"/>
        </w:trPr>
        <w:tc>
          <w:tcPr>
            <w:tcW w:w="2160" w:type="dxa"/>
          </w:tcPr>
          <w:p w14:paraId="49AE3395"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A-22</w:t>
            </w:r>
          </w:p>
        </w:tc>
        <w:tc>
          <w:tcPr>
            <w:tcW w:w="2160" w:type="dxa"/>
          </w:tcPr>
          <w:p w14:paraId="3AFDAA7B"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Cost Per Job</w:t>
            </w:r>
          </w:p>
        </w:tc>
        <w:tc>
          <w:tcPr>
            <w:tcW w:w="2160" w:type="dxa"/>
          </w:tcPr>
          <w:p w14:paraId="3081F1DF"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$179–382K</w:t>
            </w:r>
          </w:p>
        </w:tc>
        <w:tc>
          <w:tcPr>
            <w:tcW w:w="2160" w:type="dxa"/>
          </w:tcPr>
          <w:p w14:paraId="0428D2E7"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Calc: package cost / A-14</w:t>
            </w:r>
          </w:p>
        </w:tc>
      </w:tr>
      <w:tr w:rsidR="001E698E" w:rsidRPr="00AA6B13" w14:paraId="37B528B3" w14:textId="77777777" w:rsidTr="00F4214C">
        <w:trPr>
          <w:jc w:val="center"/>
        </w:trPr>
        <w:tc>
          <w:tcPr>
            <w:tcW w:w="2160" w:type="dxa"/>
          </w:tcPr>
          <w:p w14:paraId="184F0D83"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A-23</w:t>
            </w:r>
          </w:p>
        </w:tc>
        <w:tc>
          <w:tcPr>
            <w:tcW w:w="2160" w:type="dxa"/>
          </w:tcPr>
          <w:p w14:paraId="2BC607B3"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Cost of Inaction</w:t>
            </w:r>
          </w:p>
        </w:tc>
        <w:tc>
          <w:tcPr>
            <w:tcW w:w="2160" w:type="dxa"/>
          </w:tcPr>
          <w:p w14:paraId="67221ED7"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$470B/yr GDP</w:t>
            </w:r>
          </w:p>
        </w:tc>
        <w:tc>
          <w:tcPr>
            <w:tcW w:w="2160" w:type="dxa"/>
          </w:tcPr>
          <w:p w14:paraId="2305FC84"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NAM/EY Macro Model (Jan 2025)</w:t>
            </w:r>
          </w:p>
        </w:tc>
      </w:tr>
      <w:tr w:rsidR="001E698E" w:rsidRPr="00AA6B13" w14:paraId="6D88A84C" w14:textId="77777777" w:rsidTr="00F4214C">
        <w:trPr>
          <w:jc w:val="center"/>
        </w:trPr>
        <w:tc>
          <w:tcPr>
            <w:tcW w:w="2160" w:type="dxa"/>
          </w:tcPr>
          <w:p w14:paraId="3BE71F36"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A-24</w:t>
            </w:r>
          </w:p>
        </w:tc>
        <w:tc>
          <w:tcPr>
            <w:tcW w:w="2160" w:type="dxa"/>
          </w:tcPr>
          <w:p w14:paraId="2CA53FB2"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GDP Ramp Factor</w:t>
            </w:r>
          </w:p>
        </w:tc>
        <w:tc>
          <w:tcPr>
            <w:tcW w:w="2160" w:type="dxa"/>
          </w:tcPr>
          <w:p w14:paraId="5A896AC7"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0.705 (10-yr avg)</w:t>
            </w:r>
          </w:p>
        </w:tc>
        <w:tc>
          <w:tcPr>
            <w:tcW w:w="2160" w:type="dxa"/>
          </w:tcPr>
          <w:p w14:paraId="64D22956"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CBO WP 2015-02 + CEA TCJA (2025)</w:t>
            </w:r>
          </w:p>
        </w:tc>
      </w:tr>
      <w:tr w:rsidR="001E698E" w:rsidRPr="00AA6B13" w14:paraId="179B6FE3" w14:textId="77777777" w:rsidTr="00F4214C">
        <w:trPr>
          <w:jc w:val="center"/>
        </w:trPr>
        <w:tc>
          <w:tcPr>
            <w:tcW w:w="2160" w:type="dxa"/>
          </w:tcPr>
          <w:p w14:paraId="2EAD6691"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A-25</w:t>
            </w:r>
          </w:p>
        </w:tc>
        <w:tc>
          <w:tcPr>
            <w:tcW w:w="2160" w:type="dxa"/>
          </w:tcPr>
          <w:p w14:paraId="4D44A55D"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Growth Assumption</w:t>
            </w:r>
          </w:p>
        </w:tc>
        <w:tc>
          <w:tcPr>
            <w:tcW w:w="2160" w:type="dxa"/>
          </w:tcPr>
          <w:p w14:paraId="5D88AEB6"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5%/yr</w:t>
            </w:r>
          </w:p>
        </w:tc>
        <w:tc>
          <w:tcPr>
            <w:tcW w:w="2160" w:type="dxa"/>
          </w:tcPr>
          <w:p w14:paraId="5FA3525C"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TCJA/Reshoring/CHIPS precedents</w:t>
            </w:r>
          </w:p>
        </w:tc>
      </w:tr>
      <w:tr w:rsidR="001E698E" w:rsidRPr="00AA6B13" w14:paraId="090275C3" w14:textId="77777777" w:rsidTr="00F4214C">
        <w:trPr>
          <w:jc w:val="center"/>
        </w:trPr>
        <w:tc>
          <w:tcPr>
            <w:tcW w:w="2160" w:type="dxa"/>
          </w:tcPr>
          <w:p w14:paraId="4120107C"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A-26</w:t>
            </w:r>
          </w:p>
        </w:tc>
        <w:tc>
          <w:tcPr>
            <w:tcW w:w="2160" w:type="dxa"/>
          </w:tcPr>
          <w:p w14:paraId="062547A8"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QRE Framework</w:t>
            </w:r>
          </w:p>
        </w:tc>
        <w:tc>
          <w:tcPr>
            <w:tcW w:w="2160" w:type="dxa"/>
          </w:tcPr>
          <w:p w14:paraId="5F3AAD01"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55–65% qual.</w:t>
            </w:r>
          </w:p>
        </w:tc>
        <w:tc>
          <w:tcPr>
            <w:tcW w:w="2160" w:type="dxa"/>
          </w:tcPr>
          <w:p w14:paraId="690BE94F" w14:textId="77777777" w:rsidR="001E698E" w:rsidRPr="00AA6B13" w:rsidRDefault="001E698E" w:rsidP="00F4214C">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IRA QRE-blended precedent</w:t>
            </w:r>
          </w:p>
        </w:tc>
      </w:tr>
    </w:tbl>
    <w:p w14:paraId="3E6C6932" w14:textId="77777777" w:rsidR="001E698E" w:rsidRPr="00AA6B13" w:rsidRDefault="001E698E" w:rsidP="001E698E">
      <w:pPr>
        <w:rPr>
          <w:rFonts w:asciiTheme="majorBidi" w:hAnsiTheme="majorBidi" w:cstheme="majorBidi"/>
          <w:color w:val="000000" w:themeColor="text1"/>
          <w:sz w:val="24"/>
          <w:szCs w:val="24"/>
        </w:rPr>
      </w:pPr>
    </w:p>
    <w:p w14:paraId="600C7535"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_______________________________________________</w:t>
      </w:r>
    </w:p>
    <w:p w14:paraId="58F96E7C"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Prepared by: Mark Rosenblatt and Claude AI</w:t>
      </w:r>
    </w:p>
    <w:p w14:paraId="74106B07" w14:textId="77777777" w:rsidR="001E698E" w:rsidRPr="00AA6B13" w:rsidRDefault="001E698E" w:rsidP="001E698E">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Contact: Mark Rosenblatt | mr@rationalwave.com | 914-584-5400</w:t>
      </w:r>
    </w:p>
    <w:p w14:paraId="34E6DF88" w14:textId="77777777" w:rsidR="001E698E" w:rsidRPr="00AA6B13" w:rsidRDefault="001E698E" w:rsidP="001E698E">
      <w:pPr>
        <w:rPr>
          <w:rFonts w:asciiTheme="majorBidi" w:hAnsiTheme="majorBidi" w:cstheme="majorBidi"/>
          <w:color w:val="000000" w:themeColor="text1"/>
          <w:sz w:val="24"/>
          <w:szCs w:val="24"/>
        </w:rPr>
      </w:pPr>
    </w:p>
    <w:p w14:paraId="181A4524" w14:textId="77777777" w:rsidR="001E698E" w:rsidRPr="00EE4D1D" w:rsidRDefault="001E698E" w:rsidP="001E698E"/>
    <w:p w14:paraId="244D4B68" w14:textId="77777777" w:rsidR="00A808A2" w:rsidRPr="001E698E" w:rsidRDefault="00A808A2" w:rsidP="001E698E"/>
    <w:sectPr w:rsidR="00A808A2" w:rsidRPr="001E698E" w:rsidSect="009602BC">
      <w:headerReference w:type="default" r:id="rId1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828D7" w14:textId="77777777" w:rsidR="00BB25BB" w:rsidRDefault="00BB25BB" w:rsidP="009602BC">
      <w:pPr>
        <w:spacing w:after="0" w:line="240" w:lineRule="auto"/>
      </w:pPr>
      <w:r>
        <w:separator/>
      </w:r>
    </w:p>
  </w:endnote>
  <w:endnote w:type="continuationSeparator" w:id="0">
    <w:p w14:paraId="69836220" w14:textId="77777777" w:rsidR="00BB25BB" w:rsidRDefault="00BB25BB" w:rsidP="009602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9D4532" w14:textId="77777777" w:rsidR="00BB25BB" w:rsidRDefault="00BB25BB" w:rsidP="009602BC">
      <w:pPr>
        <w:spacing w:after="0" w:line="240" w:lineRule="auto"/>
      </w:pPr>
      <w:r>
        <w:separator/>
      </w:r>
    </w:p>
  </w:footnote>
  <w:footnote w:type="continuationSeparator" w:id="0">
    <w:p w14:paraId="59F38AD1" w14:textId="77777777" w:rsidR="00BB25BB" w:rsidRDefault="00BB25BB" w:rsidP="009602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E33384" w14:textId="2519320C" w:rsidR="009602BC" w:rsidRDefault="00EE4D1D">
    <w:pPr>
      <w:pStyle w:val="Header"/>
    </w:pPr>
    <w:r>
      <w:t xml:space="preserve">March </w:t>
    </w:r>
    <w:r w:rsidR="000E2410">
      <w:t>29</w:t>
    </w:r>
    <w:r>
      <w:t>,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40046006"/>
    <w:lvl w:ilvl="0">
      <w:start w:val="1"/>
      <w:numFmt w:val="bullet"/>
      <w:pStyle w:val="ListBullet"/>
      <w:lvlText w:val=""/>
      <w:lvlJc w:val="left"/>
      <w:pPr>
        <w:tabs>
          <w:tab w:val="num" w:pos="360"/>
        </w:tabs>
        <w:ind w:left="360" w:hanging="360"/>
      </w:pPr>
      <w:rPr>
        <w:rFonts w:ascii="Symbol" w:hAnsi="Symbol" w:hint="default"/>
      </w:rPr>
    </w:lvl>
  </w:abstractNum>
  <w:num w:numId="1" w16cid:durableId="16243797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2BC"/>
    <w:rsid w:val="000E2410"/>
    <w:rsid w:val="00147EBE"/>
    <w:rsid w:val="001A79DC"/>
    <w:rsid w:val="001E698E"/>
    <w:rsid w:val="004F411E"/>
    <w:rsid w:val="005F5DA3"/>
    <w:rsid w:val="0060498B"/>
    <w:rsid w:val="00684811"/>
    <w:rsid w:val="00712D99"/>
    <w:rsid w:val="00894445"/>
    <w:rsid w:val="008C0E40"/>
    <w:rsid w:val="0094597C"/>
    <w:rsid w:val="009602BC"/>
    <w:rsid w:val="00A55456"/>
    <w:rsid w:val="00A808A2"/>
    <w:rsid w:val="00AA6B13"/>
    <w:rsid w:val="00B445E9"/>
    <w:rsid w:val="00B6709C"/>
    <w:rsid w:val="00BA7D62"/>
    <w:rsid w:val="00BB25BB"/>
    <w:rsid w:val="00C1100D"/>
    <w:rsid w:val="00C23985"/>
    <w:rsid w:val="00CD621F"/>
    <w:rsid w:val="00CD7050"/>
    <w:rsid w:val="00EA2C38"/>
    <w:rsid w:val="00EE4D1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2705F683"/>
  <w15:chartTrackingRefBased/>
  <w15:docId w15:val="{6C1A10FD-60AD-574A-B489-28BE7C42C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02BC"/>
    <w:pPr>
      <w:spacing w:after="120" w:line="276" w:lineRule="auto"/>
    </w:pPr>
    <w:rPr>
      <w:rFonts w:ascii="Arial" w:hAnsi="Arial"/>
      <w:kern w:val="0"/>
      <w:sz w:val="22"/>
      <w:szCs w:val="22"/>
      <w:lang w:eastAsia="en-US"/>
      <w14:ligatures w14:val="none"/>
    </w:rPr>
  </w:style>
  <w:style w:type="paragraph" w:styleId="Heading1">
    <w:name w:val="heading 1"/>
    <w:basedOn w:val="Normal"/>
    <w:next w:val="Normal"/>
    <w:link w:val="Heading1Char"/>
    <w:uiPriority w:val="9"/>
    <w:qFormat/>
    <w:rsid w:val="009602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602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602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02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02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02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02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02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02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02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602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602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02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02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02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02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02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02BC"/>
    <w:rPr>
      <w:rFonts w:eastAsiaTheme="majorEastAsia" w:cstheme="majorBidi"/>
      <w:color w:val="272727" w:themeColor="text1" w:themeTint="D8"/>
    </w:rPr>
  </w:style>
  <w:style w:type="paragraph" w:styleId="Title">
    <w:name w:val="Title"/>
    <w:basedOn w:val="Normal"/>
    <w:next w:val="Normal"/>
    <w:link w:val="TitleChar"/>
    <w:uiPriority w:val="10"/>
    <w:qFormat/>
    <w:rsid w:val="009602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02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02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02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02BC"/>
    <w:pPr>
      <w:spacing w:before="160"/>
      <w:jc w:val="center"/>
    </w:pPr>
    <w:rPr>
      <w:i/>
      <w:iCs/>
      <w:color w:val="404040" w:themeColor="text1" w:themeTint="BF"/>
    </w:rPr>
  </w:style>
  <w:style w:type="character" w:customStyle="1" w:styleId="QuoteChar">
    <w:name w:val="Quote Char"/>
    <w:basedOn w:val="DefaultParagraphFont"/>
    <w:link w:val="Quote"/>
    <w:uiPriority w:val="29"/>
    <w:rsid w:val="009602BC"/>
    <w:rPr>
      <w:i/>
      <w:iCs/>
      <w:color w:val="404040" w:themeColor="text1" w:themeTint="BF"/>
    </w:rPr>
  </w:style>
  <w:style w:type="paragraph" w:styleId="ListParagraph">
    <w:name w:val="List Paragraph"/>
    <w:basedOn w:val="Normal"/>
    <w:uiPriority w:val="34"/>
    <w:qFormat/>
    <w:rsid w:val="009602BC"/>
    <w:pPr>
      <w:ind w:left="720"/>
      <w:contextualSpacing/>
    </w:pPr>
  </w:style>
  <w:style w:type="character" w:styleId="IntenseEmphasis">
    <w:name w:val="Intense Emphasis"/>
    <w:basedOn w:val="DefaultParagraphFont"/>
    <w:uiPriority w:val="21"/>
    <w:qFormat/>
    <w:rsid w:val="009602BC"/>
    <w:rPr>
      <w:i/>
      <w:iCs/>
      <w:color w:val="0F4761" w:themeColor="accent1" w:themeShade="BF"/>
    </w:rPr>
  </w:style>
  <w:style w:type="paragraph" w:styleId="IntenseQuote">
    <w:name w:val="Intense Quote"/>
    <w:basedOn w:val="Normal"/>
    <w:next w:val="Normal"/>
    <w:link w:val="IntenseQuoteChar"/>
    <w:uiPriority w:val="30"/>
    <w:qFormat/>
    <w:rsid w:val="009602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02BC"/>
    <w:rPr>
      <w:i/>
      <w:iCs/>
      <w:color w:val="0F4761" w:themeColor="accent1" w:themeShade="BF"/>
    </w:rPr>
  </w:style>
  <w:style w:type="character" w:styleId="IntenseReference">
    <w:name w:val="Intense Reference"/>
    <w:basedOn w:val="DefaultParagraphFont"/>
    <w:uiPriority w:val="32"/>
    <w:qFormat/>
    <w:rsid w:val="009602BC"/>
    <w:rPr>
      <w:b/>
      <w:bCs/>
      <w:smallCaps/>
      <w:color w:val="0F4761" w:themeColor="accent1" w:themeShade="BF"/>
      <w:spacing w:val="5"/>
    </w:rPr>
  </w:style>
  <w:style w:type="paragraph" w:styleId="ListBullet">
    <w:name w:val="List Bullet"/>
    <w:basedOn w:val="Normal"/>
    <w:uiPriority w:val="99"/>
    <w:unhideWhenUsed/>
    <w:rsid w:val="009602BC"/>
    <w:pPr>
      <w:numPr>
        <w:numId w:val="1"/>
      </w:numPr>
      <w:tabs>
        <w:tab w:val="clear" w:pos="360"/>
      </w:tabs>
      <w:ind w:left="0" w:firstLine="0"/>
      <w:contextualSpacing/>
    </w:pPr>
  </w:style>
  <w:style w:type="paragraph" w:styleId="Header">
    <w:name w:val="header"/>
    <w:basedOn w:val="Normal"/>
    <w:link w:val="HeaderChar"/>
    <w:uiPriority w:val="99"/>
    <w:unhideWhenUsed/>
    <w:rsid w:val="009602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02BC"/>
    <w:rPr>
      <w:rFonts w:ascii="Arial" w:hAnsi="Arial"/>
      <w:kern w:val="0"/>
      <w:sz w:val="22"/>
      <w:szCs w:val="22"/>
      <w:lang w:eastAsia="en-US"/>
      <w14:ligatures w14:val="none"/>
    </w:rPr>
  </w:style>
  <w:style w:type="paragraph" w:styleId="Footer">
    <w:name w:val="footer"/>
    <w:basedOn w:val="Normal"/>
    <w:link w:val="FooterChar"/>
    <w:uiPriority w:val="99"/>
    <w:unhideWhenUsed/>
    <w:rsid w:val="009602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02BC"/>
    <w:rPr>
      <w:rFonts w:ascii="Arial" w:hAnsi="Arial"/>
      <w:kern w:val="0"/>
      <w:sz w:val="22"/>
      <w:szCs w:val="22"/>
      <w:lang w:eastAsia="en-US"/>
      <w14:ligatures w14:val="none"/>
    </w:rPr>
  </w:style>
  <w:style w:type="character" w:styleId="Hyperlink">
    <w:name w:val="Hyperlink"/>
    <w:basedOn w:val="DefaultParagraphFont"/>
    <w:uiPriority w:val="99"/>
    <w:unhideWhenUsed/>
    <w:rsid w:val="00AA6B13"/>
    <w:rPr>
      <w:color w:val="467886" w:themeColor="hyperlink"/>
      <w:u w:val="single"/>
    </w:rPr>
  </w:style>
  <w:style w:type="character" w:styleId="UnresolvedMention">
    <w:name w:val="Unresolved Mention"/>
    <w:basedOn w:val="DefaultParagraphFont"/>
    <w:uiPriority w:val="99"/>
    <w:semiHidden/>
    <w:unhideWhenUsed/>
    <w:rsid w:val="00AA6B13"/>
    <w:rPr>
      <w:color w:val="605E5C"/>
      <w:shd w:val="clear" w:color="auto" w:fill="E1DFDD"/>
    </w:rPr>
  </w:style>
  <w:style w:type="character" w:styleId="Strong">
    <w:name w:val="Strong"/>
    <w:basedOn w:val="DefaultParagraphFont"/>
    <w:uiPriority w:val="22"/>
    <w:qFormat/>
    <w:rsid w:val="00C1100D"/>
    <w:rPr>
      <w:b/>
      <w:bCs/>
    </w:rPr>
  </w:style>
  <w:style w:type="character" w:customStyle="1" w:styleId="apple-converted-space">
    <w:name w:val="apple-converted-space"/>
    <w:basedOn w:val="DefaultParagraphFont"/>
    <w:rsid w:val="00C110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st.gov/manufacturing" TargetMode="External"/><Relationship Id="rId13" Type="http://schemas.openxmlformats.org/officeDocument/2006/relationships/hyperlink" Target="https://www.cbo.gov/system/files/2022-09/57254-CBOSS.pdf" TargetMode="External"/><Relationship Id="rId18" Type="http://schemas.openxmlformats.org/officeDocument/2006/relationships/hyperlink" Target="https://taxfoundation.org/research/all/federal/tax-cuts-and-jobs-act-tcja-permanent-analysi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apps.bea.gov/iTable/?reqid=150&amp;step=2" TargetMode="External"/><Relationship Id="rId12" Type="http://schemas.openxmlformats.org/officeDocument/2006/relationships/hyperlink" Target="https://www.cbo.gov/publication/49925" TargetMode="External"/><Relationship Id="rId17" Type="http://schemas.openxmlformats.org/officeDocument/2006/relationships/hyperlink" Target="https://www.whitehouse.gov/wp-content/uploads/2025/03/Economic-Impact-of-Extending-TCJA-Provisions.pdf" TargetMode="External"/><Relationship Id="rId2" Type="http://schemas.openxmlformats.org/officeDocument/2006/relationships/styles" Target="styles.xml"/><Relationship Id="rId16" Type="http://schemas.openxmlformats.org/officeDocument/2006/relationships/hyperlink" Target="https://nam.org/wp-content/uploads/securepdfs/2025/01/NAM_EY_TCJA_Mfg_Provisions_Analysis.pdf"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ensus.gov/construction/c30/c30index.html" TargetMode="External"/><Relationship Id="rId5" Type="http://schemas.openxmlformats.org/officeDocument/2006/relationships/footnotes" Target="footnotes.xml"/><Relationship Id="rId15" Type="http://schemas.openxmlformats.org/officeDocument/2006/relationships/hyperlink" Target="https://www.federalreserve.gov/releases/chargeoff/" TargetMode="External"/><Relationship Id="rId10" Type="http://schemas.openxmlformats.org/officeDocument/2006/relationships/hyperlink" Target="https://reshorenow.org/data/"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jct.gov/publications%20/" TargetMode="External"/><Relationship Id="rId14" Type="http://schemas.openxmlformats.org/officeDocument/2006/relationships/hyperlink" Target="https://www.fdic.gov/analysis/quarterly-banking-profi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5684</Words>
  <Characters>33744</Characters>
  <Application>Microsoft Office Word</Application>
  <DocSecurity>0</DocSecurity>
  <Lines>936</Lines>
  <Paragraphs>382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39225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Rosenblatt</dc:creator>
  <cp:keywords/>
  <dc:description/>
  <cp:lastModifiedBy>Mark Rosenblatt</cp:lastModifiedBy>
  <cp:revision>2</cp:revision>
  <dcterms:created xsi:type="dcterms:W3CDTF">2026-03-29T13:26:00Z</dcterms:created>
  <dcterms:modified xsi:type="dcterms:W3CDTF">2026-03-29T13:26:00Z</dcterms:modified>
  <cp:category/>
</cp:coreProperties>
</file>