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2F47E" w14:textId="07E379C4" w:rsidR="00102D57" w:rsidRPr="00102D57" w:rsidRDefault="00000000" w:rsidP="00102D57">
      <w:pPr>
        <w:pStyle w:val="Title"/>
        <w:pBdr>
          <w:bottom w:val="none" w:sz="0" w:space="0" w:color="auto"/>
        </w:pBdr>
        <w:jc w:val="center"/>
        <w:rPr>
          <w:rFonts w:asciiTheme="majorBidi" w:hAnsiTheme="majorBidi"/>
          <w:color w:val="000000" w:themeColor="text1"/>
          <w:sz w:val="24"/>
          <w:szCs w:val="24"/>
        </w:rPr>
      </w:pPr>
      <w:r w:rsidRPr="00102D57">
        <w:rPr>
          <w:rFonts w:asciiTheme="majorBidi" w:hAnsiTheme="majorBidi"/>
          <w:color w:val="000000" w:themeColor="text1"/>
          <w:sz w:val="24"/>
          <w:szCs w:val="24"/>
        </w:rPr>
        <w:t>Manufacturing Finance Gap</w:t>
      </w:r>
      <w:r w:rsidRPr="00102D57">
        <w:rPr>
          <w:rFonts w:asciiTheme="majorBidi" w:hAnsiTheme="majorBidi"/>
          <w:color w:val="000000" w:themeColor="text1"/>
          <w:sz w:val="24"/>
          <w:szCs w:val="24"/>
        </w:rPr>
        <w:t xml:space="preserve">: Why OBBBA </w:t>
      </w:r>
      <w:r w:rsidRPr="00102D57">
        <w:rPr>
          <w:rFonts w:asciiTheme="majorBidi" w:hAnsiTheme="majorBidi"/>
          <w:color w:val="000000" w:themeColor="text1"/>
          <w:sz w:val="24"/>
          <w:szCs w:val="24"/>
        </w:rPr>
        <w:t xml:space="preserve">and </w:t>
      </w:r>
      <w:r w:rsidRPr="00102D57">
        <w:rPr>
          <w:rFonts w:asciiTheme="majorBidi" w:hAnsiTheme="majorBidi"/>
          <w:color w:val="000000" w:themeColor="text1"/>
          <w:sz w:val="24"/>
          <w:szCs w:val="24"/>
        </w:rPr>
        <w:t>Private Capital Are Not Sufficient to Finance Commercial</w:t>
      </w:r>
      <w:r w:rsidRPr="00102D57">
        <w:rPr>
          <w:rFonts w:asciiTheme="majorBidi" w:hAnsiTheme="majorBidi"/>
          <w:color w:val="000000" w:themeColor="text1"/>
          <w:sz w:val="24"/>
          <w:szCs w:val="24"/>
        </w:rPr>
        <w:t xml:space="preserve"> Manufacturing </w:t>
      </w:r>
      <w:r w:rsidRPr="00102D57">
        <w:rPr>
          <w:rFonts w:asciiTheme="majorBidi" w:hAnsiTheme="majorBidi"/>
          <w:color w:val="000000" w:themeColor="text1"/>
          <w:sz w:val="24"/>
          <w:szCs w:val="24"/>
        </w:rPr>
        <w:t>Reshoring at Scale</w:t>
      </w:r>
    </w:p>
    <w:p w14:paraId="15E8C505" w14:textId="61C4874D"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t>Executive Summary</w:t>
      </w:r>
    </w:p>
    <w:p w14:paraId="1DDB0678" w14:textId="0DA6042F" w:rsidR="00C351DC" w:rsidRPr="00102D57" w:rsidRDefault="00000000">
      <w:pPr>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 xml:space="preserve">The </w:t>
      </w:r>
      <w:r w:rsidRPr="00102D57">
        <w:rPr>
          <w:rFonts w:asciiTheme="majorBidi" w:hAnsiTheme="majorBidi" w:cstheme="majorBidi"/>
          <w:color w:val="000000" w:themeColor="text1"/>
          <w:sz w:val="24"/>
          <w:szCs w:val="24"/>
        </w:rPr>
        <w:t>United States banking system does not finance domestic</w:t>
      </w:r>
      <w:r w:rsidRPr="00102D57">
        <w:rPr>
          <w:rFonts w:asciiTheme="majorBidi" w:hAnsiTheme="majorBidi" w:cstheme="majorBidi"/>
          <w:color w:val="000000" w:themeColor="text1"/>
          <w:sz w:val="24"/>
          <w:szCs w:val="24"/>
        </w:rPr>
        <w:t xml:space="preserve"> manufacturing </w:t>
      </w:r>
      <w:r w:rsidRPr="00102D57">
        <w:rPr>
          <w:rFonts w:asciiTheme="majorBidi" w:hAnsiTheme="majorBidi" w:cstheme="majorBidi"/>
          <w:color w:val="000000" w:themeColor="text1"/>
          <w:sz w:val="24"/>
          <w:szCs w:val="24"/>
        </w:rPr>
        <w:t xml:space="preserve">at the scale or terms that a reshoring agenda requires. </w:t>
      </w:r>
      <w:r w:rsidRPr="00102D57">
        <w:rPr>
          <w:rFonts w:asciiTheme="majorBidi" w:hAnsiTheme="majorBidi" w:cstheme="majorBidi"/>
          <w:color w:val="000000" w:themeColor="text1"/>
          <w:sz w:val="24"/>
          <w:szCs w:val="24"/>
        </w:rPr>
        <w:t xml:space="preserve">The One Big Beautiful Bill Act </w:t>
      </w:r>
      <w:r w:rsidRPr="00102D57">
        <w:rPr>
          <w:rFonts w:asciiTheme="majorBidi" w:hAnsiTheme="majorBidi" w:cstheme="majorBidi"/>
          <w:color w:val="000000" w:themeColor="text1"/>
          <w:sz w:val="24"/>
          <w:szCs w:val="24"/>
        </w:rPr>
        <w:t>(OBBBA, July</w:t>
      </w:r>
      <w:r w:rsidRPr="00102D57">
        <w:rPr>
          <w:rFonts w:asciiTheme="majorBidi" w:hAnsiTheme="majorBidi" w:cstheme="majorBidi"/>
          <w:color w:val="000000" w:themeColor="text1"/>
          <w:sz w:val="24"/>
          <w:szCs w:val="24"/>
        </w:rPr>
        <w:t xml:space="preserve"> 2025</w:t>
      </w:r>
      <w:r w:rsidRPr="00102D57">
        <w:rPr>
          <w:rFonts w:asciiTheme="majorBidi" w:hAnsiTheme="majorBidi" w:cstheme="majorBidi"/>
          <w:color w:val="000000" w:themeColor="text1"/>
          <w:sz w:val="24"/>
          <w:szCs w:val="24"/>
        </w:rPr>
        <w:t>) materially</w:t>
      </w:r>
      <w:r w:rsidRPr="00102D57">
        <w:rPr>
          <w:rFonts w:asciiTheme="majorBidi" w:hAnsiTheme="majorBidi" w:cstheme="majorBidi"/>
          <w:color w:val="000000" w:themeColor="text1"/>
          <w:sz w:val="24"/>
          <w:szCs w:val="24"/>
        </w:rPr>
        <w:t xml:space="preserve"> improves the tax </w:t>
      </w:r>
      <w:r w:rsidRPr="00102D57">
        <w:rPr>
          <w:rFonts w:asciiTheme="majorBidi" w:hAnsiTheme="majorBidi" w:cstheme="majorBidi"/>
          <w:color w:val="000000" w:themeColor="text1"/>
          <w:sz w:val="24"/>
          <w:szCs w:val="24"/>
        </w:rPr>
        <w:t>economics</w:t>
      </w:r>
      <w:r w:rsidRPr="00102D57">
        <w:rPr>
          <w:rFonts w:asciiTheme="majorBidi" w:hAnsiTheme="majorBidi" w:cstheme="majorBidi"/>
          <w:color w:val="000000" w:themeColor="text1"/>
          <w:sz w:val="24"/>
          <w:szCs w:val="24"/>
        </w:rPr>
        <w:t xml:space="preserve"> of manufacturing investment</w:t>
      </w:r>
      <w:r w:rsidRPr="00102D57">
        <w:rPr>
          <w:rFonts w:asciiTheme="majorBidi" w:hAnsiTheme="majorBidi" w:cstheme="majorBidi"/>
          <w:color w:val="000000" w:themeColor="text1"/>
          <w:sz w:val="24"/>
          <w:szCs w:val="24"/>
        </w:rPr>
        <w:t xml:space="preserve">, potentially raising </w:t>
      </w:r>
      <w:r w:rsidRPr="00102D57">
        <w:rPr>
          <w:rFonts w:asciiTheme="majorBidi" w:hAnsiTheme="majorBidi" w:cstheme="majorBidi"/>
          <w:color w:val="000000" w:themeColor="text1"/>
          <w:sz w:val="24"/>
          <w:szCs w:val="24"/>
        </w:rPr>
        <w:t xml:space="preserve">manufacturing </w:t>
      </w:r>
      <w:r w:rsidRPr="00102D57">
        <w:rPr>
          <w:rFonts w:asciiTheme="majorBidi" w:hAnsiTheme="majorBidi" w:cstheme="majorBidi"/>
          <w:color w:val="000000" w:themeColor="text1"/>
          <w:sz w:val="24"/>
          <w:szCs w:val="24"/>
        </w:rPr>
        <w:t xml:space="preserve">IRRs by 200–400 basis points. But it does not provide capital, lower interest rates to competitive levels, or resolve the structural collateral and duration mismatches that drive chronic underfinancing of mid-tier manufacturers. Furthermore, existing tax architecture—specifically the Corporate Alternative Minimum Tax (CAMT)—actively neutralizes these very tax benefits for </w:t>
      </w:r>
      <w:r w:rsidRPr="00102D57">
        <w:rPr>
          <w:rFonts w:asciiTheme="majorBidi" w:hAnsiTheme="majorBidi" w:cstheme="majorBidi"/>
          <w:color w:val="000000" w:themeColor="text1"/>
          <w:sz w:val="24"/>
          <w:szCs w:val="24"/>
        </w:rPr>
        <w:t xml:space="preserve">large, </w:t>
      </w:r>
      <w:r w:rsidRPr="00102D57">
        <w:rPr>
          <w:rFonts w:asciiTheme="majorBidi" w:hAnsiTheme="majorBidi" w:cstheme="majorBidi"/>
          <w:color w:val="000000" w:themeColor="text1"/>
          <w:sz w:val="24"/>
          <w:szCs w:val="24"/>
        </w:rPr>
        <w:t>capital-intensive manufacturers, a vulnerability the OBBBA does not address</w:t>
      </w:r>
      <w:r w:rsidRPr="00102D57">
        <w:rPr>
          <w:rFonts w:asciiTheme="majorBidi" w:hAnsiTheme="majorBidi" w:cstheme="majorBidi"/>
          <w:color w:val="000000" w:themeColor="text1"/>
          <w:sz w:val="24"/>
          <w:szCs w:val="24"/>
        </w:rPr>
        <w:t>.</w:t>
      </w:r>
    </w:p>
    <w:p w14:paraId="7693DF2A" w14:textId="724EFEB7" w:rsidR="00C351DC" w:rsidRPr="00102D57" w:rsidRDefault="00000000">
      <w:pPr>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 xml:space="preserve">Simultaneously, sustained tariff uncertainty is suppressing the investment that OBBBA’s tax improvements are designed to </w:t>
      </w:r>
      <w:proofErr w:type="gramStart"/>
      <w:r w:rsidRPr="00102D57">
        <w:rPr>
          <w:rFonts w:asciiTheme="majorBidi" w:hAnsiTheme="majorBidi" w:cstheme="majorBidi"/>
          <w:color w:val="000000" w:themeColor="text1"/>
          <w:sz w:val="24"/>
          <w:szCs w:val="24"/>
        </w:rPr>
        <w:t>unlock:</w:t>
      </w:r>
      <w:proofErr w:type="gramEnd"/>
      <w:r w:rsidRPr="00102D57">
        <w:rPr>
          <w:rFonts w:asciiTheme="majorBidi" w:hAnsiTheme="majorBidi" w:cstheme="majorBidi"/>
          <w:color w:val="000000" w:themeColor="text1"/>
          <w:sz w:val="24"/>
          <w:szCs w:val="24"/>
        </w:rPr>
        <w:t xml:space="preserve"> capital expenditure projections reversed by 6.5 percentage points in 2025, and the Federal Reserve has documented active bank credit contraction at institutions most exposed to tariff-sensitive borrowers. Meanwhile, private credit markets—often cited as a substitute for bank lending—charge rates of 9–13%+, widening rather than closing the gap with Germany’s KfW benchmarks of 1.51–3.18%. The financing gap, guaranteed long-duration capital at rates competitive with KfW benchmarks</w:t>
      </w:r>
      <w:r w:rsidRPr="00102D57">
        <w:rPr>
          <w:rFonts w:asciiTheme="majorBidi" w:hAnsiTheme="majorBidi" w:cstheme="majorBidi"/>
          <w:color w:val="000000" w:themeColor="text1"/>
          <w:sz w:val="24"/>
          <w:szCs w:val="24"/>
          <w:vertAlign w:val="superscript"/>
        </w:rPr>
        <w:t>1</w:t>
      </w:r>
      <w:r w:rsidRPr="00102D57">
        <w:rPr>
          <w:rFonts w:asciiTheme="majorBidi" w:hAnsiTheme="majorBidi" w:cstheme="majorBidi"/>
          <w:color w:val="000000" w:themeColor="text1"/>
          <w:sz w:val="24"/>
          <w:szCs w:val="24"/>
        </w:rPr>
        <w:t>, remains the missing variable that neither OBBBA, tariffs, nor private capital markets provide.</w:t>
      </w:r>
    </w:p>
    <w:p w14:paraId="21E54998" w14:textId="77777777"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t>Part I: Structural Bank Lending Constraints — The Pre-OBBBA Baseline</w:t>
      </w:r>
    </w:p>
    <w:p w14:paraId="7444FEF1" w14:textId="77777777" w:rsidR="00C351DC" w:rsidRPr="00102D57" w:rsidRDefault="00000000">
      <w:pPr>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The financing problem predates the current legislative environment and is structural, not cyclical. U.S. commercial banks have systematically underfinanced manufacturing for reasons rooted in regulatory capital treatment, collateral characteristics, and loan duration mismatches — none of which OBBBA addresses.</w:t>
      </w:r>
    </w:p>
    <w:p w14:paraId="15F562A2"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 xml:space="preserve">I.A </w:t>
      </w:r>
      <w:proofErr w:type="gramStart"/>
      <w:r w:rsidRPr="00102D57">
        <w:rPr>
          <w:rFonts w:asciiTheme="majorBidi" w:hAnsiTheme="majorBidi"/>
          <w:color w:val="000000" w:themeColor="text1"/>
          <w:sz w:val="24"/>
          <w:szCs w:val="24"/>
        </w:rPr>
        <w:t>The</w:t>
      </w:r>
      <w:proofErr w:type="gramEnd"/>
      <w:r w:rsidRPr="00102D57">
        <w:rPr>
          <w:rFonts w:asciiTheme="majorBidi" w:hAnsiTheme="majorBidi"/>
          <w:color w:val="000000" w:themeColor="text1"/>
          <w:sz w:val="24"/>
          <w:szCs w:val="24"/>
        </w:rPr>
        <w:t xml:space="preserve"> Senior Loan Officer Survey (SLOOS) — Sustained C&amp;I Tightening</w:t>
      </w:r>
    </w:p>
    <w:p w14:paraId="01D596B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The </w:t>
      </w:r>
      <w:hyperlink r:id="rId8">
        <w:r w:rsidRPr="005302F0">
          <w:rPr>
            <w:rFonts w:asciiTheme="majorBidi" w:hAnsiTheme="majorBidi" w:cstheme="majorBidi"/>
            <w:color w:val="0000EE"/>
            <w:sz w:val="24"/>
            <w:szCs w:val="24"/>
            <w:u w:val="single"/>
          </w:rPr>
          <w:t>Federal Reserve’s Senior Loan Officer Opinion Survey (April 2025)</w:t>
        </w:r>
      </w:hyperlink>
      <w:r w:rsidRPr="005302F0">
        <w:rPr>
          <w:rFonts w:asciiTheme="majorBidi" w:hAnsiTheme="majorBidi" w:cstheme="majorBidi"/>
          <w:sz w:val="24"/>
          <w:szCs w:val="24"/>
        </w:rPr>
        <w:t xml:space="preserve"> documents sustained tightening of commercial and industrial (C&amp;I) lending standards through 2024–2025. Banks explicitly cited decreased customer investment in plant and equipment as the primary driver of weakening loan demand, a self-reinforcing dynamic: manufacturers reduce capex plans in response to tight credit, which banks then interpret as reduced loan demand, justifying further tightening. The October 2024 SLOOS identified the same pattern, with large banks in particular tightening collateral requirements and shortening maximum loan maturities for C&amp;I borrowers.</w:t>
      </w:r>
    </w:p>
    <w:p w14:paraId="7A04280C"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lastRenderedPageBreak/>
        <w:t>I.B Chicago Fed — Financing Access Is the Binding Constraint</w:t>
      </w:r>
    </w:p>
    <w:p w14:paraId="0C814355" w14:textId="77777777" w:rsidR="00C351DC" w:rsidRPr="005302F0" w:rsidRDefault="00000000">
      <w:pPr>
        <w:rPr>
          <w:rFonts w:asciiTheme="majorBidi" w:hAnsiTheme="majorBidi" w:cstheme="majorBidi"/>
          <w:sz w:val="24"/>
          <w:szCs w:val="24"/>
        </w:rPr>
      </w:pPr>
      <w:hyperlink r:id="rId9">
        <w:r w:rsidRPr="005302F0">
          <w:rPr>
            <w:rFonts w:asciiTheme="majorBidi" w:hAnsiTheme="majorBidi" w:cstheme="majorBidi"/>
            <w:color w:val="0000EE"/>
            <w:sz w:val="24"/>
            <w:szCs w:val="24"/>
            <w:u w:val="single"/>
          </w:rPr>
          <w:t>Chicago Fed research (2024)</w:t>
        </w:r>
      </w:hyperlink>
      <w:r w:rsidRPr="005302F0">
        <w:rPr>
          <w:rFonts w:asciiTheme="majorBidi" w:hAnsiTheme="majorBidi" w:cstheme="majorBidi"/>
          <w:sz w:val="24"/>
          <w:szCs w:val="24"/>
        </w:rPr>
        <w:t xml:space="preserve"> finds that access to financing is the single largest barrier to manufacturing equipment investment — ranking ahead of equipment cost, labor availability, and regulatory factors. This is a structural finding, not a cyclical one: the inability to obtain financing on suitable terms constrains manufacturing capital formation more than any operational factor. This finding directly refutes the assumption that tax-side improvements (like OBBBA’s bonus depreciation) are sufficient to unlock manufacturing investment; the binding constraint is capital availability, not tax economics.</w:t>
      </w:r>
    </w:p>
    <w:p w14:paraId="5600DEBB"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I.C SBA — Small Manufacturer Financing Unmet Need</w:t>
      </w:r>
    </w:p>
    <w:p w14:paraId="7A6D9761"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The </w:t>
      </w:r>
      <w:hyperlink r:id="rId10">
        <w:r w:rsidRPr="005302F0">
          <w:rPr>
            <w:rFonts w:asciiTheme="majorBidi" w:hAnsiTheme="majorBidi" w:cstheme="majorBidi"/>
            <w:color w:val="0000EE"/>
            <w:sz w:val="24"/>
            <w:szCs w:val="24"/>
            <w:u w:val="single"/>
          </w:rPr>
          <w:t>SBA (2024)</w:t>
        </w:r>
      </w:hyperlink>
      <w:r w:rsidRPr="005302F0">
        <w:rPr>
          <w:rFonts w:asciiTheme="majorBidi" w:hAnsiTheme="majorBidi" w:cstheme="majorBidi"/>
          <w:sz w:val="24"/>
          <w:szCs w:val="24"/>
        </w:rPr>
        <w:t xml:space="preserve"> reports that only 42% of small business financing needs are met, with just 31% of applicants receiving the full amount requested. Small and mid-tier manufacturers — the precise population that MISA targets — are disproportionately affected: they lack the balance sheet size to access syndicated credit markets, the real estate collateral banks prefer, and the track record required for conventional underwriting of long-duration capital investment loans.</w:t>
      </w:r>
    </w:p>
    <w:p w14:paraId="59555035"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I.D Conference of State Bank Supervisors — Market Concentration Problem</w:t>
      </w:r>
    </w:p>
    <w:p w14:paraId="38F2F7B7"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The </w:t>
      </w:r>
      <w:hyperlink r:id="rId11">
        <w:r w:rsidRPr="005302F0">
          <w:rPr>
            <w:rFonts w:asciiTheme="majorBidi" w:hAnsiTheme="majorBidi" w:cstheme="majorBidi"/>
            <w:color w:val="0000EE"/>
            <w:sz w:val="24"/>
            <w:szCs w:val="24"/>
            <w:u w:val="single"/>
          </w:rPr>
          <w:t>Conference of State Bank Supervisors</w:t>
        </w:r>
      </w:hyperlink>
      <w:r w:rsidRPr="005302F0">
        <w:rPr>
          <w:rFonts w:asciiTheme="majorBidi" w:hAnsiTheme="majorBidi" w:cstheme="majorBidi"/>
          <w:sz w:val="24"/>
          <w:szCs w:val="24"/>
        </w:rPr>
        <w:t xml:space="preserve"> documents that C&amp;I lending is heavily concentrated at the top of the market: four banks (JPMorgan, Wells Fargo, Bank of America, Citi) hold 39% of all C&amp;I loans. Community and regional banks — the institutions that historically served mid-tier manufacturers — show an overall reluctance to do cash-flow lending until a company has reached considerable size. This is precisely the condition that excludes most mid-tier manufacturers from conventional bank underwriting, and it is a structural characteristic of the market, not a response to any </w:t>
      </w:r>
      <w:proofErr w:type="gramStart"/>
      <w:r w:rsidRPr="005302F0">
        <w:rPr>
          <w:rFonts w:asciiTheme="majorBidi" w:hAnsiTheme="majorBidi" w:cstheme="majorBidi"/>
          <w:sz w:val="24"/>
          <w:szCs w:val="24"/>
        </w:rPr>
        <w:t>particular economic</w:t>
      </w:r>
      <w:proofErr w:type="gramEnd"/>
      <w:r w:rsidRPr="005302F0">
        <w:rPr>
          <w:rFonts w:asciiTheme="majorBidi" w:hAnsiTheme="majorBidi" w:cstheme="majorBidi"/>
          <w:sz w:val="24"/>
          <w:szCs w:val="24"/>
        </w:rPr>
        <w:t xml:space="preserve"> condition.</w:t>
      </w:r>
    </w:p>
    <w:p w14:paraId="5C1607FD"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I.E The Collateral Structure Problem</w:t>
      </w:r>
    </w:p>
    <w:p w14:paraId="543D4CF3"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The structural bias is real: banks lend against real estate at approximately 50% LTV with clear, liquid liquidation paths. Manufacturing collateral is purpose-built, illiquid, and </w:t>
      </w:r>
      <w:proofErr w:type="gramStart"/>
      <w:r w:rsidRPr="005302F0">
        <w:rPr>
          <w:rFonts w:asciiTheme="majorBidi" w:hAnsiTheme="majorBidi" w:cstheme="majorBidi"/>
          <w:sz w:val="24"/>
          <w:szCs w:val="24"/>
        </w:rPr>
        <w:t>sector-specific</w:t>
      </w:r>
      <w:proofErr w:type="gramEnd"/>
      <w:r w:rsidRPr="005302F0">
        <w:rPr>
          <w:rFonts w:asciiTheme="majorBidi" w:hAnsiTheme="majorBidi" w:cstheme="majorBidi"/>
          <w:sz w:val="24"/>
          <w:szCs w:val="24"/>
        </w:rPr>
        <w:t xml:space="preserve">. A stamping press or injection molding line has limited resale value outside its industrial application. This makes manufacturing assets systematically </w:t>
      </w:r>
      <w:proofErr w:type="spellStart"/>
      <w:r w:rsidRPr="005302F0">
        <w:rPr>
          <w:rFonts w:asciiTheme="majorBidi" w:hAnsiTheme="majorBidi" w:cstheme="majorBidi"/>
          <w:sz w:val="24"/>
          <w:szCs w:val="24"/>
        </w:rPr>
        <w:t>underfinanceable</w:t>
      </w:r>
      <w:proofErr w:type="spellEnd"/>
      <w:r w:rsidRPr="005302F0">
        <w:rPr>
          <w:rFonts w:asciiTheme="majorBidi" w:hAnsiTheme="majorBidi" w:cstheme="majorBidi"/>
          <w:sz w:val="24"/>
          <w:szCs w:val="24"/>
        </w:rPr>
        <w:t xml:space="preserve"> by conventional underwriting standards — not because of any deficiency in the borrower, but because the asset class is inherently unsuited to bank balance sheet risk management. No tax provision changes this arithmetic.</w:t>
      </w:r>
    </w:p>
    <w:p w14:paraId="4EBDF086" w14:textId="77777777"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lastRenderedPageBreak/>
        <w:t>Part II: Post-OBBBA and Tariff Environment (2025–2026)</w:t>
      </w:r>
    </w:p>
    <w:p w14:paraId="67C1343F"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II.A OBBBA — What It Does for Manufacturing Finance</w:t>
      </w:r>
    </w:p>
    <w:p w14:paraId="79FE407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Signed July 4, 2025, the One Big Beautiful Bill Act (OBBBA) materially improves the tax economics of manufacturing investment through four interlocking provisions. As confirmed by </w:t>
      </w:r>
      <w:hyperlink r:id="rId12">
        <w:r w:rsidRPr="005302F0">
          <w:rPr>
            <w:rFonts w:asciiTheme="majorBidi" w:hAnsiTheme="majorBidi" w:cstheme="majorBidi"/>
            <w:color w:val="0000EE"/>
            <w:sz w:val="24"/>
            <w:szCs w:val="24"/>
            <w:u w:val="single"/>
          </w:rPr>
          <w:t>Warren Averett</w:t>
        </w:r>
      </w:hyperlink>
      <w:r w:rsidRPr="005302F0">
        <w:rPr>
          <w:rFonts w:asciiTheme="majorBidi" w:hAnsiTheme="majorBidi" w:cstheme="majorBidi"/>
          <w:sz w:val="24"/>
          <w:szCs w:val="24"/>
        </w:rPr>
        <w:t xml:space="preserve">, the Act permanently restores 100% bonus depreciation for qualified property placed in service after January 19, 2025 — reversing the scheduled phase-out to 40% in 2025 and zero by 2027. The EBITDA-based Section 163(j) interest deductibility limit is restored, directly lowering the after-tax cost of borrowing for capital-intensive manufacturers who carry high depreciation and amortization loads. The Act’s most transformative provision allows 100% immediate expensing for Qualified Production Property (QPP) — new manufacturing facilities with construction beginning before January 1, 2029 — allowing full cost deduction in year one rather than over 39 years. </w:t>
      </w:r>
      <w:hyperlink r:id="rId13">
        <w:r w:rsidRPr="005302F0">
          <w:rPr>
            <w:rFonts w:asciiTheme="majorBidi" w:hAnsiTheme="majorBidi" w:cstheme="majorBidi"/>
            <w:color w:val="0000EE"/>
            <w:sz w:val="24"/>
            <w:szCs w:val="24"/>
            <w:u w:val="single"/>
          </w:rPr>
          <w:t>Paul Hastings projects</w:t>
        </w:r>
      </w:hyperlink>
      <w:r w:rsidRPr="005302F0">
        <w:rPr>
          <w:rFonts w:asciiTheme="majorBidi" w:hAnsiTheme="majorBidi" w:cstheme="majorBidi"/>
          <w:sz w:val="24"/>
          <w:szCs w:val="24"/>
        </w:rPr>
        <w:t xml:space="preserve"> that the combined impact of bonus depreciation, QPP provisions, and R&amp;D expensing could improve manufacturing IRRs by 200–400 basis points.</w:t>
      </w:r>
    </w:p>
    <w:p w14:paraId="29FCA89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 xml:space="preserve">OBBBA’s ceiling: </w:t>
      </w:r>
      <w:r w:rsidRPr="005302F0">
        <w:rPr>
          <w:rFonts w:asciiTheme="majorBidi" w:hAnsiTheme="majorBidi" w:cstheme="majorBidi"/>
          <w:sz w:val="24"/>
          <w:szCs w:val="24"/>
        </w:rPr>
        <w:t>OBBBA improves the tax economics of deploying capital. It does not provide capital, lower interest rates to competitive levels, extend loan maturities, or resolve the collateral mismatch that prevents banks from underwriting long-duration industrial loans. A manufacturer who cannot obtain financing does not benefit from a first-year write-off on a facility they cannot build. The 200–400 bps IRR improvement is real but incomplete.</w:t>
      </w:r>
    </w:p>
    <w:p w14:paraId="5CDC9713" w14:textId="77777777" w:rsidR="00C351DC" w:rsidRPr="005302F0" w:rsidRDefault="00000000">
      <w:pPr>
        <w:pStyle w:val="Heading2"/>
        <w:rPr>
          <w:rFonts w:asciiTheme="majorBidi" w:hAnsiTheme="majorBidi"/>
          <w:sz w:val="24"/>
          <w:szCs w:val="24"/>
        </w:rPr>
      </w:pPr>
      <w:r w:rsidRPr="00102D57">
        <w:rPr>
          <w:rFonts w:asciiTheme="majorBidi" w:hAnsiTheme="majorBidi"/>
          <w:color w:val="000000" w:themeColor="text1"/>
          <w:sz w:val="24"/>
          <w:szCs w:val="24"/>
        </w:rPr>
        <w:t>II.B The CAMT Neutralization Effect — A Structural Vulnerability in OBBBA</w:t>
      </w:r>
    </w:p>
    <w:p w14:paraId="159C952A"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Even the tax benefits OBBBA provides are structurally vulnerable to existing tax architecture. According to analysis by the </w:t>
      </w:r>
      <w:hyperlink r:id="rId14">
        <w:r w:rsidRPr="005302F0">
          <w:rPr>
            <w:rFonts w:asciiTheme="majorBidi" w:hAnsiTheme="majorBidi" w:cstheme="majorBidi"/>
            <w:color w:val="0000EE"/>
            <w:sz w:val="24"/>
            <w:szCs w:val="24"/>
            <w:u w:val="single"/>
          </w:rPr>
          <w:t>Tax Policy Center (Brookings Institution, November 2025)</w:t>
        </w:r>
      </w:hyperlink>
      <w:r w:rsidRPr="005302F0">
        <w:rPr>
          <w:rFonts w:asciiTheme="majorBidi" w:hAnsiTheme="majorBidi" w:cstheme="majorBidi"/>
          <w:sz w:val="24"/>
          <w:szCs w:val="24"/>
        </w:rPr>
        <w:t>, the 15% Corporate Alternative Minimum Tax (CAMT) actively neutralizes OBBBA’s pro-investment incentives for large manufacturers. The mechanism is as follows: large corporations must measure profit in two ways — taxable income (under the Internal Revenue Code) and financial statement "book income" (under GAAP). The CAMT, enacted in 2022, requires large corporations with average adjusted book income above $1 billion to pay the greater of their regular tax liability or 15% of Adjusted Financial Statement Income (AFSI).</w:t>
      </w:r>
    </w:p>
    <w:p w14:paraId="331316E5"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Because OBBBA’s provisions — bonus depreciation, QPP expensing, R&amp;D expensing, and enhanced interest deductibility — reduce taxable income without affecting book income, they widen the gap between the two measures. This makes the CAMT a binding constraint, meaning that for many capital-intensive manufacturers, the new incentives do not reduce total taxes paid even though they reduce taxable income. The Tax Policy Center identifies three specific collision points:</w:t>
      </w:r>
    </w:p>
    <w:p w14:paraId="7E62103A"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b/>
          <w:sz w:val="24"/>
          <w:szCs w:val="24"/>
        </w:rPr>
        <w:lastRenderedPageBreak/>
        <w:t xml:space="preserve">Domestic R&amp;D Expensing: </w:t>
      </w:r>
      <w:r w:rsidRPr="005302F0">
        <w:rPr>
          <w:rFonts w:asciiTheme="majorBidi" w:hAnsiTheme="majorBidi" w:cstheme="majorBidi"/>
          <w:sz w:val="24"/>
          <w:szCs w:val="24"/>
        </w:rPr>
        <w:t>Research spending is already fully expensed for book purposes. OBBBA’s restoration of immediate R&amp;D expensing lowers taxable income but leaves AFSI unchanged, increasing CAMT exposure.</w:t>
      </w:r>
    </w:p>
    <w:p w14:paraId="13157463"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b/>
          <w:sz w:val="24"/>
          <w:szCs w:val="24"/>
        </w:rPr>
        <w:t xml:space="preserve">Business Interest Deductibility: </w:t>
      </w:r>
      <w:r w:rsidRPr="005302F0">
        <w:rPr>
          <w:rFonts w:asciiTheme="majorBidi" w:hAnsiTheme="majorBidi" w:cstheme="majorBidi"/>
          <w:sz w:val="24"/>
          <w:szCs w:val="24"/>
        </w:rPr>
        <w:t>Book income already reflects full interest expense. The OBBBA’s more generous deduction only lowers taxable income, again widening the book-tax gap.</w:t>
      </w:r>
    </w:p>
    <w:p w14:paraId="391EC26C"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b/>
          <w:sz w:val="24"/>
          <w:szCs w:val="24"/>
        </w:rPr>
        <w:t xml:space="preserve">Manufacturing Facility Expensing (QPP): </w:t>
      </w:r>
      <w:r w:rsidRPr="005302F0">
        <w:rPr>
          <w:rFonts w:asciiTheme="majorBidi" w:hAnsiTheme="majorBidi" w:cstheme="majorBidi"/>
          <w:sz w:val="24"/>
          <w:szCs w:val="24"/>
        </w:rPr>
        <w:t>Unless Treasury extends the same special adjustment that applies to equipment depreciation, taxable income will fall immediately while AFSI declines slowly, increasing CAMT exposure for the very provision most critical to reshoring.</w:t>
      </w:r>
    </w:p>
    <w:p w14:paraId="28BAC7AB" w14:textId="77777777"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lastRenderedPageBreak/>
        <w:t>A likely objection is that the CAMT is a timing mechanism, not a permanent tax: under 26 USC §53, any CAMT "top-up" payment generates a minimum tax credit (MTC) that carries forward indefinitely and can offset future regular tax liability in years when regular tax exceeds the CAMT threshold. This is technically correct but does not resolve the investment problem for three reasons.</w:t>
      </w:r>
    </w:p>
    <w:p w14:paraId="6EB2BD13" w14:textId="5A0C663B"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t>First, the credit is recovered in nominal dollars with no interest or inflation adjustment. At the 7–11% cost of capital that mid-tier manufacturers face, a dollar of CAMT paid in the investment year is worth roughly $0.51–$0.61 when recovered seven years later. The credit makes the manufacturer whole on paper but not in present-value terms.</w:t>
      </w:r>
    </w:p>
    <w:p w14:paraId="01B3BC98" w14:textId="77777777"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t>Second, the carryforward inverts the cash flow timing that OBBBA was specifically designed to create. The entire point of 100% bonus depreciation and QPP expensing is to front-load the tax benefit into the investment year — improving cash flow precisely when the manufacturer needs capital to build the factory. The CAMT claws back that front-loaded benefit and converts it into a deferred credit recoverable in future years. For a manufacturer deciding whether to break ground in 2026, a credit recoverable in 2031 does not help finance construction today. The carryforward converts an immediate incentive into a deferred one — exactly backwards for the policy objective.</w:t>
      </w:r>
    </w:p>
    <w:p w14:paraId="05DDDA2E" w14:textId="77777777"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t>Third, firms engaged in sustained capital expansion — as reshoring at scale requires — may never exit CAMT status to use the accumulated credits. As the Congressional Research Service notes, "ongoing expenditures that lead to these differences create ongoing differences between book and tax income." A manufacturer that continuously invests will continuously widen the book-tax gap, perpetually remaining above the CAMT threshold. The credits accumulate but never activate.</w:t>
      </w:r>
    </w:p>
    <w:p w14:paraId="655D1FAD" w14:textId="77777777"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t>Treasury's February 2026 guidance (Notice 2026-7) introduced additional AFSI adjustments for R&amp;D amortization, repair expenses, and intangible amortization — which the National Association of Manufacturers called "a step toward fixing a fundamentally unworkable regime." The NAM's own language concedes the regime remains structurally problematic even after the administrative fix. These are regulatory adjustments, not statutory changes, and can be revised by future administrations.</w:t>
      </w:r>
    </w:p>
    <w:p w14:paraId="3A59CF5B" w14:textId="2B07CD56" w:rsidR="009E48A8" w:rsidRDefault="009E48A8" w:rsidP="009E48A8">
      <w:pPr>
        <w:pStyle w:val="Heading2"/>
        <w:rPr>
          <w:rFonts w:asciiTheme="majorBidi" w:eastAsiaTheme="minorEastAsia" w:hAnsiTheme="majorBidi"/>
          <w:b w:val="0"/>
          <w:bCs w:val="0"/>
          <w:color w:val="auto"/>
          <w:sz w:val="24"/>
          <w:szCs w:val="24"/>
        </w:rPr>
      </w:pPr>
      <w:r w:rsidRPr="009E48A8">
        <w:rPr>
          <w:rFonts w:asciiTheme="majorBidi" w:eastAsiaTheme="minorEastAsia" w:hAnsiTheme="majorBidi"/>
          <w:b w:val="0"/>
          <w:bCs w:val="0"/>
          <w:color w:val="auto"/>
          <w:sz w:val="24"/>
          <w:szCs w:val="24"/>
        </w:rPr>
        <w:t>This finding reinforces the core premise: tax policy alone is an insufficient and structurally flawed mechanism for driving industrial capacity expansion. Even when Congress enacts pro-investment provisions, existing tax architecture can neutralize their intended effect — and the nominal credit carryforward does not restore the time-value or cash-flow benefits that manufacturing investment decisions require.</w:t>
      </w:r>
      <w:r w:rsidRPr="009E48A8">
        <w:rPr>
          <w:rFonts w:asciiTheme="majorBidi" w:eastAsiaTheme="minorEastAsia" w:hAnsiTheme="majorBidi"/>
          <w:b w:val="0"/>
          <w:bCs w:val="0"/>
          <w:color w:val="auto"/>
          <w:sz w:val="24"/>
          <w:szCs w:val="24"/>
        </w:rPr>
        <w:t xml:space="preserve"> </w:t>
      </w:r>
    </w:p>
    <w:p w14:paraId="0E49F8FC" w14:textId="6BB28309" w:rsidR="00C351DC" w:rsidRPr="00102D57" w:rsidRDefault="00000000" w:rsidP="009E48A8">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II.C Tariffs — The Simultaneous Suppressive Force</w:t>
      </w:r>
    </w:p>
    <w:p w14:paraId="46E19FA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lastRenderedPageBreak/>
        <w:t>Tariff policy enacted in 2025 is working directly against the investment OBBBA was designed to unlock. The evidence is unambiguous across multiple independent sources:</w:t>
      </w:r>
    </w:p>
    <w:p w14:paraId="58B6CE24" w14:textId="77777777" w:rsidR="00C351DC" w:rsidRPr="005302F0" w:rsidRDefault="00000000">
      <w:pPr>
        <w:pStyle w:val="ListBullet"/>
        <w:rPr>
          <w:rFonts w:asciiTheme="majorBidi" w:hAnsiTheme="majorBidi" w:cstheme="majorBidi"/>
          <w:sz w:val="24"/>
          <w:szCs w:val="24"/>
        </w:rPr>
      </w:pPr>
      <w:hyperlink r:id="rId15">
        <w:r w:rsidRPr="005302F0">
          <w:rPr>
            <w:rFonts w:asciiTheme="majorBidi" w:hAnsiTheme="majorBidi" w:cstheme="majorBidi"/>
            <w:color w:val="0000EE"/>
            <w:sz w:val="24"/>
            <w:szCs w:val="24"/>
            <w:u w:val="single"/>
          </w:rPr>
          <w:t>ISM’s 2025 semiannual forecast</w:t>
        </w:r>
      </w:hyperlink>
      <w:r w:rsidRPr="005302F0">
        <w:rPr>
          <w:rFonts w:asciiTheme="majorBidi" w:hAnsiTheme="majorBidi" w:cstheme="majorBidi"/>
          <w:sz w:val="24"/>
          <w:szCs w:val="24"/>
        </w:rPr>
        <w:t xml:space="preserve"> shows manufacturer capital expenditure expectations reversed from a projected +5.2% to −1.3% — a 6.5 percentage point swing driven explicitly by tariff cost and uncertainty. This is among the sharpest investment reversal signals in recent ISM survey history.</w:t>
      </w:r>
    </w:p>
    <w:p w14:paraId="780F1A4F"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 xml:space="preserve">The </w:t>
      </w:r>
      <w:hyperlink r:id="rId16">
        <w:r w:rsidRPr="005302F0">
          <w:rPr>
            <w:rFonts w:asciiTheme="majorBidi" w:hAnsiTheme="majorBidi" w:cstheme="majorBidi"/>
            <w:color w:val="0000EE"/>
            <w:sz w:val="24"/>
            <w:szCs w:val="24"/>
            <w:u w:val="single"/>
          </w:rPr>
          <w:t>Joint Economic Committee estimates</w:t>
        </w:r>
      </w:hyperlink>
      <w:r w:rsidRPr="005302F0">
        <w:rPr>
          <w:rFonts w:asciiTheme="majorBidi" w:hAnsiTheme="majorBidi" w:cstheme="majorBidi"/>
          <w:sz w:val="24"/>
          <w:szCs w:val="24"/>
        </w:rPr>
        <w:t xml:space="preserve"> $490 billion in foregone manufacturing investment by 2029 from sustained tariff uncertainty — exceeding the entire projected 10-year cost of the MISA legislative package.</w:t>
      </w:r>
    </w:p>
    <w:p w14:paraId="767143BA"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ISM’s December 2025 PMI registered the lowest reading of the year, with the Employment Index in contraction territory for all but one month of 2025. The only month of expansion was January 2025 at 50.3.</w:t>
      </w:r>
    </w:p>
    <w:p w14:paraId="72404083" w14:textId="77777777" w:rsidR="00C351DC" w:rsidRPr="005302F0" w:rsidRDefault="00000000">
      <w:pPr>
        <w:pStyle w:val="ListBullet"/>
        <w:rPr>
          <w:rFonts w:asciiTheme="majorBidi" w:hAnsiTheme="majorBidi" w:cstheme="majorBidi"/>
          <w:sz w:val="24"/>
          <w:szCs w:val="24"/>
        </w:rPr>
      </w:pPr>
      <w:hyperlink r:id="rId17">
        <w:r w:rsidRPr="005302F0">
          <w:rPr>
            <w:rFonts w:asciiTheme="majorBidi" w:hAnsiTheme="majorBidi" w:cstheme="majorBidi"/>
            <w:color w:val="0000EE"/>
            <w:sz w:val="24"/>
            <w:szCs w:val="24"/>
            <w:u w:val="single"/>
          </w:rPr>
          <w:t>Cato Institute analysis (January 2026)</w:t>
        </w:r>
      </w:hyperlink>
      <w:r w:rsidRPr="005302F0">
        <w:rPr>
          <w:rFonts w:asciiTheme="majorBidi" w:hAnsiTheme="majorBidi" w:cstheme="majorBidi"/>
          <w:sz w:val="24"/>
          <w:szCs w:val="24"/>
        </w:rPr>
        <w:t xml:space="preserve"> confirms that tariff-driven input cost increases — particularly in steel, aluminum, and copper — are harming downstream manufacturers more than protected sectors benefit, with net manufacturing employment effects negative.</w:t>
      </w:r>
    </w:p>
    <w:p w14:paraId="25F7CADE"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Advanced Manufacturing outlook for 2026 projects a modest 3% capex recovery in 2026 — from a suppressed base, with employment still contracting and uncertainty unresolved.</w:t>
      </w:r>
    </w:p>
    <w:p w14:paraId="2E2E6211"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The mechanism is real-options theory applied to capital investment: when the future cost structure of a factory is uncertain (because input tariffs are unpredictable), the rational response is to delay capital commitment until uncertainty resolves. OBBBA’s IRR improvement does not eliminate this dynamic — the option to wait is worth more than the tax benefit when uncertainty is high enough.</w:t>
      </w:r>
    </w:p>
    <w:p w14:paraId="44750197"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II.D Bank Lending Response to Tariffs — January 2026 Fed FEDS Note</w:t>
      </w:r>
    </w:p>
    <w:p w14:paraId="57CAC86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The most important new evidence for the argument is a </w:t>
      </w:r>
      <w:hyperlink r:id="rId18">
        <w:r w:rsidRPr="005302F0">
          <w:rPr>
            <w:rFonts w:asciiTheme="majorBidi" w:hAnsiTheme="majorBidi" w:cstheme="majorBidi"/>
            <w:color w:val="0000EE"/>
            <w:sz w:val="24"/>
            <w:szCs w:val="24"/>
            <w:u w:val="single"/>
          </w:rPr>
          <w:t>Federal Reserve FEDS Note published January 30, 2026</w:t>
        </w:r>
      </w:hyperlink>
      <w:r w:rsidRPr="005302F0">
        <w:rPr>
          <w:rFonts w:asciiTheme="majorBidi" w:hAnsiTheme="majorBidi" w:cstheme="majorBidi"/>
          <w:sz w:val="24"/>
          <w:szCs w:val="24"/>
        </w:rPr>
        <w:t>: Supply Chain Risk and Bank Lending Amid Trade Policy Uncertainty. Its findings are directly relevant:</w:t>
      </w:r>
    </w:p>
    <w:p w14:paraId="197733B9"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C&amp;I loan commitments at banks more exposed to borrowers with high supply chain risk declined between Q3 2024 and Q1 2025 amid heightened trade policy uncertainty, while commitments at less-exposed banks held relatively steady.</w:t>
      </w:r>
    </w:p>
    <w:p w14:paraId="0D07EFF1"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Following the April 2025 tariff announcements, loan utilization and spreads rose markedly at more-exposed banks — but this surge reflected borrower demand to finance inventory accumulation ahead of tariff implementation, not capital investment. Banks were financing hoarding, not reshoring.</w:t>
      </w:r>
    </w:p>
    <w:p w14:paraId="048C98B7"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Banks more exposed to tariff-sensitive borrowers tightened collateral requirements, reduced loan maturities, and charged higher spreads relative to less-exposed peers.</w:t>
      </w:r>
    </w:p>
    <w:p w14:paraId="20CB65BF"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lastRenderedPageBreak/>
        <w:t>The increase in uncertainty is associated with a larger credit contraction for more-exposed banks, consistent with real-options theory: non-financial firms adopt a wait-and-see attitude, and banks mirror that behavior in lending decisions.</w:t>
      </w:r>
    </w:p>
    <w:p w14:paraId="360B0BE1"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The New York Fed working paper on trade uncertainty and bank lending provides the academic underpinning: trade policy uncertainty causes banks to reduce credit supply to manufacturers in affected sectors — a channel that operates independently of, and simultaneously with, the real-options channel on the borrower side. OBBBA does nothing to change this bank behavior.</w:t>
      </w:r>
    </w:p>
    <w:p w14:paraId="60D3991E" w14:textId="77777777"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t>Part III: Preempting Counterarguments</w:t>
      </w:r>
    </w:p>
    <w:p w14:paraId="30A600B2" w14:textId="77777777" w:rsidR="00C351DC" w:rsidRPr="00102D57" w:rsidRDefault="00000000">
      <w:pPr>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To make this analysis unassailable, it must proactively address the most likely counterarguments from policymakers who believe the private market or existing federal programs can fill the gap.</w:t>
      </w:r>
    </w:p>
    <w:p w14:paraId="6B757C9C"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III.A Counterargument: “Private Credit Will Fill the Gap”</w:t>
      </w:r>
    </w:p>
    <w:p w14:paraId="153A659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Critics may argue that the $1.5 trillion private credit market is stepping in where commercial banks retreat. </w:t>
      </w:r>
      <w:hyperlink r:id="rId19">
        <w:r w:rsidRPr="005302F0">
          <w:rPr>
            <w:rFonts w:asciiTheme="majorBidi" w:hAnsiTheme="majorBidi" w:cstheme="majorBidi"/>
            <w:color w:val="0000EE"/>
            <w:sz w:val="24"/>
            <w:szCs w:val="24"/>
            <w:u w:val="single"/>
          </w:rPr>
          <w:t>Legal and financial analyses from late 2025</w:t>
        </w:r>
      </w:hyperlink>
      <w:r w:rsidRPr="005302F0">
        <w:rPr>
          <w:rFonts w:asciiTheme="majorBidi" w:hAnsiTheme="majorBidi" w:cstheme="majorBidi"/>
          <w:sz w:val="24"/>
          <w:szCs w:val="24"/>
        </w:rPr>
        <w:t xml:space="preserve"> indicate that private credit is indeed financing some reshoring projects due to its speed and structural flexibility.</w:t>
      </w:r>
    </w:p>
    <w:p w14:paraId="7C58CB97"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 xml:space="preserve">The Reality: </w:t>
      </w:r>
      <w:r w:rsidRPr="005302F0">
        <w:rPr>
          <w:rFonts w:asciiTheme="majorBidi" w:hAnsiTheme="majorBidi" w:cstheme="majorBidi"/>
          <w:sz w:val="24"/>
          <w:szCs w:val="24"/>
        </w:rPr>
        <w:t>Private credit exacerbates, rather than solves, the structural rate gap. Private credit is inherently more expensive than traditional bank debt to compensate for concentrated risk. Yields on U.S. direct lending typically run 200+ basis points above leveraged loans. Consequently, manufacturers utilizing private credit face interest rates well into the 9–13% range. When compared to the KfW benchmark of 1.51–3.18% for German manufacturers, private credit leaves U.S. mid-tier manufacturers at a severe global competitive disadvantage. Furthermore, private credit is largely restricted to private equity-backed sponsors, leaving the “missing middle” of independent mid-tier manufacturers unserved. Private credit is a solution for deal-driven PE portfolios, not for the tens of thousands of independent manufacturers who constitute the backbone of the U.S. industrial supply chain.</w:t>
      </w:r>
    </w:p>
    <w:p w14:paraId="7587495A"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III.B Counterargument: “Existing Federal Programs Are Sufficient”</w:t>
      </w:r>
    </w:p>
    <w:p w14:paraId="6215F84E" w14:textId="77777777" w:rsidR="00C351DC" w:rsidRPr="005302F0" w:rsidRDefault="00000000">
      <w:pPr>
        <w:rPr>
          <w:rFonts w:asciiTheme="majorBidi" w:hAnsiTheme="majorBidi" w:cstheme="majorBidi"/>
          <w:sz w:val="24"/>
          <w:szCs w:val="24"/>
        </w:rPr>
      </w:pPr>
      <w:r w:rsidRPr="00102D57">
        <w:rPr>
          <w:rFonts w:asciiTheme="majorBidi" w:hAnsiTheme="majorBidi" w:cstheme="majorBidi"/>
          <w:color w:val="000000" w:themeColor="text1"/>
          <w:sz w:val="24"/>
          <w:szCs w:val="24"/>
        </w:rPr>
        <w:t xml:space="preserve">Policymakers frequently point to the Export-Import (EXIM) Bank’s “Make </w:t>
      </w:r>
      <w:r w:rsidRPr="005302F0">
        <w:rPr>
          <w:rFonts w:asciiTheme="majorBidi" w:hAnsiTheme="majorBidi" w:cstheme="majorBidi"/>
          <w:sz w:val="24"/>
          <w:szCs w:val="24"/>
        </w:rPr>
        <w:t>More in America” initiative or the U.S. International Development Finance Corporation (DFC) as existing tools for industrial finance.</w:t>
      </w:r>
    </w:p>
    <w:p w14:paraId="7FE3B6DA"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 xml:space="preserve">The Reality: </w:t>
      </w:r>
      <w:r w:rsidRPr="005302F0">
        <w:rPr>
          <w:rFonts w:asciiTheme="majorBidi" w:hAnsiTheme="majorBidi" w:cstheme="majorBidi"/>
          <w:sz w:val="24"/>
          <w:szCs w:val="24"/>
        </w:rPr>
        <w:t xml:space="preserve">These institutions suffer from severe statutory and scale limitations. The EXIM Bank’s domestic financing initiative strictly requires an “export-oriented” nexus, rendering it useless for manufacturers building capacity to serve the domestic U.S. </w:t>
      </w:r>
      <w:r w:rsidRPr="005302F0">
        <w:rPr>
          <w:rFonts w:asciiTheme="majorBidi" w:hAnsiTheme="majorBidi" w:cstheme="majorBidi"/>
          <w:sz w:val="24"/>
          <w:szCs w:val="24"/>
        </w:rPr>
        <w:lastRenderedPageBreak/>
        <w:t xml:space="preserve">market — which is precisely the reshoring use case. Meanwhile, the DFC is statutorily restricted to international development and cannot finance domestic reshoring at all. As noted by the </w:t>
      </w:r>
      <w:hyperlink r:id="rId20">
        <w:r w:rsidRPr="005302F0">
          <w:rPr>
            <w:rFonts w:asciiTheme="majorBidi" w:hAnsiTheme="majorBidi" w:cstheme="majorBidi"/>
            <w:color w:val="0000EE"/>
            <w:sz w:val="24"/>
            <w:szCs w:val="24"/>
            <w:u w:val="single"/>
          </w:rPr>
          <w:t>Carnegie Endowment for International Peace (December 2025)</w:t>
        </w:r>
      </w:hyperlink>
      <w:r w:rsidRPr="005302F0">
        <w:rPr>
          <w:rFonts w:asciiTheme="majorBidi" w:hAnsiTheme="majorBidi" w:cstheme="majorBidi"/>
          <w:sz w:val="24"/>
          <w:szCs w:val="24"/>
        </w:rPr>
        <w:t>, the U.S. lacks a dedicated, permanent domestic development finance institution capable of operating at the scale of Germany’s KfW (€500 billion in total assets) or the China Development Bank. No existing U.S. federal program provides guaranteed, long-duration manufacturing credit at globally competitive rates.</w:t>
      </w:r>
    </w:p>
    <w:p w14:paraId="5DEAC653" w14:textId="77777777"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t>Part IV: Net Position — What OBBBA and Private Capital Cannot Provide</w:t>
      </w:r>
    </w:p>
    <w:p w14:paraId="12C74508"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IV.A Synthesis: Forces Working in Opposite Directions</w:t>
      </w:r>
    </w:p>
    <w:tbl>
      <w:tblPr>
        <w:tblStyle w:val="TableGrid"/>
        <w:tblW w:w="0" w:type="auto"/>
        <w:tblLook w:val="04A0" w:firstRow="1" w:lastRow="0" w:firstColumn="1" w:lastColumn="0" w:noHBand="0" w:noVBand="1"/>
      </w:tblPr>
      <w:tblGrid>
        <w:gridCol w:w="2876"/>
        <w:gridCol w:w="2877"/>
        <w:gridCol w:w="2877"/>
      </w:tblGrid>
      <w:tr w:rsidR="00C351DC" w:rsidRPr="005302F0" w14:paraId="6C92B045" w14:textId="77777777">
        <w:tc>
          <w:tcPr>
            <w:tcW w:w="2880" w:type="dxa"/>
          </w:tcPr>
          <w:p w14:paraId="01B00672"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Force</w:t>
            </w:r>
          </w:p>
        </w:tc>
        <w:tc>
          <w:tcPr>
            <w:tcW w:w="2880" w:type="dxa"/>
          </w:tcPr>
          <w:p w14:paraId="58F40247"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Direction</w:t>
            </w:r>
          </w:p>
        </w:tc>
        <w:tc>
          <w:tcPr>
            <w:tcW w:w="2880" w:type="dxa"/>
          </w:tcPr>
          <w:p w14:paraId="240846D9"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Mechanism / Limitation</w:t>
            </w:r>
          </w:p>
        </w:tc>
      </w:tr>
      <w:tr w:rsidR="00C351DC" w:rsidRPr="005302F0" w14:paraId="7E2E2C28" w14:textId="77777777">
        <w:tc>
          <w:tcPr>
            <w:tcW w:w="2880" w:type="dxa"/>
          </w:tcPr>
          <w:p w14:paraId="5281452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OBBBA: 100% bonus depreciation (permanent)</w:t>
            </w:r>
          </w:p>
        </w:tc>
        <w:tc>
          <w:tcPr>
            <w:tcW w:w="2880" w:type="dxa"/>
          </w:tcPr>
          <w:p w14:paraId="4447776F"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IRR</w:t>
            </w:r>
          </w:p>
        </w:tc>
        <w:tc>
          <w:tcPr>
            <w:tcW w:w="2880" w:type="dxa"/>
          </w:tcPr>
          <w:p w14:paraId="04BDBDF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Reduces after-tax capex cost; full write-off year one</w:t>
            </w:r>
          </w:p>
        </w:tc>
      </w:tr>
      <w:tr w:rsidR="00C351DC" w:rsidRPr="005302F0" w14:paraId="7867275F" w14:textId="77777777">
        <w:tc>
          <w:tcPr>
            <w:tcW w:w="2880" w:type="dxa"/>
          </w:tcPr>
          <w:p w14:paraId="4C6102E6"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OBBBA: §163(j) EBITDA restoration</w:t>
            </w:r>
          </w:p>
        </w:tc>
        <w:tc>
          <w:tcPr>
            <w:tcW w:w="2880" w:type="dxa"/>
          </w:tcPr>
          <w:p w14:paraId="40B921DF"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Debt capacity</w:t>
            </w:r>
          </w:p>
        </w:tc>
        <w:tc>
          <w:tcPr>
            <w:tcW w:w="2880" w:type="dxa"/>
          </w:tcPr>
          <w:p w14:paraId="19554C91"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Increases deductible interest; improves leverage math</w:t>
            </w:r>
          </w:p>
        </w:tc>
      </w:tr>
      <w:tr w:rsidR="00C351DC" w:rsidRPr="005302F0" w14:paraId="7AF16371" w14:textId="77777777">
        <w:tc>
          <w:tcPr>
            <w:tcW w:w="2880" w:type="dxa"/>
          </w:tcPr>
          <w:p w14:paraId="285E596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OBBBA: Qualified Production Property expensing</w:t>
            </w:r>
          </w:p>
        </w:tc>
        <w:tc>
          <w:tcPr>
            <w:tcW w:w="2880" w:type="dxa"/>
          </w:tcPr>
          <w:p w14:paraId="4698A1DA"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IRR</w:t>
            </w:r>
          </w:p>
        </w:tc>
        <w:tc>
          <w:tcPr>
            <w:tcW w:w="2880" w:type="dxa"/>
          </w:tcPr>
          <w:p w14:paraId="68861570"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100% immediate facility write-off vs. 39-year depreciation</w:t>
            </w:r>
          </w:p>
        </w:tc>
      </w:tr>
      <w:tr w:rsidR="00C351DC" w:rsidRPr="005302F0" w14:paraId="757E241B" w14:textId="77777777">
        <w:tc>
          <w:tcPr>
            <w:tcW w:w="2880" w:type="dxa"/>
          </w:tcPr>
          <w:p w14:paraId="1980ECA0"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OBBBA: R&amp;D expensing restoration</w:t>
            </w:r>
          </w:p>
        </w:tc>
        <w:tc>
          <w:tcPr>
            <w:tcW w:w="2880" w:type="dxa"/>
          </w:tcPr>
          <w:p w14:paraId="0202724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Innovation ROI</w:t>
            </w:r>
          </w:p>
        </w:tc>
        <w:tc>
          <w:tcPr>
            <w:tcW w:w="2880" w:type="dxa"/>
          </w:tcPr>
          <w:p w14:paraId="32E77B9E"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Lowers effective cost basis for manufacturing R&amp;D</w:t>
            </w:r>
          </w:p>
        </w:tc>
      </w:tr>
      <w:tr w:rsidR="00C351DC" w:rsidRPr="005302F0" w14:paraId="11103959" w14:textId="77777777">
        <w:tc>
          <w:tcPr>
            <w:tcW w:w="2880" w:type="dxa"/>
          </w:tcPr>
          <w:p w14:paraId="033C0A23"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CAMT interaction (structural vulnerability)</w:t>
            </w:r>
          </w:p>
        </w:tc>
        <w:tc>
          <w:tcPr>
            <w:tcW w:w="2880" w:type="dxa"/>
          </w:tcPr>
          <w:p w14:paraId="315D8A9A"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Effective benefit</w:t>
            </w:r>
          </w:p>
        </w:tc>
        <w:tc>
          <w:tcPr>
            <w:tcW w:w="2880" w:type="dxa"/>
          </w:tcPr>
          <w:p w14:paraId="6C9AFE07" w14:textId="37181A15" w:rsidR="00C351DC" w:rsidRPr="009E48A8" w:rsidRDefault="009E48A8" w:rsidP="009E48A8">
            <w:pPr>
              <w:rPr>
                <w:rFonts w:asciiTheme="majorBidi" w:hAnsiTheme="majorBidi" w:cstheme="majorBidi"/>
                <w:sz w:val="21"/>
                <w:szCs w:val="21"/>
              </w:rPr>
            </w:pPr>
            <w:r w:rsidRPr="009E48A8">
              <w:rPr>
                <w:rFonts w:asciiTheme="majorBidi" w:hAnsiTheme="majorBidi" w:cstheme="majorBidi"/>
                <w:sz w:val="21"/>
                <w:szCs w:val="21"/>
              </w:rPr>
              <w:t>Neutralizes OBBBA incentives for large firms; book-tax gap triggers 15% minimum tax. Credit carryforward exists but recovers in nominal dollars (no interest), inverts cash flow timing, and may never activate for firms with ongoing capex.</w:t>
            </w:r>
          </w:p>
        </w:tc>
      </w:tr>
      <w:tr w:rsidR="00C351DC" w:rsidRPr="005302F0" w14:paraId="7855838A" w14:textId="77777777">
        <w:tc>
          <w:tcPr>
            <w:tcW w:w="2880" w:type="dxa"/>
          </w:tcPr>
          <w:p w14:paraId="3674C6E7"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Tariff uncertainty (ongoing)</w:t>
            </w:r>
          </w:p>
        </w:tc>
        <w:tc>
          <w:tcPr>
            <w:tcW w:w="2880" w:type="dxa"/>
          </w:tcPr>
          <w:p w14:paraId="38FF4EE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Investment</w:t>
            </w:r>
          </w:p>
        </w:tc>
        <w:tc>
          <w:tcPr>
            <w:tcW w:w="2880" w:type="dxa"/>
          </w:tcPr>
          <w:p w14:paraId="3582DC9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ISM capex projection reversed −6.5 pp; $490B foregone by 2029 (JEC)</w:t>
            </w:r>
          </w:p>
        </w:tc>
      </w:tr>
      <w:tr w:rsidR="00C351DC" w:rsidRPr="005302F0" w14:paraId="7FC912F8" w14:textId="77777777">
        <w:tc>
          <w:tcPr>
            <w:tcW w:w="2880" w:type="dxa"/>
          </w:tcPr>
          <w:p w14:paraId="03A43A8D"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Bank credit tightening (tariff-exposed)</w:t>
            </w:r>
          </w:p>
        </w:tc>
        <w:tc>
          <w:tcPr>
            <w:tcW w:w="2880" w:type="dxa"/>
          </w:tcPr>
          <w:p w14:paraId="4E66D89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Loan supply</w:t>
            </w:r>
          </w:p>
        </w:tc>
        <w:tc>
          <w:tcPr>
            <w:tcW w:w="2880" w:type="dxa"/>
          </w:tcPr>
          <w:p w14:paraId="5A90CB03"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Collateral requirements tightened, maturities shortened, spreads raised (Fed FEDS Note, Jan 2026)</w:t>
            </w:r>
          </w:p>
        </w:tc>
      </w:tr>
      <w:tr w:rsidR="00C351DC" w:rsidRPr="005302F0" w14:paraId="0B12E2B1" w14:textId="77777777">
        <w:tc>
          <w:tcPr>
            <w:tcW w:w="2880" w:type="dxa"/>
          </w:tcPr>
          <w:p w14:paraId="5FE9AEF9"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Input cost inflation</w:t>
            </w:r>
          </w:p>
        </w:tc>
        <w:tc>
          <w:tcPr>
            <w:tcW w:w="2880" w:type="dxa"/>
          </w:tcPr>
          <w:p w14:paraId="22EA8277"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Cash flow</w:t>
            </w:r>
          </w:p>
        </w:tc>
        <w:tc>
          <w:tcPr>
            <w:tcW w:w="2880" w:type="dxa"/>
          </w:tcPr>
          <w:p w14:paraId="199BDA50"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+7.5% raw material prices 2025; compresses debt service capacity</w:t>
            </w:r>
          </w:p>
        </w:tc>
      </w:tr>
      <w:tr w:rsidR="00C351DC" w:rsidRPr="005302F0" w14:paraId="576955F8" w14:textId="77777777">
        <w:tc>
          <w:tcPr>
            <w:tcW w:w="2880" w:type="dxa"/>
          </w:tcPr>
          <w:p w14:paraId="6E8F598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Private Credit Markets</w:t>
            </w:r>
          </w:p>
        </w:tc>
        <w:tc>
          <w:tcPr>
            <w:tcW w:w="2880" w:type="dxa"/>
          </w:tcPr>
          <w:p w14:paraId="0C6B2103"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Alternative capital</w:t>
            </w:r>
          </w:p>
        </w:tc>
        <w:tc>
          <w:tcPr>
            <w:tcW w:w="2880" w:type="dxa"/>
          </w:tcPr>
          <w:p w14:paraId="04DE18C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Provides flexible capital but at 9–13%+ rates; widens gap with KfW </w:t>
            </w:r>
            <w:r w:rsidRPr="005302F0">
              <w:rPr>
                <w:rFonts w:asciiTheme="majorBidi" w:hAnsiTheme="majorBidi" w:cstheme="majorBidi"/>
                <w:sz w:val="24"/>
                <w:szCs w:val="24"/>
              </w:rPr>
              <w:lastRenderedPageBreak/>
              <w:t>benchmarks; serves PE sponsors, not missing middle</w:t>
            </w:r>
          </w:p>
        </w:tc>
      </w:tr>
      <w:tr w:rsidR="00C351DC" w:rsidRPr="005302F0" w14:paraId="4529BBB7" w14:textId="77777777">
        <w:tc>
          <w:tcPr>
            <w:tcW w:w="2880" w:type="dxa"/>
          </w:tcPr>
          <w:p w14:paraId="7F13F676"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lastRenderedPageBreak/>
              <w:t>Structural rate gap vs. KfW</w:t>
            </w:r>
          </w:p>
        </w:tc>
        <w:tc>
          <w:tcPr>
            <w:tcW w:w="2880" w:type="dxa"/>
          </w:tcPr>
          <w:p w14:paraId="3BE3183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Structural disadvantage</w:t>
            </w:r>
          </w:p>
        </w:tc>
        <w:tc>
          <w:tcPr>
            <w:tcW w:w="2880" w:type="dxa"/>
          </w:tcPr>
          <w:p w14:paraId="122589F2"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U.S. commercial rate 7–11% vs. KfW 1.51–3.18% for German manufacturers — OBBBA reduces the gap, does not close it</w:t>
            </w:r>
          </w:p>
        </w:tc>
      </w:tr>
    </w:tbl>
    <w:p w14:paraId="6D133B29"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IV.B The Rate Gap OBBBA Cannot Close</w:t>
      </w:r>
    </w:p>
    <w:p w14:paraId="15D19260"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Even after OBBBA’s 200–400 bps IRR improvement, U.S. manufacturers access capital at 7–11% through commercial banks (and 9–13%+ via private credit) versus the KfW benchmark of 1.51–3.18% that German manufacturers access through Germany’s state-backed development bank. This structural rate disadvantage means German manufacturers can economically finance capital investments that are simply not financeable for U.S. counterparts at market rates — regardless of what U.S. tax law says. The OBBBA reduces the after-tax cost of the capital that U.S. manufacturers can access but does not change the rate at which they access it, the terms under which it is offered, or the availability of long-duration industrial credit.</w:t>
      </w:r>
    </w:p>
    <w:p w14:paraId="23E937B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China’s manufacturers operate under an even more favorable financing regime: state-directed credit through policy banks (China Development Bank, Export-Import Bank of China) at rates that can approach zero for strategic sectors, with no commercial underwriting constraints. The competitive disadvantage for U.S. mid-tier manufacturers is not primarily a tax problem — it is a capital cost and availability problem that tax policy cannot solve.</w:t>
      </w:r>
    </w:p>
    <w:p w14:paraId="450BC604"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IV.C What Neither OBBBA, Tariffs, Nor Private Capital Provide</w:t>
      </w:r>
    </w:p>
    <w:p w14:paraId="6FB8736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The policy instruments currently deployed — OBBBA tax improvements, tariff-driven import pressure, and private credit markets — address adjacent problems but leave the core financing gap unaddressed:</w:t>
      </w:r>
    </w:p>
    <w:p w14:paraId="77CCB076" w14:textId="77777777" w:rsidR="009E48A8" w:rsidRDefault="009E48A8" w:rsidP="009E48A8">
      <w:pPr>
        <w:pStyle w:val="ListBullet"/>
        <w:rPr>
          <w:rFonts w:asciiTheme="majorBidi" w:hAnsiTheme="majorBidi" w:cstheme="majorBidi"/>
          <w:sz w:val="24"/>
          <w:szCs w:val="24"/>
        </w:rPr>
      </w:pPr>
      <w:r w:rsidRPr="009E48A8">
        <w:rPr>
          <w:rFonts w:asciiTheme="majorBidi" w:hAnsiTheme="majorBidi" w:cstheme="majorBidi"/>
          <w:sz w:val="24"/>
          <w:szCs w:val="24"/>
        </w:rPr>
        <w:t>OBBBA improves the math on deploying capital. It does not provide the capital. And for large manufacturers, the CAMT neutralizes the tax benefit's timing — the nominal credit carryforward does not restore the present-value cash flow that investment decisions require.</w:t>
      </w:r>
      <w:r w:rsidRPr="009E48A8">
        <w:rPr>
          <w:rFonts w:asciiTheme="majorBidi" w:hAnsiTheme="majorBidi" w:cstheme="majorBidi"/>
          <w:sz w:val="24"/>
          <w:szCs w:val="24"/>
        </w:rPr>
        <w:t xml:space="preserve"> </w:t>
      </w:r>
    </w:p>
    <w:p w14:paraId="79F2694C" w14:textId="69763B45" w:rsidR="00C351DC" w:rsidRPr="005302F0" w:rsidRDefault="00000000" w:rsidP="009E48A8">
      <w:pPr>
        <w:pStyle w:val="ListBullet"/>
        <w:rPr>
          <w:rFonts w:asciiTheme="majorBidi" w:hAnsiTheme="majorBidi" w:cstheme="majorBidi"/>
          <w:sz w:val="24"/>
          <w:szCs w:val="24"/>
        </w:rPr>
      </w:pPr>
      <w:r w:rsidRPr="005302F0">
        <w:rPr>
          <w:rFonts w:asciiTheme="majorBidi" w:hAnsiTheme="majorBidi" w:cstheme="majorBidi"/>
          <w:sz w:val="24"/>
          <w:szCs w:val="24"/>
        </w:rPr>
        <w:t>Tariffs create price signals that make domestic production more competitive on paper. They simultaneously suppress the certainty required to commit to long-duration capital investment.</w:t>
      </w:r>
    </w:p>
    <w:p w14:paraId="63BE8B22" w14:textId="07FAEA6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 xml:space="preserve">Private credit provides alternative capital but at rates (9–13%+) that widen the competitive gap with state-backed international </w:t>
      </w:r>
      <w:r w:rsidR="00C607A0" w:rsidRPr="005302F0">
        <w:rPr>
          <w:rFonts w:asciiTheme="majorBidi" w:hAnsiTheme="majorBidi" w:cstheme="majorBidi"/>
          <w:sz w:val="24"/>
          <w:szCs w:val="24"/>
        </w:rPr>
        <w:t>competitors and</w:t>
      </w:r>
      <w:r w:rsidRPr="005302F0">
        <w:rPr>
          <w:rFonts w:asciiTheme="majorBidi" w:hAnsiTheme="majorBidi" w:cstheme="majorBidi"/>
          <w:sz w:val="24"/>
          <w:szCs w:val="24"/>
        </w:rPr>
        <w:t xml:space="preserve"> is largely inaccessible to independent mid-tier manufacturers.</w:t>
      </w:r>
    </w:p>
    <w:p w14:paraId="1FEC813A"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lastRenderedPageBreak/>
        <w:t>None of these instruments addresses the 7–11% vs. 1.51–3.18% rate gap that makes U.S. manufacturing investment economically inferior to German or Chinese alternatives on a capital cost basis.</w:t>
      </w:r>
    </w:p>
    <w:p w14:paraId="4F265ACC"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None addresses the collateral structure problem that prevents conventional banks from underwriting long-duration industrial loans to mid-tier manufacturers.</w:t>
      </w:r>
    </w:p>
    <w:p w14:paraId="0D761DF4" w14:textId="77777777" w:rsidR="00C351DC" w:rsidRPr="005302F0" w:rsidRDefault="00000000">
      <w:pPr>
        <w:pStyle w:val="ListBullet"/>
        <w:rPr>
          <w:rFonts w:asciiTheme="majorBidi" w:hAnsiTheme="majorBidi" w:cstheme="majorBidi"/>
          <w:sz w:val="24"/>
          <w:szCs w:val="24"/>
        </w:rPr>
      </w:pPr>
      <w:r w:rsidRPr="005302F0">
        <w:rPr>
          <w:rFonts w:asciiTheme="majorBidi" w:hAnsiTheme="majorBidi" w:cstheme="majorBidi"/>
          <w:sz w:val="24"/>
          <w:szCs w:val="24"/>
        </w:rPr>
        <w:t>None addresses the market concentration problem: four banks hold 39% of C&amp;I lending, and community banks, traditional manufacturing lenders, are structurally constrained from cash-flow lending at the scale required.</w:t>
      </w:r>
    </w:p>
    <w:p w14:paraId="0767C4F4" w14:textId="77777777" w:rsidR="00C351DC" w:rsidRPr="005302F0" w:rsidRDefault="00000000">
      <w:pPr>
        <w:rPr>
          <w:rFonts w:asciiTheme="majorBidi" w:hAnsiTheme="majorBidi" w:cstheme="majorBidi"/>
          <w:sz w:val="24"/>
          <w:szCs w:val="24"/>
        </w:rPr>
      </w:pPr>
      <w:r w:rsidRPr="005302F0">
        <w:rPr>
          <w:rFonts w:asciiTheme="majorBidi" w:hAnsiTheme="majorBidi" w:cstheme="majorBidi"/>
          <w:b/>
          <w:sz w:val="24"/>
          <w:szCs w:val="24"/>
        </w:rPr>
        <w:t xml:space="preserve">The bottom line: </w:t>
      </w:r>
      <w:r w:rsidRPr="005302F0">
        <w:rPr>
          <w:rFonts w:asciiTheme="majorBidi" w:hAnsiTheme="majorBidi" w:cstheme="majorBidi"/>
          <w:sz w:val="24"/>
          <w:szCs w:val="24"/>
        </w:rPr>
        <w:t>OBBBA lowers the cost of building the factory and buying the equipment. Tariffs raise the price of the imports the factory competes against. Private credit provides expensive capital to PE-backed sponsors. None of these provides the capital to build the factory in the first place, nor guarantees it at the rates and durations that make the investment rational for the missing middle of U.S. manufacturing — the tens of thousands of mid-tier suppliers who are too large for SBA programs and too small for capital markets. U.S. industrial policy must be explicit rather than implicit; a dedicated policy mechanism such as a Government-Sponsored Enterprise (GSE) loan program for manufacturing, prioritizing free market mechanisms with guardrails, is required to close this gap and make the manufacturing renaissance economically viable.</w:t>
      </w:r>
    </w:p>
    <w:p w14:paraId="32FB77AB"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br w:type="page"/>
      </w:r>
    </w:p>
    <w:p w14:paraId="742AA958"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vertAlign w:val="superscript"/>
        </w:rPr>
        <w:lastRenderedPageBreak/>
        <w:t xml:space="preserve">1 </w:t>
      </w:r>
      <w:r w:rsidRPr="005302F0">
        <w:rPr>
          <w:rFonts w:asciiTheme="majorBidi" w:hAnsiTheme="majorBidi" w:cstheme="majorBidi"/>
          <w:sz w:val="24"/>
          <w:szCs w:val="24"/>
        </w:rPr>
        <w:t>KfW (</w:t>
      </w:r>
      <w:proofErr w:type="spellStart"/>
      <w:r w:rsidRPr="005302F0">
        <w:rPr>
          <w:rFonts w:asciiTheme="majorBidi" w:hAnsiTheme="majorBidi" w:cstheme="majorBidi"/>
          <w:sz w:val="24"/>
          <w:szCs w:val="24"/>
        </w:rPr>
        <w:t>Kreditanstalt</w:t>
      </w:r>
      <w:proofErr w:type="spellEnd"/>
      <w:r w:rsidRPr="005302F0">
        <w:rPr>
          <w:rFonts w:asciiTheme="majorBidi" w:hAnsiTheme="majorBidi" w:cstheme="majorBidi"/>
          <w:sz w:val="24"/>
          <w:szCs w:val="24"/>
        </w:rPr>
        <w:t xml:space="preserve"> für </w:t>
      </w:r>
      <w:proofErr w:type="spellStart"/>
      <w:r w:rsidRPr="005302F0">
        <w:rPr>
          <w:rFonts w:asciiTheme="majorBidi" w:hAnsiTheme="majorBidi" w:cstheme="majorBidi"/>
          <w:sz w:val="24"/>
          <w:szCs w:val="24"/>
        </w:rPr>
        <w:t>Wiederaufbau</w:t>
      </w:r>
      <w:proofErr w:type="spellEnd"/>
      <w:r w:rsidRPr="005302F0">
        <w:rPr>
          <w:rFonts w:asciiTheme="majorBidi" w:hAnsiTheme="majorBidi" w:cstheme="majorBidi"/>
          <w:sz w:val="24"/>
          <w:szCs w:val="24"/>
        </w:rPr>
        <w:t xml:space="preserve">, “Reconstruction Credit Institute”) is Germany’s federally owned development bank, established in 1948 under the Marshall Plan and today capitalized at approximately €500 billion in total assets. KfW does not lend directly to manufacturers in most programs; </w:t>
      </w:r>
      <w:proofErr w:type="gramStart"/>
      <w:r w:rsidRPr="005302F0">
        <w:rPr>
          <w:rFonts w:asciiTheme="majorBidi" w:hAnsiTheme="majorBidi" w:cstheme="majorBidi"/>
          <w:sz w:val="24"/>
          <w:szCs w:val="24"/>
        </w:rPr>
        <w:t>instead</w:t>
      </w:r>
      <w:proofErr w:type="gramEnd"/>
      <w:r w:rsidRPr="005302F0">
        <w:rPr>
          <w:rFonts w:asciiTheme="majorBidi" w:hAnsiTheme="majorBidi" w:cstheme="majorBidi"/>
          <w:sz w:val="24"/>
          <w:szCs w:val="24"/>
        </w:rPr>
        <w:t xml:space="preserve"> it operates a three-stage mechanism that keeps origination, relationship management, and credit risk with the local banking system while using federal balance sheet capacity to subsidize rates and recycle capital.</w:t>
      </w:r>
    </w:p>
    <w:p w14:paraId="23AF8716"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 xml:space="preserve">In the first stage, a manufacturer applies for a loan through its </w:t>
      </w:r>
      <w:proofErr w:type="spellStart"/>
      <w:r w:rsidRPr="005302F0">
        <w:rPr>
          <w:rFonts w:asciiTheme="majorBidi" w:hAnsiTheme="majorBidi" w:cstheme="majorBidi"/>
          <w:sz w:val="24"/>
          <w:szCs w:val="24"/>
        </w:rPr>
        <w:t>Hausbank</w:t>
      </w:r>
      <w:proofErr w:type="spellEnd"/>
      <w:r w:rsidRPr="005302F0">
        <w:rPr>
          <w:rFonts w:asciiTheme="majorBidi" w:hAnsiTheme="majorBidi" w:cstheme="majorBidi"/>
          <w:sz w:val="24"/>
          <w:szCs w:val="24"/>
        </w:rPr>
        <w:t xml:space="preserve">, typically a regional savings bank (Sparkasse) or cooperative bank (Volksbank), which underwrites and originates the loan under conventional commercial standards. In the second stage, KfW refinances that loan from the </w:t>
      </w:r>
      <w:proofErr w:type="spellStart"/>
      <w:r w:rsidRPr="005302F0">
        <w:rPr>
          <w:rFonts w:asciiTheme="majorBidi" w:hAnsiTheme="majorBidi" w:cstheme="majorBidi"/>
          <w:sz w:val="24"/>
          <w:szCs w:val="24"/>
        </w:rPr>
        <w:t>Hausbank</w:t>
      </w:r>
      <w:proofErr w:type="spellEnd"/>
      <w:r w:rsidRPr="005302F0">
        <w:rPr>
          <w:rFonts w:asciiTheme="majorBidi" w:hAnsiTheme="majorBidi" w:cstheme="majorBidi"/>
          <w:sz w:val="24"/>
          <w:szCs w:val="24"/>
        </w:rPr>
        <w:t xml:space="preserve"> at a below-market rate, typically 1.51–3.18% depending on program and borrower risk class, passing the rate benefit through to the borrower via a contractual pass-through obligation. The </w:t>
      </w:r>
      <w:proofErr w:type="spellStart"/>
      <w:r w:rsidRPr="005302F0">
        <w:rPr>
          <w:rFonts w:asciiTheme="majorBidi" w:hAnsiTheme="majorBidi" w:cstheme="majorBidi"/>
          <w:sz w:val="24"/>
          <w:szCs w:val="24"/>
        </w:rPr>
        <w:t>Hausbank</w:t>
      </w:r>
      <w:proofErr w:type="spellEnd"/>
      <w:r w:rsidRPr="005302F0">
        <w:rPr>
          <w:rFonts w:asciiTheme="majorBidi" w:hAnsiTheme="majorBidi" w:cstheme="majorBidi"/>
          <w:sz w:val="24"/>
          <w:szCs w:val="24"/>
        </w:rPr>
        <w:t xml:space="preserve"> retains a spread and retains partial credit risk, preserving its underwriting incentive. In the third stage, KfW pools the refinanced loan receivables and issues KfW-guaranteed bonds on international capital markets — rated AAA by virtue of KfW’s explicit federal guarantee under the KfW Law (KfW-</w:t>
      </w:r>
      <w:proofErr w:type="spellStart"/>
      <w:r w:rsidRPr="005302F0">
        <w:rPr>
          <w:rFonts w:asciiTheme="majorBidi" w:hAnsiTheme="majorBidi" w:cstheme="majorBidi"/>
          <w:sz w:val="24"/>
          <w:szCs w:val="24"/>
        </w:rPr>
        <w:t>Gesetz</w:t>
      </w:r>
      <w:proofErr w:type="spellEnd"/>
      <w:r w:rsidRPr="005302F0">
        <w:rPr>
          <w:rFonts w:asciiTheme="majorBidi" w:hAnsiTheme="majorBidi" w:cstheme="majorBidi"/>
          <w:sz w:val="24"/>
          <w:szCs w:val="24"/>
        </w:rPr>
        <w:t xml:space="preserve">), allowing KfW to recycle capital continuously and maintain loan volume far </w:t>
      </w:r>
      <w:proofErr w:type="gramStart"/>
      <w:r w:rsidRPr="005302F0">
        <w:rPr>
          <w:rFonts w:asciiTheme="majorBidi" w:hAnsiTheme="majorBidi" w:cstheme="majorBidi"/>
          <w:sz w:val="24"/>
          <w:szCs w:val="24"/>
        </w:rPr>
        <w:t>in excess of</w:t>
      </w:r>
      <w:proofErr w:type="gramEnd"/>
      <w:r w:rsidRPr="005302F0">
        <w:rPr>
          <w:rFonts w:asciiTheme="majorBidi" w:hAnsiTheme="majorBidi" w:cstheme="majorBidi"/>
          <w:sz w:val="24"/>
          <w:szCs w:val="24"/>
        </w:rPr>
        <w:t xml:space="preserve"> its equity base.</w:t>
      </w:r>
    </w:p>
    <w:p w14:paraId="1FDE230C" w14:textId="77777777" w:rsidR="00C351DC" w:rsidRPr="005302F0" w:rsidRDefault="00000000">
      <w:pPr>
        <w:rPr>
          <w:rFonts w:asciiTheme="majorBidi" w:hAnsiTheme="majorBidi" w:cstheme="majorBidi"/>
          <w:sz w:val="24"/>
          <w:szCs w:val="24"/>
        </w:rPr>
      </w:pPr>
      <w:r w:rsidRPr="005302F0">
        <w:rPr>
          <w:rFonts w:asciiTheme="majorBidi" w:hAnsiTheme="majorBidi" w:cstheme="majorBidi"/>
          <w:sz w:val="24"/>
          <w:szCs w:val="24"/>
        </w:rPr>
        <w:t>The practical effect is that a German mid-tier manufacturer (</w:t>
      </w:r>
      <w:proofErr w:type="spellStart"/>
      <w:r w:rsidRPr="005302F0">
        <w:rPr>
          <w:rFonts w:asciiTheme="majorBidi" w:hAnsiTheme="majorBidi" w:cstheme="majorBidi"/>
          <w:sz w:val="24"/>
          <w:szCs w:val="24"/>
        </w:rPr>
        <w:t>Mittelstand</w:t>
      </w:r>
      <w:proofErr w:type="spellEnd"/>
      <w:r w:rsidRPr="005302F0">
        <w:rPr>
          <w:rFonts w:asciiTheme="majorBidi" w:hAnsiTheme="majorBidi" w:cstheme="majorBidi"/>
          <w:sz w:val="24"/>
          <w:szCs w:val="24"/>
        </w:rPr>
        <w:t>) accessing KfW’s ERP Capital for Growth or KfW Entrepreneur Loan programs pays a blended all-in rate that is structurally 400–800 basis points below what a comparable U.S. manufacturer pays through conventional C&amp;I lending — not because the German manufacturer is more creditworthy, but because the German state has permanently subsidized the cost of industrial capital as a matter of economic policy.</w:t>
      </w:r>
    </w:p>
    <w:p w14:paraId="27F344D9" w14:textId="77777777" w:rsidR="00C351DC" w:rsidRPr="00102D57" w:rsidRDefault="00000000">
      <w:pPr>
        <w:pStyle w:val="Heading1"/>
        <w:rPr>
          <w:rFonts w:asciiTheme="majorBidi" w:hAnsiTheme="majorBidi"/>
          <w:color w:val="000000" w:themeColor="text1"/>
          <w:sz w:val="24"/>
          <w:szCs w:val="24"/>
        </w:rPr>
      </w:pPr>
      <w:r w:rsidRPr="00102D57">
        <w:rPr>
          <w:rFonts w:asciiTheme="majorBidi" w:hAnsiTheme="majorBidi"/>
          <w:color w:val="000000" w:themeColor="text1"/>
          <w:sz w:val="24"/>
          <w:szCs w:val="24"/>
        </w:rPr>
        <w:t>Primary Sources</w:t>
      </w:r>
    </w:p>
    <w:p w14:paraId="3AA5093B"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Bank Lending — Structural Constraints</w:t>
      </w:r>
    </w:p>
    <w:p w14:paraId="685FF273"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Federal Reserve SLOOS, April 2025 — Q1 C&amp;I tightening</w:t>
      </w:r>
    </w:p>
    <w:p w14:paraId="43E513B2"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Federal Reserve SLOOS, October 2024 — equipment investment cited as driver</w:t>
      </w:r>
    </w:p>
    <w:p w14:paraId="46317F69"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Federal Reserve FEDS Note — Supply Chain Risk and Bank Lending Amid Trade Policy Uncertainty (January 30, 2026)</w:t>
      </w:r>
    </w:p>
    <w:p w14:paraId="73F1C0A0"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NY Fed Working Paper — Trade Uncertainty and U.S. Bank Lending</w:t>
      </w:r>
    </w:p>
    <w:p w14:paraId="1C77A008"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Chicago Fed — How Do Manufacturers Decide When to Invest in New Equipment? (2024)</w:t>
      </w:r>
    </w:p>
    <w:p w14:paraId="34430795"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SBA — Small Business Finance FAQs 2024</w:t>
      </w:r>
    </w:p>
    <w:p w14:paraId="0A86AD35"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Conference of State Bank Supervisors — Trends in Commercial &amp; Industrial Lending</w:t>
      </w:r>
    </w:p>
    <w:p w14:paraId="6BAF8811"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lastRenderedPageBreak/>
        <w:t>OBBBA — Manufacturing Provisions &amp; Limitations</w:t>
      </w:r>
    </w:p>
    <w:p w14:paraId="4803EEC2"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Warren Averett — One Big Beautiful Bill: Manufacturing Provisions</w:t>
      </w:r>
    </w:p>
    <w:p w14:paraId="59EB689C"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ABF Journal / Paul Hastings — OBBBA and Private Credit Accelerating Industrial Dealmaking (IRR estimates)</w:t>
      </w:r>
    </w:p>
    <w:p w14:paraId="3719043C"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Tax Policy Center (Brookings Institution) — Do existing tax rules weaken OBBBA’s pro-investment incentives? (November 2025)</w:t>
      </w:r>
    </w:p>
    <w:p w14:paraId="7883B9B6" w14:textId="77777777" w:rsidR="009E48A8" w:rsidRDefault="00000000" w:rsidP="009E48A8">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Tax Foundation — OBBBA Expensing for Manufacturing Structures (October 2025)</w:t>
      </w:r>
    </w:p>
    <w:p w14:paraId="5FC23489" w14:textId="77777777" w:rsidR="009E48A8" w:rsidRDefault="009E48A8" w:rsidP="009E48A8">
      <w:pPr>
        <w:pStyle w:val="ListBullet"/>
        <w:rPr>
          <w:rFonts w:asciiTheme="majorBidi" w:hAnsiTheme="majorBidi" w:cstheme="majorBidi"/>
          <w:color w:val="000000" w:themeColor="text1"/>
          <w:sz w:val="24"/>
          <w:szCs w:val="24"/>
        </w:rPr>
      </w:pPr>
      <w:r w:rsidRPr="009E48A8">
        <w:rPr>
          <w:rFonts w:asciiTheme="majorBidi" w:hAnsiTheme="majorBidi" w:cstheme="majorBidi"/>
          <w:color w:val="000000" w:themeColor="text1"/>
          <w:sz w:val="24"/>
          <w:szCs w:val="24"/>
        </w:rPr>
        <w:t>26 USC §53 — Credit for Prior Year Minimum Tax Liability (carryforward mechanics)</w:t>
      </w:r>
    </w:p>
    <w:p w14:paraId="0EE60C07" w14:textId="77777777" w:rsidR="009E48A8" w:rsidRDefault="009E48A8" w:rsidP="009E48A8">
      <w:pPr>
        <w:pStyle w:val="ListBullet"/>
        <w:rPr>
          <w:rFonts w:asciiTheme="majorBidi" w:hAnsiTheme="majorBidi" w:cstheme="majorBidi"/>
          <w:color w:val="000000" w:themeColor="text1"/>
          <w:sz w:val="24"/>
          <w:szCs w:val="24"/>
        </w:rPr>
      </w:pPr>
      <w:r w:rsidRPr="009E48A8">
        <w:rPr>
          <w:rFonts w:asciiTheme="majorBidi" w:hAnsiTheme="majorBidi" w:cstheme="majorBidi"/>
          <w:color w:val="000000" w:themeColor="text1"/>
          <w:sz w:val="24"/>
          <w:szCs w:val="24"/>
        </w:rPr>
        <w:t>CRS Report R47328 — The 15% Corporate Alternative Minimum Tax (January 2023)</w:t>
      </w:r>
    </w:p>
    <w:p w14:paraId="05936417" w14:textId="77777777" w:rsidR="009E48A8" w:rsidRDefault="009E48A8" w:rsidP="009E48A8">
      <w:pPr>
        <w:pStyle w:val="ListBullet"/>
        <w:rPr>
          <w:rFonts w:asciiTheme="majorBidi" w:hAnsiTheme="majorBidi" w:cstheme="majorBidi"/>
          <w:color w:val="000000" w:themeColor="text1"/>
          <w:sz w:val="24"/>
          <w:szCs w:val="24"/>
        </w:rPr>
      </w:pPr>
      <w:r w:rsidRPr="009E48A8">
        <w:rPr>
          <w:rFonts w:asciiTheme="majorBidi" w:hAnsiTheme="majorBidi" w:cstheme="majorBidi"/>
          <w:color w:val="000000" w:themeColor="text1"/>
          <w:sz w:val="24"/>
          <w:szCs w:val="24"/>
        </w:rPr>
        <w:t>Treasury/IRS Notice 2026-7 — Additional Interim CAMT Guidance (February 2026)</w:t>
      </w:r>
    </w:p>
    <w:p w14:paraId="0DB1B143" w14:textId="0F1AEFC5" w:rsidR="009E48A8" w:rsidRPr="009E48A8" w:rsidRDefault="009E48A8" w:rsidP="009E48A8">
      <w:pPr>
        <w:pStyle w:val="ListBullet"/>
        <w:rPr>
          <w:rFonts w:asciiTheme="majorBidi" w:hAnsiTheme="majorBidi" w:cstheme="majorBidi"/>
          <w:color w:val="000000" w:themeColor="text1"/>
          <w:sz w:val="24"/>
          <w:szCs w:val="24"/>
        </w:rPr>
      </w:pPr>
      <w:r w:rsidRPr="009E48A8">
        <w:rPr>
          <w:rFonts w:asciiTheme="majorBidi" w:hAnsiTheme="majorBidi" w:cstheme="majorBidi"/>
          <w:color w:val="000000" w:themeColor="text1"/>
          <w:sz w:val="24"/>
          <w:szCs w:val="24"/>
        </w:rPr>
        <w:t>National Association of Manufacturers — New Interim CAMT Guidance a Win for Manufacturers (February 2026)</w:t>
      </w:r>
    </w:p>
    <w:p w14:paraId="6662C036"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Tariff Impact on Manufacturing Investment</w:t>
      </w:r>
    </w:p>
    <w:p w14:paraId="7574D4D2"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ISM 2025 Semiannual Forecast — Capex Reversal (Manufacturing Dive)</w:t>
      </w:r>
    </w:p>
    <w:p w14:paraId="1E156A23"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Joint Economic Committee — Uncertainty and Manufacturing Investment ($490B estimate)</w:t>
      </w:r>
    </w:p>
    <w:p w14:paraId="36957F22"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ISM December 2025 PMI — Lowest Reading of 2025</w:t>
      </w:r>
    </w:p>
    <w:p w14:paraId="203AFA98"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Cato Institute — Manufacturing Employment Confirms Concentrated Benefits, Dispersed Costs of Tariffs (January 2026)</w:t>
      </w:r>
    </w:p>
    <w:p w14:paraId="11AC5863"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Manufacturing Dive — By the Numbers: 2025 Manufacturing Trends</w:t>
      </w:r>
    </w:p>
    <w:p w14:paraId="1BC7862A"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Advanced Manufacturing — Looking Ahead: Manufacturing 2026</w:t>
      </w:r>
    </w:p>
    <w:p w14:paraId="5072B593" w14:textId="77777777" w:rsidR="00C351DC" w:rsidRPr="00102D57" w:rsidRDefault="00000000">
      <w:pPr>
        <w:pStyle w:val="Heading2"/>
        <w:rPr>
          <w:rFonts w:asciiTheme="majorBidi" w:hAnsiTheme="majorBidi"/>
          <w:color w:val="000000" w:themeColor="text1"/>
          <w:sz w:val="24"/>
          <w:szCs w:val="24"/>
        </w:rPr>
      </w:pPr>
      <w:r w:rsidRPr="00102D57">
        <w:rPr>
          <w:rFonts w:asciiTheme="majorBidi" w:hAnsiTheme="majorBidi"/>
          <w:color w:val="000000" w:themeColor="text1"/>
          <w:sz w:val="24"/>
          <w:szCs w:val="24"/>
        </w:rPr>
        <w:t>Comparative Finance, Private Credit &amp; Development Finance</w:t>
      </w:r>
    </w:p>
    <w:p w14:paraId="5BACAAB5"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KfW benchmark rates and comparison to U.S. commercial manufacturing lending (ABF Journal)</w:t>
      </w:r>
    </w:p>
    <w:p w14:paraId="0A1DC796" w14:textId="77777777" w:rsidR="00C351DC" w:rsidRPr="00102D57" w:rsidRDefault="00000000">
      <w:pPr>
        <w:pStyle w:val="ListBullet"/>
        <w:rPr>
          <w:rFonts w:asciiTheme="majorBidi" w:hAnsiTheme="majorBidi" w:cstheme="majorBidi"/>
          <w:color w:val="000000" w:themeColor="text1"/>
          <w:sz w:val="24"/>
          <w:szCs w:val="24"/>
        </w:rPr>
      </w:pPr>
      <w:r w:rsidRPr="00102D57">
        <w:rPr>
          <w:rFonts w:asciiTheme="majorBidi" w:hAnsiTheme="majorBidi" w:cstheme="majorBidi"/>
          <w:color w:val="000000" w:themeColor="text1"/>
          <w:sz w:val="24"/>
          <w:szCs w:val="24"/>
        </w:rPr>
        <w:t>Foley &amp; Lardner — Private Credit and the Reshoring Wave: America’s Manufacturing Revival (October 2025)</w:t>
      </w:r>
    </w:p>
    <w:p w14:paraId="337E7333" w14:textId="77777777" w:rsidR="00C351DC" w:rsidRPr="005302F0" w:rsidRDefault="00000000" w:rsidP="005302F0">
      <w:pPr>
        <w:pStyle w:val="ListBullet"/>
        <w:rPr>
          <w:rFonts w:asciiTheme="majorBidi" w:hAnsiTheme="majorBidi" w:cstheme="majorBidi"/>
          <w:sz w:val="24"/>
          <w:szCs w:val="24"/>
        </w:rPr>
      </w:pPr>
      <w:r w:rsidRPr="00102D57">
        <w:rPr>
          <w:rFonts w:asciiTheme="majorBidi" w:hAnsiTheme="majorBidi" w:cstheme="majorBidi"/>
          <w:color w:val="000000" w:themeColor="text1"/>
          <w:sz w:val="24"/>
          <w:szCs w:val="24"/>
        </w:rPr>
        <w:t xml:space="preserve">Carnegie Endowment for International Peace — Positioning U.S. Development Finance for Industrial Power </w:t>
      </w:r>
      <w:r w:rsidRPr="005302F0">
        <w:rPr>
          <w:rFonts w:asciiTheme="majorBidi" w:hAnsiTheme="majorBidi" w:cstheme="majorBidi"/>
          <w:sz w:val="24"/>
          <w:szCs w:val="24"/>
        </w:rPr>
        <w:t>(December 2025)</w:t>
      </w:r>
    </w:p>
    <w:sectPr w:rsidR="00C351DC" w:rsidRPr="005302F0" w:rsidSect="005302F0">
      <w:headerReference w:type="default" r:id="rId2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34C14" w14:textId="77777777" w:rsidR="00DE6DF8" w:rsidRDefault="00DE6DF8">
      <w:pPr>
        <w:spacing w:after="0" w:line="240" w:lineRule="auto"/>
      </w:pPr>
      <w:r>
        <w:separator/>
      </w:r>
    </w:p>
  </w:endnote>
  <w:endnote w:type="continuationSeparator" w:id="0">
    <w:p w14:paraId="15D9D8CB" w14:textId="77777777" w:rsidR="00DE6DF8" w:rsidRDefault="00DE6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612C62" w14:textId="77777777" w:rsidR="00DE6DF8" w:rsidRDefault="00DE6DF8">
      <w:pPr>
        <w:spacing w:after="0" w:line="240" w:lineRule="auto"/>
      </w:pPr>
      <w:r>
        <w:separator/>
      </w:r>
    </w:p>
  </w:footnote>
  <w:footnote w:type="continuationSeparator" w:id="0">
    <w:p w14:paraId="28A7467D" w14:textId="77777777" w:rsidR="00DE6DF8" w:rsidRDefault="00DE6D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67BC1" w14:textId="551F8199" w:rsidR="005302F0" w:rsidRPr="005302F0" w:rsidRDefault="005302F0" w:rsidP="005302F0">
    <w:pPr>
      <w:contextualSpacing/>
      <w:rPr>
        <w:rFonts w:asciiTheme="majorBidi" w:hAnsiTheme="majorBidi" w:cstheme="majorBidi"/>
        <w:sz w:val="20"/>
        <w:szCs w:val="20"/>
      </w:rPr>
    </w:pPr>
    <w:r w:rsidRPr="005302F0">
      <w:rPr>
        <w:rFonts w:asciiTheme="majorBidi" w:hAnsiTheme="majorBidi" w:cstheme="majorBidi"/>
        <w:sz w:val="20"/>
        <w:szCs w:val="20"/>
      </w:rPr>
      <w:t>March</w:t>
    </w:r>
    <w:r w:rsidRPr="005302F0">
      <w:rPr>
        <w:rFonts w:asciiTheme="majorBidi" w:hAnsiTheme="majorBidi" w:cstheme="majorBidi"/>
        <w:sz w:val="20"/>
        <w:szCs w:val="20"/>
      </w:rPr>
      <w:t xml:space="preserve"> 30,</w:t>
    </w:r>
    <w:r w:rsidRPr="005302F0">
      <w:rPr>
        <w:rFonts w:asciiTheme="majorBidi" w:hAnsiTheme="majorBidi" w:cstheme="majorBidi"/>
        <w:sz w:val="20"/>
        <w:szCs w:val="20"/>
      </w:rPr>
      <w:t xml:space="preserve"> 2026</w:t>
    </w:r>
  </w:p>
  <w:p w14:paraId="5C764BE4" w14:textId="77777777" w:rsidR="005302F0" w:rsidRPr="005302F0" w:rsidRDefault="005302F0" w:rsidP="005302F0">
    <w:pPr>
      <w:contextualSpacing/>
      <w:rPr>
        <w:rFonts w:asciiTheme="majorBidi" w:hAnsiTheme="majorBidi" w:cstheme="majorBidi"/>
        <w:sz w:val="20"/>
        <w:szCs w:val="20"/>
      </w:rPr>
    </w:pPr>
    <w:r w:rsidRPr="005302F0">
      <w:rPr>
        <w:rFonts w:asciiTheme="majorBidi" w:hAnsiTheme="majorBidi" w:cstheme="majorBidi"/>
        <w:sz w:val="20"/>
        <w:szCs w:val="20"/>
      </w:rPr>
      <w:t>Rosenblatt, Claude, and Manus</w:t>
    </w:r>
  </w:p>
  <w:p w14:paraId="54EF62C7" w14:textId="69E8307F" w:rsidR="005302F0" w:rsidRPr="005302F0" w:rsidRDefault="005302F0" w:rsidP="005302F0">
    <w:pPr>
      <w:pStyle w:val="Head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92755002">
    <w:abstractNumId w:val="8"/>
  </w:num>
  <w:num w:numId="2" w16cid:durableId="640622132">
    <w:abstractNumId w:val="6"/>
  </w:num>
  <w:num w:numId="3" w16cid:durableId="1976642074">
    <w:abstractNumId w:val="5"/>
  </w:num>
  <w:num w:numId="4" w16cid:durableId="1531450130">
    <w:abstractNumId w:val="4"/>
  </w:num>
  <w:num w:numId="5" w16cid:durableId="525291536">
    <w:abstractNumId w:val="7"/>
  </w:num>
  <w:num w:numId="6" w16cid:durableId="594440220">
    <w:abstractNumId w:val="3"/>
  </w:num>
  <w:num w:numId="7" w16cid:durableId="1750495420">
    <w:abstractNumId w:val="2"/>
  </w:num>
  <w:num w:numId="8" w16cid:durableId="569927053">
    <w:abstractNumId w:val="1"/>
  </w:num>
  <w:num w:numId="9" w16cid:durableId="1158226680">
    <w:abstractNumId w:val="0"/>
  </w:num>
  <w:num w:numId="10" w16cid:durableId="5273765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2D57"/>
    <w:rsid w:val="0015074B"/>
    <w:rsid w:val="0029159C"/>
    <w:rsid w:val="0029639D"/>
    <w:rsid w:val="00326F90"/>
    <w:rsid w:val="003739DA"/>
    <w:rsid w:val="004F411E"/>
    <w:rsid w:val="005302F0"/>
    <w:rsid w:val="006014F7"/>
    <w:rsid w:val="008823FB"/>
    <w:rsid w:val="009E48A8"/>
    <w:rsid w:val="00AA1D8D"/>
    <w:rsid w:val="00B47730"/>
    <w:rsid w:val="00C351DC"/>
    <w:rsid w:val="00C607A0"/>
    <w:rsid w:val="00CB0664"/>
    <w:rsid w:val="00DE6DF8"/>
    <w:rsid w:val="00ED48E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4A4D2F"/>
  <w14:defaultImageDpi w14:val="300"/>
  <w15:docId w15:val="{D94BEF24-9CF3-DF4B-90D9-1013D603F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2F0"/>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font-sans">
    <w:name w:val="font-sans"/>
    <w:basedOn w:val="DefaultParagraphFont"/>
    <w:rsid w:val="009E48A8"/>
  </w:style>
  <w:style w:type="character" w:customStyle="1" w:styleId="flex-1">
    <w:name w:val="flex-1"/>
    <w:basedOn w:val="DefaultParagraphFont"/>
    <w:rsid w:val="009E4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ederalreserve.gov/data/sloos.htm" TargetMode="External"/><Relationship Id="rId13" Type="http://schemas.openxmlformats.org/officeDocument/2006/relationships/hyperlink" Target="https://www.abfjournal.com/manufacturing-renaissance-how-the-one-big-beautiful-act-and-private-credit-are-accelerating-middle-market-industrial-dealmaking/" TargetMode="External"/><Relationship Id="rId18" Type="http://schemas.openxmlformats.org/officeDocument/2006/relationships/hyperlink" Target="https://www.federalreserve.gov/econres/notes/feds-notes/supply-chain-risk-and-bank-lending-amid-trade-policy-uncertainty-20260130.html"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arrenaverett.com/insights/one-big-beautiful-bill-manufacturing/" TargetMode="External"/><Relationship Id="rId17" Type="http://schemas.openxmlformats.org/officeDocument/2006/relationships/hyperlink" Target="https://www.cato.org/blog/manufacturing-employment-data-confirms-concentrated-benefits-dispersed-costs-trumps-tariffs" TargetMode="External"/><Relationship Id="rId2" Type="http://schemas.openxmlformats.org/officeDocument/2006/relationships/numbering" Target="numbering.xml"/><Relationship Id="rId16" Type="http://schemas.openxmlformats.org/officeDocument/2006/relationships/hyperlink" Target="https://www.jec.senate.gov/public/index.cfm/democrats/2025/8/uncertainty-from-trump-s-tariffs-derails-u-s-manufacturing-in-both-the-short-and-long-term" TargetMode="External"/><Relationship Id="rId20" Type="http://schemas.openxmlformats.org/officeDocument/2006/relationships/hyperlink" Target="https://carnegieendowment.org/research/2025/11/from-caution-to-competition-positioning-us-development-finance-for-industrial-powe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sbs.org/spotlight-recent-trends-commercial-industrial-lending" TargetMode="External"/><Relationship Id="rId5" Type="http://schemas.openxmlformats.org/officeDocument/2006/relationships/webSettings" Target="webSettings.xml"/><Relationship Id="rId15" Type="http://schemas.openxmlformats.org/officeDocument/2006/relationships/hyperlink" Target="https://www.ismworld.org/supply-management-news-and-reports/reports/semi-annual-economic-forecast/2025/spring/" TargetMode="External"/><Relationship Id="rId23" Type="http://schemas.openxmlformats.org/officeDocument/2006/relationships/theme" Target="theme/theme1.xml"/><Relationship Id="rId10" Type="http://schemas.openxmlformats.org/officeDocument/2006/relationships/hyperlink" Target="https://advocacy.sba.gov/wp-content/uploads/2024/11/Small-Business-Finance-FAQs-2024_FINAL.pdf" TargetMode="External"/><Relationship Id="rId19" Type="http://schemas.openxmlformats.org/officeDocument/2006/relationships/hyperlink" Target="https://www.foley.com/insights/publications/2025/10/private-credit-and-reshoring-wave-americas-manufacturing-revival/" TargetMode="External"/><Relationship Id="rId4" Type="http://schemas.openxmlformats.org/officeDocument/2006/relationships/settings" Target="settings.xml"/><Relationship Id="rId9" Type="http://schemas.openxmlformats.org/officeDocument/2006/relationships/hyperlink" Target="https://www.chicagofed.org/publications/chicago-fed-insights/2024/manufacturers-new-equipment-decision" TargetMode="External"/><Relationship Id="rId14" Type="http://schemas.openxmlformats.org/officeDocument/2006/relationships/hyperlink" Target="https://www.brookings.edu/articles/do-existing-tax-rules-weaken-obbbas-pro-investment-incentive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12</Pages>
  <Words>4030</Words>
  <Characters>24141</Characters>
  <Application>Microsoft Office Word</Application>
  <DocSecurity>0</DocSecurity>
  <Lines>371</Lines>
  <Paragraphs>90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28081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Mark Rosenblatt</cp:lastModifiedBy>
  <cp:revision>2</cp:revision>
  <dcterms:created xsi:type="dcterms:W3CDTF">2013-12-23T23:15:00Z</dcterms:created>
  <dcterms:modified xsi:type="dcterms:W3CDTF">2026-03-30T17:50:00Z</dcterms:modified>
  <cp:category/>
</cp:coreProperties>
</file>