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EA8E8" w14:textId="66138A60" w:rsidR="008B676F" w:rsidRPr="00C15313" w:rsidRDefault="008B676F" w:rsidP="008B676F">
      <w:pPr>
        <w:ind w:left="360"/>
        <w:rPr>
          <w:rFonts w:asciiTheme="majorBidi" w:hAnsiTheme="majorBidi" w:cstheme="majorBidi"/>
          <w:b/>
          <w:bCs/>
          <w:u w:val="single"/>
        </w:rPr>
      </w:pPr>
      <w:r>
        <w:rPr>
          <w:rFonts w:asciiTheme="majorBidi" w:hAnsiTheme="majorBidi" w:cstheme="majorBidi"/>
          <w:b/>
          <w:bCs/>
          <w:u w:val="single"/>
        </w:rPr>
        <w:t>The “Manufacturing Returns are Lower than Other Industries” Discussion</w:t>
      </w:r>
    </w:p>
    <w:p w14:paraId="103C2D62" w14:textId="24A5DEAA" w:rsidR="008B676F" w:rsidRPr="00C15313" w:rsidRDefault="008B676F" w:rsidP="008B676F">
      <w:pPr>
        <w:rPr>
          <w:rFonts w:asciiTheme="majorBidi" w:hAnsiTheme="majorBidi" w:cstheme="majorBidi"/>
        </w:rPr>
      </w:pPr>
      <w:r>
        <w:rPr>
          <w:rFonts w:asciiTheme="majorBidi" w:hAnsiTheme="majorBidi" w:cstheme="majorBidi"/>
        </w:rPr>
        <w:t xml:space="preserve">Maintaining the U.S. growth engine through capital attraction and talent moving to new and growth industries is the core basis of America’s free-market success. However, the spread between low- and high-capital businesses has increased markedly. </w:t>
      </w:r>
    </w:p>
    <w:p w14:paraId="55FB6BC1" w14:textId="77777777" w:rsidR="008B676F" w:rsidRPr="00C15313" w:rsidRDefault="008B676F" w:rsidP="008B676F">
      <w:pPr>
        <w:rPr>
          <w:rFonts w:asciiTheme="majorBidi" w:hAnsiTheme="majorBidi" w:cstheme="majorBidi"/>
        </w:rPr>
      </w:pPr>
      <w:r>
        <w:rPr>
          <w:rFonts w:asciiTheme="majorBidi" w:hAnsiTheme="majorBidi" w:cstheme="majorBidi"/>
        </w:rPr>
        <w:t xml:space="preserve">The requirements of economic statecraft and the remaking of physical goods via the “electric stack,” advanced manufacturing, new materials and methods, and AI require rebuilding our Country’s manufacturing engine. </w:t>
      </w:r>
    </w:p>
    <w:p w14:paraId="6FA5B987" w14:textId="71922E26" w:rsidR="008B676F" w:rsidRPr="00C15313" w:rsidRDefault="008B676F" w:rsidP="008B676F">
      <w:pPr>
        <w:rPr>
          <w:rFonts w:asciiTheme="majorBidi" w:hAnsiTheme="majorBidi" w:cstheme="majorBidi"/>
        </w:rPr>
      </w:pPr>
      <w:r>
        <w:rPr>
          <w:rFonts w:asciiTheme="majorBidi" w:hAnsiTheme="majorBidi" w:cstheme="majorBidi"/>
        </w:rPr>
        <w:t>If we are not successful, we will live in the Flintstones’ Bedrock, which the rest of the world imports and works with China to move to the Jetsons’ Orbit City.</w:t>
      </w:r>
    </w:p>
    <w:p w14:paraId="78FCAB15" w14:textId="36E2CB75" w:rsidR="008B676F" w:rsidRPr="00C15313" w:rsidRDefault="008B676F" w:rsidP="001C6DE8">
      <w:pPr>
        <w:rPr>
          <w:rFonts w:asciiTheme="majorBidi" w:hAnsiTheme="majorBidi" w:cstheme="majorBidi"/>
          <w:i/>
          <w:iCs/>
        </w:rPr>
      </w:pPr>
      <w:r>
        <w:rPr>
          <w:rFonts w:asciiTheme="majorBidi" w:hAnsiTheme="majorBidi" w:cstheme="majorBidi"/>
          <w:i/>
          <w:iCs/>
        </w:rPr>
        <w:t xml:space="preserve">Attracting the capital and talent to the challenge requires changing the economics of returns. </w:t>
      </w:r>
    </w:p>
    <w:p w14:paraId="1A188942" w14:textId="5355E6F8" w:rsidR="00133223" w:rsidRPr="00C15313" w:rsidRDefault="008B182C" w:rsidP="00133223">
      <w:pPr>
        <w:rPr>
          <w:rFonts w:asciiTheme="majorBidi" w:hAnsiTheme="majorBidi" w:cstheme="majorBidi"/>
        </w:rPr>
      </w:pPr>
      <w:r>
        <w:rPr>
          <w:rFonts w:asciiTheme="majorBidi" w:hAnsiTheme="majorBidi" w:cstheme="majorBidi"/>
        </w:rPr>
        <w:t xml:space="preserve">To understand why U.S. manufacturing investment has chronically underperformed, it is necessary to look beyond anecdote and policy narrative to the underlying return-on-capital data. </w:t>
      </w:r>
      <w:hyperlink r:id="rId7" w:history="1">
        <w:r>
          <w:rPr>
            <w:rStyle w:val="Hyperlink"/>
            <w:rFonts w:asciiTheme="majorBidi" w:hAnsiTheme="majorBidi" w:cstheme="majorBidi"/>
          </w:rPr>
          <w:t>Aswath Damodaran, who teaches corporate finance at NYU Stern</w:t>
        </w:r>
      </w:hyperlink>
      <w:r>
        <w:rPr>
          <w:rFonts w:asciiTheme="majorBidi" w:hAnsiTheme="majorBidi" w:cstheme="majorBidi"/>
        </w:rPr>
        <w:t xml:space="preserve">, “happens to love untangling the puzzles of corporate finance and valuation.” </w:t>
      </w:r>
      <w:r>
        <w:rPr>
          <w:rFonts w:asciiTheme="majorBidi" w:hAnsiTheme="majorBidi" w:cstheme="majorBidi"/>
          <w:b/>
          <w:bCs/>
        </w:rPr>
        <w:t>Lucky for us.</w:t>
      </w:r>
      <w:r>
        <w:rPr>
          <w:rFonts w:asciiTheme="majorBidi" w:hAnsiTheme="majorBidi" w:cstheme="majorBidi"/>
        </w:rPr>
        <w:t xml:space="preserve"> His work collects comprehensive corporate information over many years. Damodaran's annual EVA (Economic Value Added: a measure of dollar surplus earned above the cost of capital) dataset covers virtually all publicly listed U.S. firms. It measures economic profit as the spread between the after-tax, lease-and-R&amp;D-adjusted return on capital and each sector's weighted-average cost of capital. </w:t>
      </w:r>
    </w:p>
    <w:p w14:paraId="732EA0B6" w14:textId="3AE8591E" w:rsidR="00133223" w:rsidRPr="00C15313" w:rsidRDefault="00133223" w:rsidP="00133223">
      <w:pPr>
        <w:rPr>
          <w:rFonts w:asciiTheme="majorBidi" w:hAnsiTheme="majorBidi" w:cstheme="majorBidi"/>
        </w:rPr>
      </w:pPr>
      <w:r>
        <w:rPr>
          <w:rFonts w:asciiTheme="majorBidi" w:hAnsiTheme="majorBidi" w:cstheme="majorBidi"/>
        </w:rPr>
        <w:t xml:space="preserve">His analysis provides the most comprehensive and methodologically consistent cross-sectional view of where the U.S. economy creates and destroys value. The picture that emerges is unambiguous and has two distinct dimensions. </w:t>
      </w:r>
    </w:p>
    <w:p w14:paraId="2F1686BF" w14:textId="5C0D4F7F" w:rsidR="00133223" w:rsidRPr="00C15313" w:rsidRDefault="008B182C" w:rsidP="00133223">
      <w:pPr>
        <w:rPr>
          <w:rFonts w:asciiTheme="majorBidi" w:hAnsiTheme="majorBidi" w:cstheme="majorBidi"/>
        </w:rPr>
      </w:pPr>
      <w:r>
        <w:rPr>
          <w:rFonts w:asciiTheme="majorBidi" w:hAnsiTheme="majorBidi" w:cstheme="majorBidi"/>
        </w:rPr>
        <w:t xml:space="preserve">First, there is a structural gap between what physical manufacturers earn and what the economy's most capital-attractive sectors earn. There is a gap so large that, left unassisted, rational capital allocation flows persistently away from factories and toward software, platforms, and IP-intensive businesses. </w:t>
      </w:r>
    </w:p>
    <w:p w14:paraId="2CE76C9B" w14:textId="05AF9488" w:rsidR="00133223" w:rsidRPr="00C15313" w:rsidRDefault="008B182C" w:rsidP="00133223">
      <w:pPr>
        <w:rPr>
          <w:rFonts w:asciiTheme="majorBidi" w:hAnsiTheme="majorBidi" w:cstheme="majorBidi"/>
        </w:rPr>
      </w:pPr>
      <w:r>
        <w:rPr>
          <w:rFonts w:asciiTheme="majorBidi" w:hAnsiTheme="majorBidi" w:cstheme="majorBidi"/>
        </w:rPr>
        <w:t xml:space="preserve">Second, even within manufacturing, returns have not been stable; the sectors most critical to national industrial security have been on a measurable downward trajectory for more than a decade, predating COVID, predating the CHIPS Act debate, and predating the current tariff cycle. Taken together, these two findings, the cross-sectional gap and the longitudinal deterioration, constitute the empirical foundation for the policy case.  </w:t>
      </w:r>
    </w:p>
    <w:p w14:paraId="7FF7A5DC" w14:textId="6AA3E725" w:rsidR="00A808A2" w:rsidRPr="00C15313" w:rsidRDefault="00133223" w:rsidP="00133223">
      <w:pPr>
        <w:rPr>
          <w:rFonts w:asciiTheme="majorBidi" w:hAnsiTheme="majorBidi" w:cstheme="majorBidi"/>
        </w:rPr>
      </w:pPr>
      <w:r>
        <w:rPr>
          <w:rFonts w:asciiTheme="majorBidi" w:hAnsiTheme="majorBidi" w:cstheme="majorBidi"/>
        </w:rPr>
        <w:t>Without structural intervention in the economics of physical manufacturing, market forces alone will continue to compound the underinvestment that has already accumulated.</w:t>
      </w:r>
    </w:p>
    <w:p w14:paraId="097ECB16" w14:textId="3EA55E2D" w:rsidR="00621F3F" w:rsidRDefault="008B182C" w:rsidP="00133223">
      <w:pPr>
        <w:rPr>
          <w:rFonts w:asciiTheme="majorBidi" w:hAnsiTheme="majorBidi" w:cstheme="majorBidi"/>
        </w:rPr>
      </w:pPr>
      <w:r>
        <w:rPr>
          <w:rFonts w:asciiTheme="majorBidi" w:hAnsiTheme="majorBidi" w:cstheme="majorBidi"/>
        </w:rPr>
        <w:t xml:space="preserve">The conclusions cited in this essay and those that follow rest on a specific analytical foundation. The primary data source is Aswath Damodaran's EVA dataset, compiled annually from the full universe of publicly listed U.S. companies. Damodaran’s database contains 7,766 firms in the </w:t>
      </w:r>
      <w:r>
        <w:rPr>
          <w:rFonts w:asciiTheme="majorBidi" w:hAnsiTheme="majorBidi" w:cstheme="majorBidi"/>
        </w:rPr>
        <w:lastRenderedPageBreak/>
        <w:t xml:space="preserve">January 2014 vintage covering 2013 data, and 5,994 firms in the January 2026 vintage covering 2025 trailing-twelve-month data. </w:t>
      </w:r>
    </w:p>
    <w:p w14:paraId="0A9202EB" w14:textId="77777777" w:rsidR="00621F3F" w:rsidRDefault="008B182C" w:rsidP="00133223">
      <w:pPr>
        <w:rPr>
          <w:rFonts w:asciiTheme="majorBidi" w:hAnsiTheme="majorBidi" w:cstheme="majorBidi"/>
        </w:rPr>
      </w:pPr>
      <w:r>
        <w:rPr>
          <w:rFonts w:asciiTheme="majorBidi" w:hAnsiTheme="majorBidi" w:cstheme="majorBidi"/>
        </w:rPr>
        <w:t xml:space="preserve">The core measure is the </w:t>
      </w:r>
    </w:p>
    <w:p w14:paraId="5506D555" w14:textId="637E97CA" w:rsidR="00621F3F"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EVA spread: return on capital minus weighted average cost of capital, where </w:t>
      </w:r>
    </w:p>
    <w:p w14:paraId="7C66B0B2" w14:textId="77777777" w:rsidR="00621F3F"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ROC (Return on Capital: operating profit after tax divided by total invested capital) is computed on an after-tax basis with both operating lease obligations and capitalized </w:t>
      </w:r>
    </w:p>
    <w:p w14:paraId="2945529A" w14:textId="7C66DC94" w:rsidR="00621F3F"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R&amp;D (Research and Development: expensed investments in innovation that Damodaran treats as long-lived assets and adds back to the capital base) is added back to invested capital, and </w:t>
      </w:r>
    </w:p>
    <w:p w14:paraId="2D9D13F2" w14:textId="77777777" w:rsidR="00621F3F"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WACC (Weighted Average Cost of Capital: the blended minimum return that debt and equity investors collectively require, weighted by each source's share of the firm's financing) is derived from a </w:t>
      </w:r>
    </w:p>
    <w:p w14:paraId="39B01D0A" w14:textId="77777777" w:rsidR="00621F3F"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CAPM (Capital Asset Pricing Model: a standard framework that sets a firm's cost of equity as the risk-free rate plus a premium proportional to its market sensitivity) based cost of equity using sector-level betas (a measure of each sector's return volatility relative to the overall market, used to scale the equity risk premium), the prevailing risk-free rate, and Damodaran's implied U.S. </w:t>
      </w:r>
    </w:p>
    <w:p w14:paraId="378E2405" w14:textId="7E12FE3B" w:rsidR="00133223" w:rsidRPr="00621F3F" w:rsidRDefault="008B182C" w:rsidP="00621F3F">
      <w:pPr>
        <w:pStyle w:val="ListParagraph"/>
        <w:numPr>
          <w:ilvl w:val="0"/>
          <w:numId w:val="3"/>
        </w:numPr>
        <w:rPr>
          <w:rFonts w:asciiTheme="majorBidi" w:hAnsiTheme="majorBidi" w:cstheme="majorBidi"/>
        </w:rPr>
      </w:pPr>
      <w:r>
        <w:rPr>
          <w:rFonts w:asciiTheme="majorBidi" w:hAnsiTheme="majorBidi" w:cstheme="majorBidi"/>
        </w:rPr>
        <w:t xml:space="preserve">ERP (Equity Risk Premium: the additional return investors demand for holding stocks rather than risk-free Treasuries). </w:t>
      </w:r>
    </w:p>
    <w:p w14:paraId="5DEF83BB" w14:textId="77777777" w:rsidR="00133223" w:rsidRPr="00C15313" w:rsidRDefault="008B182C" w:rsidP="00133223">
      <w:pPr>
        <w:rPr>
          <w:rFonts w:asciiTheme="majorBidi" w:hAnsiTheme="majorBidi" w:cstheme="majorBidi"/>
        </w:rPr>
      </w:pPr>
      <w:r>
        <w:rPr>
          <w:rFonts w:asciiTheme="majorBidi" w:hAnsiTheme="majorBidi" w:cstheme="majorBidi"/>
        </w:rPr>
        <w:t xml:space="preserve">A positive spread means a sector earns above what capital providers require; a negative spread means it destroys value on a risk-adjusted basis. </w:t>
      </w:r>
    </w:p>
    <w:p w14:paraId="4EF5CB3C" w14:textId="51481151" w:rsidR="00133223" w:rsidRPr="00C15313" w:rsidRDefault="008B182C" w:rsidP="00621F3F">
      <w:pPr>
        <w:rPr>
          <w:rFonts w:asciiTheme="majorBidi" w:hAnsiTheme="majorBidi" w:cstheme="majorBidi"/>
        </w:rPr>
      </w:pPr>
      <w:r>
        <w:rPr>
          <w:rFonts w:asciiTheme="majorBidi" w:hAnsiTheme="majorBidi" w:cstheme="majorBidi"/>
          <w:i/>
          <w:iCs/>
        </w:rPr>
        <w:t>One methodological point deserves particular emphasis</w:t>
      </w:r>
      <w:r>
        <w:rPr>
          <w:rFonts w:asciiTheme="majorBidi" w:hAnsiTheme="majorBidi" w:cstheme="majorBidi"/>
        </w:rPr>
        <w:t>: Damodaran's blended sector averages for categories like Semiconductor, Computers &amp; Peripherals, and Telecom Equipment are materially inflated by a small number of FGPs</w:t>
      </w:r>
      <w:r w:rsidR="005868AE">
        <w:rPr>
          <w:rStyle w:val="FootnoteReference"/>
          <w:rFonts w:asciiTheme="majorBidi" w:hAnsiTheme="majorBidi" w:cstheme="majorBidi"/>
        </w:rPr>
        <w:footnoteReference w:id="1"/>
      </w:r>
      <w:r>
        <w:rPr>
          <w:rFonts w:asciiTheme="majorBidi" w:hAnsiTheme="majorBidi" w:cstheme="majorBidi"/>
        </w:rPr>
        <w:t xml:space="preserve"> (Financialized Goods Producers: companies that nominally sell physical products but derive the overwhelming majority of their value from software, IP licensing, or platform network effects, and whose capital-light economics are structurally incompatible with physical manufacturing benchmarks). FGPs include fabless chipmakers (such as Nvidia, Qualcomm, and AMD), platform hardware companies (such as Apple and Cisco), and IP (Intellectual Property: patents, software, and proprietary know-how that generate returns without proportional capital investment) (such as RAMBUS, Dolby Labs, and InterDigital) </w:t>
      </w:r>
    </w:p>
    <w:p w14:paraId="30916946" w14:textId="28762682" w:rsidR="008B182C" w:rsidRPr="00C15313" w:rsidRDefault="008B182C" w:rsidP="00133223">
      <w:pPr>
        <w:rPr>
          <w:rFonts w:asciiTheme="majorBidi" w:hAnsiTheme="majorBidi" w:cstheme="majorBidi"/>
        </w:rPr>
      </w:pPr>
      <w:r>
        <w:rPr>
          <w:rFonts w:asciiTheme="majorBidi" w:hAnsiTheme="majorBidi" w:cstheme="majorBidi"/>
          <w:i/>
          <w:iCs/>
        </w:rPr>
        <w:t xml:space="preserve">Where those distortions are present, they are identified, and the analysis distinguishes between what the blended number reports and what the physical manufacturing sub-layer </w:t>
      </w:r>
      <w:proofErr w:type="gramStart"/>
      <w:r>
        <w:rPr>
          <w:rFonts w:asciiTheme="majorBidi" w:hAnsiTheme="majorBidi" w:cstheme="majorBidi"/>
          <w:i/>
          <w:iCs/>
        </w:rPr>
        <w:t>actually earns</w:t>
      </w:r>
      <w:proofErr w:type="gramEnd"/>
      <w:r>
        <w:rPr>
          <w:rFonts w:asciiTheme="majorBidi" w:hAnsiTheme="majorBidi" w:cstheme="majorBidi"/>
          <w:i/>
          <w:iCs/>
        </w:rPr>
        <w:t>.</w:t>
      </w:r>
    </w:p>
    <w:p w14:paraId="3C7A2810" w14:textId="77777777" w:rsidR="005868AE" w:rsidRDefault="005868AE" w:rsidP="005868AE">
      <w:pPr>
        <w:rPr>
          <w:rFonts w:asciiTheme="majorBidi" w:hAnsiTheme="majorBidi" w:cstheme="majorBidi"/>
        </w:rPr>
      </w:pPr>
      <w:r>
        <w:rPr>
          <w:rFonts w:asciiTheme="majorBidi" w:hAnsiTheme="majorBidi" w:cstheme="majorBidi"/>
        </w:rPr>
        <w:lastRenderedPageBreak/>
        <w:t xml:space="preserve">The 2026 Damodaran EVA data support two distinct manufacturing baselines, and intellectual honesty requires presenting both. The first is a broad, N-weighted average across all 22 NAICS 31-33 sectors that survive exclusion for data integrity (removing FGP-distorted categories, statistically invalid categories, non-manufacturing cross-contamination, and MISA NAICS exclusions). This </w:t>
      </w:r>
      <w:r>
        <w:rPr>
          <w:rFonts w:asciiTheme="majorBidi" w:hAnsiTheme="majorBidi" w:cstheme="majorBidi"/>
          <w:b/>
          <w:bCs/>
        </w:rPr>
        <w:t>Tier 1 baseline</w:t>
      </w:r>
      <w:r>
        <w:rPr>
          <w:rFonts w:asciiTheme="majorBidi" w:hAnsiTheme="majorBidi" w:cstheme="majorBidi"/>
        </w:rPr>
        <w:t xml:space="preserve"> covers 1,066 US manufacturing firms and yields a weighted average EVA spread of approximately +8.4% and a weighted average ROC of approximately 16%. The second is a capital-intensive physical sub-tier — the five sectors with heavy fixed-asset requirements, commodity-priced output, and maximum exposure to global competition (Auto &amp; Truck, Chemical Basic, Steel, Rubber &amp; Tires, Auto Parts). This </w:t>
      </w:r>
      <w:r>
        <w:rPr>
          <w:rFonts w:asciiTheme="majorBidi" w:hAnsiTheme="majorBidi" w:cstheme="majorBidi"/>
          <w:b/>
          <w:bCs/>
        </w:rPr>
        <w:t>Tier 2 baseline</w:t>
      </w:r>
      <w:r>
        <w:rPr>
          <w:rFonts w:asciiTheme="majorBidi" w:hAnsiTheme="majorBidi" w:cstheme="majorBidi"/>
        </w:rPr>
        <w:t xml:space="preserve"> covers 119 firms and yields a weighted average EVA spread of approximately −2.6% and a weighted average ROC of approximately 5.3%. Both baselines are calculated from live formulas in the accompanying spreadsheet (</w:t>
      </w:r>
      <w:proofErr w:type="spellStart"/>
      <w:r>
        <w:rPr>
          <w:rFonts w:asciiTheme="majorBidi" w:hAnsiTheme="majorBidi" w:cstheme="majorBidi"/>
        </w:rPr>
        <w:t>Mfg_Baseline_Calculations</w:t>
      </w:r>
      <w:proofErr w:type="spellEnd"/>
      <w:r>
        <w:rPr>
          <w:rFonts w:asciiTheme="majorBidi" w:hAnsiTheme="majorBidi" w:cstheme="majorBidi"/>
        </w:rPr>
        <w:t xml:space="preserve"> sheet). The comparison sectors are measured against both.</w:t>
      </w:r>
    </w:p>
    <w:p w14:paraId="355FBD8A" w14:textId="77777777" w:rsidR="005868AE" w:rsidRPr="00B61749" w:rsidRDefault="005868AE" w:rsidP="005868AE">
      <w:pPr>
        <w:rPr>
          <w:rFonts w:asciiTheme="majorBidi" w:hAnsiTheme="majorBidi" w:cstheme="majorBidi"/>
        </w:rPr>
      </w:pPr>
      <w:r>
        <w:rPr>
          <w:rFonts w:asciiTheme="majorBidi" w:hAnsiTheme="majorBidi" w:cstheme="majorBidi"/>
        </w:rPr>
        <w:t>Against both baselines:</w:t>
      </w:r>
    </w:p>
    <w:p w14:paraId="34F72BCE" w14:textId="77777777" w:rsidR="005868AE" w:rsidRPr="00B61749" w:rsidRDefault="005868AE" w:rsidP="005868AE">
      <w:pPr>
        <w:rPr>
          <w:rFonts w:asciiTheme="majorBidi" w:hAnsiTheme="majorBidi" w:cstheme="majorBidi"/>
        </w:rPr>
      </w:pPr>
      <w:r>
        <w:rPr>
          <w:rFonts w:asciiTheme="majorBidi" w:hAnsiTheme="majorBidi" w:cstheme="majorBidi"/>
          <w:b/>
          <w:bCs/>
        </w:rPr>
        <w:t>Software</w:t>
      </w:r>
      <w:r>
        <w:rPr>
          <w:rFonts w:asciiTheme="majorBidi" w:hAnsiTheme="majorBidi" w:cstheme="majorBidi"/>
        </w:rPr>
        <w:t xml:space="preserve"> (System &amp; Application, n=309 US firms) earns a lease-and-R&amp;D-adjusted ROC of 29.3% and an EVA spread of +20.0 percentage points above its cost of capital. </w:t>
      </w:r>
      <w:r w:rsidRPr="005868AE">
        <w:rPr>
          <w:rFonts w:asciiTheme="majorBidi" w:hAnsiTheme="majorBidi" w:cstheme="majorBidi"/>
          <w:b/>
          <w:bCs/>
          <w:u w:val="single"/>
        </w:rPr>
        <w:t>Against Tier 1 (broad manufacturing, weighted average ROC of ~16%), software earns approximately 1.8 times the manufacturing average ROC, with a spread gap of roughly +12 percentage points.</w:t>
      </w:r>
      <w:r>
        <w:rPr>
          <w:rFonts w:asciiTheme="majorBidi" w:hAnsiTheme="majorBidi" w:cstheme="majorBidi"/>
        </w:rPr>
        <w:t xml:space="preserve"> Against </w:t>
      </w:r>
      <w:r>
        <w:rPr>
          <w:rFonts w:asciiTheme="majorBidi" w:hAnsiTheme="majorBidi" w:cstheme="majorBidi"/>
          <w:b/>
          <w:bCs/>
        </w:rPr>
        <w:t>Tier 2</w:t>
      </w:r>
      <w:r>
        <w:rPr>
          <w:rFonts w:asciiTheme="majorBidi" w:hAnsiTheme="majorBidi" w:cstheme="majorBidi"/>
        </w:rPr>
        <w:t xml:space="preserve"> (capital-intensive physical, weighted average ROC of ~5.3%), software earns approximately </w:t>
      </w:r>
      <w:r>
        <w:rPr>
          <w:rFonts w:asciiTheme="majorBidi" w:hAnsiTheme="majorBidi" w:cstheme="majorBidi"/>
          <w:b/>
          <w:bCs/>
        </w:rPr>
        <w:t>5.5 times</w:t>
      </w:r>
      <w:r>
        <w:rPr>
          <w:rFonts w:asciiTheme="majorBidi" w:hAnsiTheme="majorBidi" w:cstheme="majorBidi"/>
        </w:rPr>
        <w:t xml:space="preserve"> as much, with a spread gap of approximately 23 percentage points. The Tier 2 comparison is the policy-relevant number: it measures the distance between the sectors that rational capital markets are defunding and the sector that capital flows most eagerly toward.</w:t>
      </w:r>
    </w:p>
    <w:p w14:paraId="09583B0E" w14:textId="77777777" w:rsidR="005868AE" w:rsidRPr="00B61749" w:rsidRDefault="005868AE" w:rsidP="005868AE">
      <w:pPr>
        <w:rPr>
          <w:rFonts w:asciiTheme="majorBidi" w:hAnsiTheme="majorBidi" w:cstheme="majorBidi"/>
        </w:rPr>
      </w:pPr>
      <w:r>
        <w:rPr>
          <w:rFonts w:asciiTheme="majorBidi" w:hAnsiTheme="majorBidi" w:cstheme="majorBidi"/>
          <w:b/>
          <w:bCs/>
        </w:rPr>
        <w:t>Business and Consumer Services</w:t>
      </w:r>
      <w:r>
        <w:rPr>
          <w:rFonts w:asciiTheme="majorBidi" w:hAnsiTheme="majorBidi" w:cstheme="majorBidi"/>
        </w:rPr>
        <w:t xml:space="preserve"> (n=155 firms) earns an ROC of 28.3% and an EVA spread of +21.1pp, the single largest positive spread of any broadly comparable sector in the dataset. </w:t>
      </w:r>
      <w:r w:rsidRPr="005868AE">
        <w:rPr>
          <w:rFonts w:asciiTheme="majorBidi" w:hAnsiTheme="majorBidi" w:cstheme="majorBidi"/>
          <w:b/>
          <w:bCs/>
          <w:u w:val="single"/>
        </w:rPr>
        <w:t xml:space="preserve">Against Tier 1 (broad manufacturing), services </w:t>
      </w:r>
      <w:proofErr w:type="gramStart"/>
      <w:r w:rsidRPr="005868AE">
        <w:rPr>
          <w:rFonts w:asciiTheme="majorBidi" w:hAnsiTheme="majorBidi" w:cstheme="majorBidi"/>
          <w:b/>
          <w:bCs/>
          <w:u w:val="single"/>
        </w:rPr>
        <w:t>earns</w:t>
      </w:r>
      <w:proofErr w:type="gramEnd"/>
      <w:r w:rsidRPr="005868AE">
        <w:rPr>
          <w:rFonts w:asciiTheme="majorBidi" w:hAnsiTheme="majorBidi" w:cstheme="majorBidi"/>
          <w:b/>
          <w:bCs/>
          <w:u w:val="single"/>
        </w:rPr>
        <w:t xml:space="preserve"> approximately 1.8 times the manufacturing average ROC, with a spread gap of roughly +13 percentage points.</w:t>
      </w:r>
      <w:r>
        <w:rPr>
          <w:rFonts w:asciiTheme="majorBidi" w:hAnsiTheme="majorBidi" w:cstheme="majorBidi"/>
        </w:rPr>
        <w:t xml:space="preserve"> Against </w:t>
      </w:r>
      <w:r>
        <w:rPr>
          <w:rFonts w:asciiTheme="majorBidi" w:hAnsiTheme="majorBidi" w:cstheme="majorBidi"/>
          <w:b/>
          <w:bCs/>
        </w:rPr>
        <w:t>Tier 2</w:t>
      </w:r>
      <w:r>
        <w:rPr>
          <w:rFonts w:asciiTheme="majorBidi" w:hAnsiTheme="majorBidi" w:cstheme="majorBidi"/>
        </w:rPr>
        <w:t xml:space="preserve"> (capital-intensive physical), services </w:t>
      </w:r>
      <w:proofErr w:type="gramStart"/>
      <w:r>
        <w:rPr>
          <w:rFonts w:asciiTheme="majorBidi" w:hAnsiTheme="majorBidi" w:cstheme="majorBidi"/>
        </w:rPr>
        <w:t>earns</w:t>
      </w:r>
      <w:proofErr w:type="gramEnd"/>
      <w:r>
        <w:rPr>
          <w:rFonts w:asciiTheme="majorBidi" w:hAnsiTheme="majorBidi" w:cstheme="majorBidi"/>
        </w:rPr>
        <w:t xml:space="preserve"> approximately </w:t>
      </w:r>
      <w:r>
        <w:rPr>
          <w:rFonts w:asciiTheme="majorBidi" w:hAnsiTheme="majorBidi" w:cstheme="majorBidi"/>
          <w:b/>
          <w:bCs/>
        </w:rPr>
        <w:t>5.3 times</w:t>
      </w:r>
      <w:r>
        <w:rPr>
          <w:rFonts w:asciiTheme="majorBidi" w:hAnsiTheme="majorBidi" w:cstheme="majorBidi"/>
        </w:rPr>
        <w:t xml:space="preserve"> as much, with a spread gap of approximately 24 percentage points, reflecting the capital-light economics of professional and consulting services where invested capital is minimal and pricing reflects relationships and proprietary methodology rather than commodity inputs.</w:t>
      </w:r>
    </w:p>
    <w:p w14:paraId="18DE4AED" w14:textId="77777777" w:rsidR="005868AE" w:rsidRPr="00B61749" w:rsidRDefault="005868AE" w:rsidP="005868AE">
      <w:pPr>
        <w:rPr>
          <w:rFonts w:asciiTheme="majorBidi" w:hAnsiTheme="majorBidi" w:cstheme="majorBidi"/>
        </w:rPr>
      </w:pPr>
      <w:r>
        <w:rPr>
          <w:rFonts w:asciiTheme="majorBidi" w:hAnsiTheme="majorBidi" w:cstheme="majorBidi"/>
          <w:b/>
          <w:bCs/>
        </w:rPr>
        <w:t>Pharmaceuticals</w:t>
      </w:r>
      <w:r>
        <w:rPr>
          <w:rFonts w:asciiTheme="majorBidi" w:hAnsiTheme="majorBidi" w:cstheme="majorBidi"/>
        </w:rPr>
        <w:t xml:space="preserve"> (Drugs/Pharmaceutical, n=228 firms) earns an ROC of 16.95% and an EVA spread of +9.1pp, even after R&amp;D capitalization substantially reduces the apparent ROC from its unadjusted level. </w:t>
      </w:r>
      <w:r w:rsidRPr="005868AE">
        <w:rPr>
          <w:rFonts w:asciiTheme="majorBidi" w:hAnsiTheme="majorBidi" w:cstheme="majorBidi"/>
          <w:b/>
          <w:bCs/>
          <w:u w:val="single"/>
        </w:rPr>
        <w:t xml:space="preserve">Against Tier 1 (broad manufacturing, weighted average ROC of ~16%), pharma earns approximately 1.1 times the manufacturing average </w:t>
      </w:r>
      <w:proofErr w:type="gramStart"/>
      <w:r w:rsidRPr="005868AE">
        <w:rPr>
          <w:rFonts w:asciiTheme="majorBidi" w:hAnsiTheme="majorBidi" w:cstheme="majorBidi"/>
          <w:b/>
          <w:bCs/>
          <w:u w:val="single"/>
        </w:rPr>
        <w:t>ROC</w:t>
      </w:r>
      <w:r>
        <w:rPr>
          <w:rFonts w:asciiTheme="majorBidi" w:hAnsiTheme="majorBidi" w:cstheme="majorBidi"/>
          <w:b/>
          <w:bCs/>
          <w:u w:val="single"/>
        </w:rPr>
        <w:t>,</w:t>
      </w:r>
      <w:r w:rsidRPr="005868AE">
        <w:rPr>
          <w:rFonts w:asciiTheme="majorBidi" w:hAnsiTheme="majorBidi" w:cstheme="majorBidi"/>
          <w:b/>
          <w:bCs/>
          <w:u w:val="single"/>
        </w:rPr>
        <w:t xml:space="preserve">  a</w:t>
      </w:r>
      <w:proofErr w:type="gramEnd"/>
      <w:r w:rsidRPr="005868AE">
        <w:rPr>
          <w:rFonts w:asciiTheme="majorBidi" w:hAnsiTheme="majorBidi" w:cstheme="majorBidi"/>
          <w:b/>
          <w:bCs/>
          <w:u w:val="single"/>
        </w:rPr>
        <w:t xml:space="preserve"> methodologically important point showing that R&amp;D-capitalized pharmaceutical returns converge toward manufacturing in aggregate.</w:t>
      </w:r>
      <w:r>
        <w:rPr>
          <w:rFonts w:asciiTheme="majorBidi" w:hAnsiTheme="majorBidi" w:cstheme="majorBidi"/>
        </w:rPr>
        <w:t xml:space="preserve"> Against </w:t>
      </w:r>
      <w:r>
        <w:rPr>
          <w:rFonts w:asciiTheme="majorBidi" w:hAnsiTheme="majorBidi" w:cstheme="majorBidi"/>
          <w:b/>
          <w:bCs/>
        </w:rPr>
        <w:t>Tier 2</w:t>
      </w:r>
      <w:r>
        <w:rPr>
          <w:rFonts w:asciiTheme="majorBidi" w:hAnsiTheme="majorBidi" w:cstheme="majorBidi"/>
        </w:rPr>
        <w:t xml:space="preserve"> (capital-intensive physical), </w:t>
      </w:r>
      <w:r>
        <w:rPr>
          <w:rFonts w:asciiTheme="majorBidi" w:hAnsiTheme="majorBidi" w:cstheme="majorBidi"/>
        </w:rPr>
        <w:lastRenderedPageBreak/>
        <w:t xml:space="preserve">pharma earns approximately </w:t>
      </w:r>
      <w:r>
        <w:rPr>
          <w:rFonts w:asciiTheme="majorBidi" w:hAnsiTheme="majorBidi" w:cstheme="majorBidi"/>
          <w:b/>
          <w:bCs/>
        </w:rPr>
        <w:t>3.2 times</w:t>
      </w:r>
      <w:r>
        <w:rPr>
          <w:rFonts w:asciiTheme="majorBidi" w:hAnsiTheme="majorBidi" w:cstheme="majorBidi"/>
        </w:rPr>
        <w:t xml:space="preserve"> as much, with a spread gap of approximately 12 percentage points above the sectors the policy targets.</w:t>
      </w:r>
    </w:p>
    <w:p w14:paraId="02F99949" w14:textId="13EFEF4E" w:rsidR="005868AE" w:rsidRDefault="005868AE" w:rsidP="005868AE">
      <w:pPr>
        <w:rPr>
          <w:rFonts w:asciiTheme="majorBidi" w:hAnsiTheme="majorBidi" w:cstheme="majorBidi"/>
        </w:rPr>
      </w:pPr>
      <w:r>
        <w:rPr>
          <w:rFonts w:asciiTheme="majorBidi" w:hAnsiTheme="majorBidi" w:cstheme="majorBidi"/>
        </w:rPr>
        <w:t xml:space="preserve">Put simply, there are two distinct stories. At the Tier 1 level, broad U.S. manufacturing earns a positive EVA spread — the sector creates value on a risk-adjusted basis — but does so at roughly half the rate of software and services. The gap is real, but manufacturing </w:t>
      </w:r>
      <w:proofErr w:type="gramStart"/>
      <w:r>
        <w:rPr>
          <w:rFonts w:asciiTheme="majorBidi" w:hAnsiTheme="majorBidi" w:cstheme="majorBidi"/>
        </w:rPr>
        <w:t>as a whole is</w:t>
      </w:r>
      <w:proofErr w:type="gramEnd"/>
      <w:r>
        <w:rPr>
          <w:rFonts w:asciiTheme="majorBidi" w:hAnsiTheme="majorBidi" w:cstheme="majorBidi"/>
        </w:rPr>
        <w:t xml:space="preserve"> not failing; it is underperforming relative to capital-light alternatives. At the Tier 2 level, the most capital-intensive physical sectors — the ones that house the defense industrial base, the supply chains that matter for economic statecraft, and the employment base that does not relocate to software parks — are actively destroying capital. </w:t>
      </w:r>
    </w:p>
    <w:p w14:paraId="2C054902" w14:textId="293CD953" w:rsidR="005868AE" w:rsidRDefault="005868AE" w:rsidP="005868AE">
      <w:pPr>
        <w:rPr>
          <w:rFonts w:asciiTheme="majorBidi" w:hAnsiTheme="majorBidi" w:cstheme="majorBidi"/>
        </w:rPr>
      </w:pPr>
      <w:r>
        <w:rPr>
          <w:rFonts w:asciiTheme="majorBidi" w:hAnsiTheme="majorBidi" w:cstheme="majorBidi"/>
        </w:rPr>
        <w:t xml:space="preserve">Looking </w:t>
      </w:r>
      <w:r>
        <w:rPr>
          <w:rFonts w:asciiTheme="majorBidi" w:hAnsiTheme="majorBidi" w:cstheme="majorBidi"/>
        </w:rPr>
        <w:t>defined</w:t>
      </w:r>
      <w:r>
        <w:rPr>
          <w:rFonts w:asciiTheme="majorBidi" w:hAnsiTheme="majorBidi" w:cstheme="majorBidi"/>
        </w:rPr>
        <w:t xml:space="preserve"> commodity industries </w:t>
      </w:r>
      <w:r>
        <w:rPr>
          <w:rFonts w:asciiTheme="majorBidi" w:hAnsiTheme="majorBidi" w:cstheme="majorBidi"/>
        </w:rPr>
        <w:t xml:space="preserve">– Tier 2 - </w:t>
      </w:r>
      <w:r>
        <w:rPr>
          <w:rFonts w:asciiTheme="majorBidi" w:hAnsiTheme="majorBidi" w:cstheme="majorBidi"/>
        </w:rPr>
        <w:t>is instructive:</w:t>
      </w:r>
    </w:p>
    <w:p w14:paraId="50343322" w14:textId="7D9A85A0" w:rsidR="005868AE" w:rsidRPr="00C15313" w:rsidRDefault="005868AE" w:rsidP="005868AE">
      <w:pPr>
        <w:rPr>
          <w:rFonts w:asciiTheme="majorBidi" w:hAnsiTheme="majorBidi" w:cstheme="majorBidi"/>
        </w:rPr>
      </w:pPr>
      <w:r>
        <w:rPr>
          <w:rFonts w:asciiTheme="majorBidi" w:hAnsiTheme="majorBidi" w:cstheme="majorBidi"/>
        </w:rPr>
        <w:t xml:space="preserve">The cross-sectional analysis compares the 2026 EVA spreads of physical manufacturing categories (Auto &amp; Truck, Chemical (Basic), Steel, Rubber &amp; Tires, Auto Parts) against the broader universe of U.S. sectors to show where manufacturing sits in the capital-return hierarchy today. The longitudinal analysis tracks the same sectors across five Damodaran vintages (2013, 2014, 2015, 2016, and 2026) to determine whether the current readings reflect a recent shock or a structural trend. </w:t>
      </w:r>
    </w:p>
    <w:p w14:paraId="0B60FA8F" w14:textId="77777777" w:rsidR="00404371" w:rsidRPr="00C15313" w:rsidRDefault="008B182C" w:rsidP="008B182C">
      <w:pPr>
        <w:rPr>
          <w:rFonts w:asciiTheme="majorBidi" w:hAnsiTheme="majorBidi" w:cstheme="majorBidi"/>
        </w:rPr>
      </w:pPr>
      <w:r>
        <w:rPr>
          <w:rFonts w:asciiTheme="majorBidi" w:hAnsiTheme="majorBidi" w:cstheme="majorBidi"/>
        </w:rPr>
        <w:t xml:space="preserve">As of January 2026, the EVA spread data reveal a structural bifurcation in the U.S. economy that cannot be explained by business cycles or firm-level management. The four most capital-intensive physical manufacturing sectors all earned below their cost of capital: </w:t>
      </w:r>
    </w:p>
    <w:p w14:paraId="7BF4B92B" w14:textId="1AA2DBD5" w:rsidR="00404371" w:rsidRPr="00C15313" w:rsidRDefault="008B182C" w:rsidP="00404371">
      <w:pPr>
        <w:pStyle w:val="ListParagraph"/>
        <w:numPr>
          <w:ilvl w:val="0"/>
          <w:numId w:val="2"/>
        </w:numPr>
        <w:rPr>
          <w:rFonts w:asciiTheme="majorBidi" w:hAnsiTheme="majorBidi" w:cstheme="majorBidi"/>
        </w:rPr>
      </w:pPr>
      <w:r>
        <w:rPr>
          <w:rFonts w:asciiTheme="majorBidi" w:hAnsiTheme="majorBidi" w:cstheme="majorBidi"/>
        </w:rPr>
        <w:t xml:space="preserve">Auto &amp; Truck posted a return on capital of 2.25% against a WACC of 9.38%, producing an EVA spread of −7.13 percentage points. </w:t>
      </w:r>
    </w:p>
    <w:p w14:paraId="5A2D04DD" w14:textId="77777777" w:rsidR="00404371" w:rsidRPr="00C15313" w:rsidRDefault="008B182C" w:rsidP="00404371">
      <w:pPr>
        <w:pStyle w:val="ListParagraph"/>
        <w:numPr>
          <w:ilvl w:val="0"/>
          <w:numId w:val="2"/>
        </w:numPr>
        <w:rPr>
          <w:rFonts w:asciiTheme="majorBidi" w:hAnsiTheme="majorBidi" w:cstheme="majorBidi"/>
        </w:rPr>
      </w:pPr>
      <w:r>
        <w:rPr>
          <w:rFonts w:asciiTheme="majorBidi" w:hAnsiTheme="majorBidi" w:cstheme="majorBidi"/>
        </w:rPr>
        <w:t>Chemical (Basic) earned 3.72% against a 6.22% cost of capital (−2.50pp spread);</w:t>
      </w:r>
    </w:p>
    <w:p w14:paraId="57740F9A" w14:textId="77777777" w:rsidR="00404371" w:rsidRPr="00C15313" w:rsidRDefault="008B182C" w:rsidP="00404371">
      <w:pPr>
        <w:pStyle w:val="ListParagraph"/>
        <w:numPr>
          <w:ilvl w:val="0"/>
          <w:numId w:val="2"/>
        </w:numPr>
        <w:rPr>
          <w:rFonts w:asciiTheme="majorBidi" w:hAnsiTheme="majorBidi" w:cstheme="majorBidi"/>
        </w:rPr>
      </w:pPr>
      <w:r>
        <w:rPr>
          <w:rFonts w:asciiTheme="majorBidi" w:hAnsiTheme="majorBidi" w:cstheme="majorBidi"/>
        </w:rPr>
        <w:t xml:space="preserve">Steel earned 6.72% against 7.76% (−1.04pp); and </w:t>
      </w:r>
    </w:p>
    <w:p w14:paraId="58F75567" w14:textId="77777777" w:rsidR="00404371" w:rsidRPr="00C15313" w:rsidRDefault="008B182C" w:rsidP="00404371">
      <w:pPr>
        <w:pStyle w:val="ListParagraph"/>
        <w:numPr>
          <w:ilvl w:val="0"/>
          <w:numId w:val="2"/>
        </w:numPr>
        <w:rPr>
          <w:rFonts w:asciiTheme="majorBidi" w:hAnsiTheme="majorBidi" w:cstheme="majorBidi"/>
        </w:rPr>
      </w:pPr>
      <w:r>
        <w:rPr>
          <w:rFonts w:asciiTheme="majorBidi" w:hAnsiTheme="majorBidi" w:cstheme="majorBidi"/>
        </w:rPr>
        <w:t xml:space="preserve">Rubber &amp; Tires earned 3.17% against 4.48% (−1.31pp). </w:t>
      </w:r>
    </w:p>
    <w:p w14:paraId="11AB62E3" w14:textId="1A877099" w:rsidR="00133223" w:rsidRPr="00C15313" w:rsidRDefault="008B182C" w:rsidP="00404371">
      <w:pPr>
        <w:pStyle w:val="ListParagraph"/>
        <w:numPr>
          <w:ilvl w:val="0"/>
          <w:numId w:val="2"/>
        </w:numPr>
        <w:rPr>
          <w:rFonts w:asciiTheme="majorBidi" w:hAnsiTheme="majorBidi" w:cstheme="majorBidi"/>
        </w:rPr>
      </w:pPr>
      <w:r>
        <w:rPr>
          <w:rFonts w:asciiTheme="majorBidi" w:hAnsiTheme="majorBidi" w:cstheme="majorBidi"/>
        </w:rPr>
        <w:t xml:space="preserve">Auto Parts, the broadest physical supply-chain category, barely cleared its hurdle rate at +0.80pp. </w:t>
      </w:r>
    </w:p>
    <w:p w14:paraId="195380EC" w14:textId="77777777" w:rsidR="00404371" w:rsidRPr="00C15313" w:rsidRDefault="008B182C" w:rsidP="008B182C">
      <w:pPr>
        <w:rPr>
          <w:rFonts w:asciiTheme="majorBidi" w:hAnsiTheme="majorBidi" w:cstheme="majorBidi"/>
        </w:rPr>
      </w:pPr>
      <w:r>
        <w:rPr>
          <w:rFonts w:asciiTheme="majorBidi" w:hAnsiTheme="majorBidi" w:cstheme="majorBidi"/>
        </w:rPr>
        <w:t xml:space="preserve">These sectors stood in stark contrast to the economy's financialized tier. Computers &amp; Peripherals, a category dominated by Apple's software-and-ecosystem margins, posted a blended spread of +35.05pp on a 44.76% ROC. Software (System &amp; Application) earned an unadjusted ROC of 50.17% per Damodaran’s data. </w:t>
      </w:r>
    </w:p>
    <w:p w14:paraId="351BFCEF" w14:textId="77777777" w:rsidR="00404371" w:rsidRPr="00C15313" w:rsidRDefault="008B182C" w:rsidP="008B182C">
      <w:pPr>
        <w:rPr>
          <w:rFonts w:asciiTheme="majorBidi" w:hAnsiTheme="majorBidi" w:cstheme="majorBidi"/>
        </w:rPr>
      </w:pPr>
      <w:r>
        <w:rPr>
          <w:rFonts w:asciiTheme="majorBidi" w:hAnsiTheme="majorBidi" w:cstheme="majorBidi"/>
        </w:rPr>
        <w:t xml:space="preserve">Even after R&amp;D capitalization reduces the Semiconductor category's apparent ROC from 41.83% (mgnroc file, unadjusted) to 27.23% (EVA, lease and R&amp;D adjusted), the blended spread still registers +16.68pp. This is driven almost entirely by NVIDIA's AI-supercycle economics. </w:t>
      </w:r>
    </w:p>
    <w:p w14:paraId="28362C77" w14:textId="77777777" w:rsidR="00404371" w:rsidRPr="00C15313" w:rsidRDefault="008B182C" w:rsidP="00404371">
      <w:pPr>
        <w:rPr>
          <w:rFonts w:asciiTheme="majorBidi" w:hAnsiTheme="majorBidi" w:cstheme="majorBidi"/>
        </w:rPr>
      </w:pPr>
      <w:r>
        <w:rPr>
          <w:rFonts w:asciiTheme="majorBidi" w:hAnsiTheme="majorBidi" w:cstheme="majorBidi"/>
        </w:rPr>
        <w:t xml:space="preserve">The total U.S. market ex-financials earned a spread of +7.35pp. </w:t>
      </w:r>
    </w:p>
    <w:p w14:paraId="4F450632" w14:textId="55AB5058" w:rsidR="008B182C" w:rsidRPr="008B182C" w:rsidRDefault="008B182C" w:rsidP="00404371">
      <w:pPr>
        <w:rPr>
          <w:rFonts w:asciiTheme="majorBidi" w:hAnsiTheme="majorBidi" w:cstheme="majorBidi"/>
          <w:i/>
          <w:iCs/>
        </w:rPr>
      </w:pPr>
      <w:r>
        <w:rPr>
          <w:rFonts w:asciiTheme="majorBidi" w:hAnsiTheme="majorBidi" w:cstheme="majorBidi"/>
          <w:i/>
          <w:iCs/>
        </w:rPr>
        <w:lastRenderedPageBreak/>
        <w:t>Physical manufacturers were not merely below the market average; they were earning 9 to 14 percentage points less than the sectors that attract the bulk of U.S. capital formation.</w:t>
      </w:r>
    </w:p>
    <w:p w14:paraId="23C4AC99" w14:textId="77777777" w:rsidR="00404371" w:rsidRPr="00C15313" w:rsidRDefault="008B182C" w:rsidP="008B182C">
      <w:pPr>
        <w:rPr>
          <w:rFonts w:asciiTheme="majorBidi" w:hAnsiTheme="majorBidi" w:cstheme="majorBidi"/>
        </w:rPr>
      </w:pPr>
      <w:r>
        <w:rPr>
          <w:rFonts w:asciiTheme="majorBidi" w:hAnsiTheme="majorBidi" w:cstheme="majorBidi"/>
        </w:rPr>
        <w:t xml:space="preserve">The 2026 sub-WACC readings for physical manufacturing are not a recent phenomenon triggered by COVID, tariff uncertainty, or the IRA's distortive effects on capital allocation. They are the continuation of a decade-long secular deterioration that was already underway before any of those events. </w:t>
      </w:r>
    </w:p>
    <w:p w14:paraId="5EC5EAF9" w14:textId="77777777" w:rsidR="00404371" w:rsidRPr="00C15313" w:rsidRDefault="008B182C" w:rsidP="008B182C">
      <w:pPr>
        <w:rPr>
          <w:rFonts w:asciiTheme="majorBidi" w:hAnsiTheme="majorBidi" w:cstheme="majorBidi"/>
        </w:rPr>
      </w:pPr>
      <w:r>
        <w:rPr>
          <w:rFonts w:asciiTheme="majorBidi" w:hAnsiTheme="majorBidi" w:cstheme="majorBidi"/>
        </w:rPr>
        <w:t>In 2013:</w:t>
      </w:r>
    </w:p>
    <w:p w14:paraId="3ABCB693" w14:textId="77777777" w:rsidR="00404371" w:rsidRPr="00C15313" w:rsidRDefault="008B182C" w:rsidP="00404371">
      <w:pPr>
        <w:pStyle w:val="ListParagraph"/>
        <w:numPr>
          <w:ilvl w:val="0"/>
          <w:numId w:val="1"/>
        </w:numPr>
        <w:rPr>
          <w:rFonts w:asciiTheme="majorBidi" w:hAnsiTheme="majorBidi" w:cstheme="majorBidi"/>
        </w:rPr>
      </w:pPr>
      <w:r>
        <w:rPr>
          <w:rFonts w:asciiTheme="majorBidi" w:hAnsiTheme="majorBidi" w:cstheme="majorBidi"/>
        </w:rPr>
        <w:t>Auto &amp; Truck was already barely sub-WACC at −0.36pp, but by 2026 the spread had collapsed to −7.13pp, a deterioration of 6.8 percentage points over thirteen years.</w:t>
      </w:r>
    </w:p>
    <w:p w14:paraId="06CBDE43" w14:textId="77777777" w:rsidR="00404371" w:rsidRPr="00C15313" w:rsidRDefault="008B182C" w:rsidP="00404371">
      <w:pPr>
        <w:pStyle w:val="ListParagraph"/>
        <w:numPr>
          <w:ilvl w:val="0"/>
          <w:numId w:val="1"/>
        </w:numPr>
        <w:rPr>
          <w:rFonts w:asciiTheme="majorBidi" w:hAnsiTheme="majorBidi" w:cstheme="majorBidi"/>
        </w:rPr>
      </w:pPr>
      <w:r>
        <w:rPr>
          <w:rFonts w:asciiTheme="majorBidi" w:hAnsiTheme="majorBidi" w:cstheme="majorBidi"/>
        </w:rPr>
        <w:t xml:space="preserve">Chemical (Basic) was meaningfully above its cost of capital in 2013 (+7.10pp spread), held strong through 2014 (+12.02pp), then eroded through 2015 (+5.91pp) and 2016 (+8.89pp) before crossing into value-destructive territory by 2026 (−2.50pp), a total swing of 9.6 percentage points. </w:t>
      </w:r>
    </w:p>
    <w:p w14:paraId="0B22AAD0" w14:textId="4628CACC" w:rsidR="00404371" w:rsidRPr="00C15313" w:rsidRDefault="008B182C" w:rsidP="00404371">
      <w:pPr>
        <w:pStyle w:val="ListParagraph"/>
        <w:numPr>
          <w:ilvl w:val="0"/>
          <w:numId w:val="1"/>
        </w:numPr>
        <w:rPr>
          <w:rFonts w:asciiTheme="majorBidi" w:hAnsiTheme="majorBidi" w:cstheme="majorBidi"/>
        </w:rPr>
      </w:pPr>
      <w:r>
        <w:rPr>
          <w:rFonts w:asciiTheme="majorBidi" w:hAnsiTheme="majorBidi" w:cstheme="majorBidi"/>
        </w:rPr>
        <w:t xml:space="preserve">Steel told a more volatile version of the same story: it opened 2013 barely above WACC (+0.33pp), collapsed to −15.0pp in 2015 during the Chinese steel flood, partially recovered to −7.5pp in 2016, and settled at −1.04pp in 2026, never sustainably above its cost of capital across the full period. Last year, </w:t>
      </w:r>
      <w:hyperlink r:id="rId8" w:history="1">
        <w:r>
          <w:rPr>
            <w:rStyle w:val="Hyperlink"/>
            <w:rFonts w:asciiTheme="majorBidi" w:hAnsiTheme="majorBidi" w:cstheme="majorBidi"/>
          </w:rPr>
          <w:t>Nippon Steel was willing to take over U.S. Steel, which</w:t>
        </w:r>
      </w:hyperlink>
      <w:r>
        <w:rPr>
          <w:rFonts w:asciiTheme="majorBidi" w:hAnsiTheme="majorBidi" w:cstheme="majorBidi"/>
        </w:rPr>
        <w:t xml:space="preserve"> should be counted as a blessing.</w:t>
      </w:r>
    </w:p>
    <w:p w14:paraId="2DF521D3" w14:textId="2F941127" w:rsidR="00404371" w:rsidRPr="00C15313" w:rsidRDefault="008B182C" w:rsidP="00404371">
      <w:pPr>
        <w:pStyle w:val="ListParagraph"/>
        <w:numPr>
          <w:ilvl w:val="0"/>
          <w:numId w:val="1"/>
        </w:numPr>
        <w:rPr>
          <w:rFonts w:asciiTheme="majorBidi" w:hAnsiTheme="majorBidi" w:cstheme="majorBidi"/>
        </w:rPr>
      </w:pPr>
      <w:r>
        <w:rPr>
          <w:rFonts w:asciiTheme="majorBidi" w:hAnsiTheme="majorBidi" w:cstheme="majorBidi"/>
        </w:rPr>
        <w:t xml:space="preserve">Rubber &amp; Tires was the starkest case: a sector that earned +16.2pp above WACC in 2013 and +16.5pp in 2014 was at +11.8pp by 2015, +10.8pp by 2016, and −1.3pp by 2026. This shows a near-monotonic decline of 17.5 percentage points in EVA over 13 years. </w:t>
      </w:r>
    </w:p>
    <w:p w14:paraId="3CFA4362" w14:textId="77777777" w:rsidR="00F647D5" w:rsidRDefault="008B182C" w:rsidP="00404371">
      <w:pPr>
        <w:pStyle w:val="ListParagraph"/>
        <w:numPr>
          <w:ilvl w:val="0"/>
          <w:numId w:val="1"/>
        </w:numPr>
        <w:rPr>
          <w:rFonts w:asciiTheme="majorBidi" w:hAnsiTheme="majorBidi" w:cstheme="majorBidi"/>
        </w:rPr>
      </w:pPr>
      <w:r>
        <w:rPr>
          <w:rFonts w:asciiTheme="majorBidi" w:hAnsiTheme="majorBidi" w:cstheme="majorBidi"/>
        </w:rPr>
        <w:t xml:space="preserve">Auto Parts, which earned +15.7pp above WACC in 2013, had compressed to +0.8pp by 2026. </w:t>
      </w:r>
    </w:p>
    <w:p w14:paraId="684AA22D" w14:textId="7CFA7BDD" w:rsidR="00404371" w:rsidRPr="00C15313" w:rsidRDefault="008B182C" w:rsidP="00B61749">
      <w:pPr>
        <w:ind w:left="360"/>
        <w:rPr>
          <w:rFonts w:asciiTheme="majorBidi" w:hAnsiTheme="majorBidi" w:cstheme="majorBidi"/>
        </w:rPr>
      </w:pPr>
      <w:r>
        <w:rPr>
          <w:rFonts w:asciiTheme="majorBidi" w:hAnsiTheme="majorBidi" w:cstheme="majorBidi"/>
        </w:rPr>
        <w:t>Across all five physical manufacturing categories displayed above, the direction is uniform.</w:t>
      </w:r>
    </w:p>
    <w:p w14:paraId="3655B20B" w14:textId="7B38817B" w:rsidR="00404371" w:rsidRPr="00404371" w:rsidRDefault="00404371" w:rsidP="00CC6F87">
      <w:pPr>
        <w:ind w:left="360"/>
        <w:rPr>
          <w:rFonts w:asciiTheme="majorBidi" w:hAnsiTheme="majorBidi" w:cstheme="majorBidi"/>
        </w:rPr>
      </w:pPr>
      <w:r>
        <w:rPr>
          <w:rFonts w:asciiTheme="majorBidi" w:hAnsiTheme="majorBidi" w:cstheme="majorBidi"/>
        </w:rPr>
        <w:t>Look at the difference between three well-run physical manufacturing companies and examples in software, pharmaceuticals, and services. Each physical manufacturer is a well-run, respected incumbent. These examples reveal structural sector economics.</w:t>
      </w:r>
    </w:p>
    <w:p w14:paraId="109C0F17" w14:textId="51D323E0" w:rsidR="00404371" w:rsidRPr="00404371" w:rsidRDefault="00404371" w:rsidP="00404371">
      <w:pPr>
        <w:ind w:left="360"/>
        <w:rPr>
          <w:rFonts w:asciiTheme="majorBidi" w:hAnsiTheme="majorBidi" w:cstheme="majorBidi"/>
        </w:rPr>
      </w:pPr>
      <w:r>
        <w:rPr>
          <w:rFonts w:asciiTheme="majorBidi" w:hAnsiTheme="majorBidi" w:cstheme="majorBidi"/>
          <w:b/>
          <w:bCs/>
        </w:rPr>
        <w:t>Nucor vs. Microsoft (manufacturing vs. software)</w:t>
      </w:r>
      <w:r>
        <w:rPr>
          <w:rFonts w:asciiTheme="majorBidi" w:hAnsiTheme="majorBidi" w:cstheme="majorBidi"/>
        </w:rPr>
        <w:t> Nucor is the best-run steel company in America. It is a lean, non-unionized, electric arc furnace operator that has outperformed its peers for decades and is routinely cited as a management exemplar. Nucor earns an ROIC in the high single digits in most years, consistent with the Damodaran Steel sector average, and its spread turns negative in downturns. Microsoft, by contrast, earns a return on capital well above 30%. Its Azure cloud, Office 365 subscriptions, and LinkedIn data assets generate margins that no steel mill can approach, regardless of operational excellence. The gap is not Nucor's fault. It is the difference between selling a commodity priced at the margin of global supply and selling a product whose marginal cost of replication is essentially zero.</w:t>
      </w:r>
    </w:p>
    <w:p w14:paraId="4DFB9695" w14:textId="1EB02448" w:rsidR="00404371" w:rsidRPr="00404371" w:rsidRDefault="00404371" w:rsidP="00404371">
      <w:pPr>
        <w:ind w:left="360"/>
        <w:rPr>
          <w:rFonts w:asciiTheme="majorBidi" w:hAnsiTheme="majorBidi" w:cstheme="majorBidi"/>
        </w:rPr>
      </w:pPr>
      <w:r>
        <w:rPr>
          <w:rFonts w:asciiTheme="majorBidi" w:hAnsiTheme="majorBidi" w:cstheme="majorBidi"/>
          <w:b/>
          <w:bCs/>
        </w:rPr>
        <w:lastRenderedPageBreak/>
        <w:t>Ford vs. Eli Lilly (manufacturing vs. pharmaceuticals)</w:t>
      </w:r>
      <w:r>
        <w:rPr>
          <w:rFonts w:asciiTheme="majorBidi" w:hAnsiTheme="majorBidi" w:cstheme="majorBidi"/>
        </w:rPr>
        <w:t> Ford employs roughly 175,000 people in the United States, operates massive physical plants, and produces an essential durable good. Its return on capital has persistently hovered near or below its cost of capital, consistent with the Damodaran Auto &amp; Truck sector spread of −7.13pp as of 2026. Eli Lilly, by contrast, earns returns on capital that have soared into the 30–50% range on the back of GLP-1 drug pricing power, one molecule, tirzepatide, generating revenues that dwarf the entire economic output of Ford's North American manufacturing operations. The asymmetry is a direct function of patent-protected pricing versus globally competitive commodity pricing.</w:t>
      </w:r>
    </w:p>
    <w:p w14:paraId="47CCB8EE" w14:textId="6DC86945" w:rsidR="00404371" w:rsidRDefault="00404371" w:rsidP="00404371">
      <w:pPr>
        <w:ind w:left="360"/>
        <w:rPr>
          <w:rFonts w:asciiTheme="majorBidi" w:hAnsiTheme="majorBidi" w:cstheme="majorBidi"/>
        </w:rPr>
      </w:pPr>
      <w:r>
        <w:rPr>
          <w:rFonts w:asciiTheme="majorBidi" w:hAnsiTheme="majorBidi" w:cstheme="majorBidi"/>
          <w:b/>
          <w:bCs/>
        </w:rPr>
        <w:t>Dow Inc. vs. Accenture (manufacturing vs. professional services)</w:t>
      </w:r>
      <w:r>
        <w:rPr>
          <w:rFonts w:asciiTheme="majorBidi" w:hAnsiTheme="majorBidi" w:cstheme="majorBidi"/>
        </w:rPr>
        <w:t>. Dow is the archetypal capital-intensive basic chemicals manufacturer. It runs an enormous fixed asset base, energy-intensive processes, cyclical margins, and a cost of capital that reflects genuine operating leverage and commodity exposure. Its ROC tracks closely with the Damodaran Chemical (Basic) sector, which crossed from above-WACC (+7.1pp in 2013) to below-WACC (−2.5pp in 2026). Accenture, a professional services firm whose primary assets walk out the door every evening, earns a return on invested capital consistently above 25%. Its capital base is minimal. Its pricing reflects proprietary methodology and client relationships rather than commodity inputs. And its margins are structurally insulated from the energy costs, environmental compliance, and global overcapacity that compress Dow's economics year after year.</w:t>
      </w:r>
    </w:p>
    <w:p w14:paraId="69707437" w14:textId="77777777" w:rsidR="005868AE" w:rsidRDefault="005868AE" w:rsidP="005868AE">
      <w:pPr>
        <w:rPr>
          <w:rFonts w:asciiTheme="majorBidi" w:hAnsiTheme="majorBidi" w:cstheme="majorBidi"/>
        </w:rPr>
      </w:pPr>
      <w:r>
        <w:rPr>
          <w:rFonts w:asciiTheme="majorBidi" w:hAnsiTheme="majorBidi" w:cstheme="majorBidi"/>
        </w:rPr>
        <w:t xml:space="preserve">A dollar deployed in software or services earns approximately 5 to 6 times what a dollar deployed in those sectors earns, and does so without the fixed assets, energy costs, or global commodity competition. That is not a market performing inefficiently. That is a market performing exactly as designed, rationally allocating away from sectors that cannot clear their cost of capital. </w:t>
      </w:r>
    </w:p>
    <w:p w14:paraId="2DF9F673" w14:textId="6F90490D" w:rsidR="005868AE" w:rsidRDefault="005868AE" w:rsidP="005868AE">
      <w:pPr>
        <w:rPr>
          <w:rFonts w:asciiTheme="majorBidi" w:hAnsiTheme="majorBidi" w:cstheme="majorBidi"/>
        </w:rPr>
      </w:pPr>
      <w:r>
        <w:rPr>
          <w:rFonts w:asciiTheme="majorBidi" w:hAnsiTheme="majorBidi" w:cstheme="majorBidi"/>
        </w:rPr>
        <w:t>The policy question is whether the national interest can afford to let it.</w:t>
      </w:r>
    </w:p>
    <w:sectPr w:rsidR="005868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E0193" w14:textId="77777777" w:rsidR="00F65D61" w:rsidRDefault="00F65D61" w:rsidP="005868AE">
      <w:pPr>
        <w:spacing w:after="0" w:line="240" w:lineRule="auto"/>
      </w:pPr>
      <w:r>
        <w:separator/>
      </w:r>
    </w:p>
  </w:endnote>
  <w:endnote w:type="continuationSeparator" w:id="0">
    <w:p w14:paraId="15035BBB" w14:textId="77777777" w:rsidR="00F65D61" w:rsidRDefault="00F65D61" w:rsidP="00586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7952E" w14:textId="77777777" w:rsidR="00F65D61" w:rsidRDefault="00F65D61" w:rsidP="005868AE">
      <w:pPr>
        <w:spacing w:after="0" w:line="240" w:lineRule="auto"/>
      </w:pPr>
      <w:r>
        <w:separator/>
      </w:r>
    </w:p>
  </w:footnote>
  <w:footnote w:type="continuationSeparator" w:id="0">
    <w:p w14:paraId="3E337449" w14:textId="77777777" w:rsidR="00F65D61" w:rsidRDefault="00F65D61" w:rsidP="005868AE">
      <w:pPr>
        <w:spacing w:after="0" w:line="240" w:lineRule="auto"/>
      </w:pPr>
      <w:r>
        <w:continuationSeparator/>
      </w:r>
    </w:p>
  </w:footnote>
  <w:footnote w:id="1">
    <w:p w14:paraId="54CD23F8" w14:textId="3B8E8E01" w:rsidR="005868AE" w:rsidRPr="005868AE" w:rsidRDefault="005868AE" w:rsidP="005868AE">
      <w:pPr>
        <w:rPr>
          <w:rFonts w:asciiTheme="majorBidi" w:hAnsiTheme="majorBidi" w:cstheme="majorBidi"/>
        </w:rPr>
      </w:pPr>
      <w:r w:rsidRPr="005868AE">
        <w:rPr>
          <w:rStyle w:val="FootnoteReference"/>
          <w:sz w:val="18"/>
          <w:szCs w:val="18"/>
        </w:rPr>
        <w:footnoteRef/>
      </w:r>
      <w:r w:rsidRPr="005868AE">
        <w:rPr>
          <w:sz w:val="18"/>
          <w:szCs w:val="18"/>
        </w:rPr>
        <w:t xml:space="preserve"> </w:t>
      </w:r>
      <w:r w:rsidRPr="005868AE">
        <w:rPr>
          <w:rFonts w:asciiTheme="majorBidi" w:hAnsiTheme="majorBidi" w:cstheme="majorBidi"/>
          <w:sz w:val="18"/>
          <w:szCs w:val="18"/>
        </w:rPr>
        <w:t>FGP's economics bear no resemblance to those of physical manufacturers operating within the same SIC (Standard Industrial Classification: the U.S. government's legacy system for categorizing industries by primary business activity) and adjacent classifications used by Damodaran.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65A98"/>
    <w:multiLevelType w:val="hybridMultilevel"/>
    <w:tmpl w:val="A572A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6E5ADD"/>
    <w:multiLevelType w:val="hybridMultilevel"/>
    <w:tmpl w:val="502C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2A02AD"/>
    <w:multiLevelType w:val="hybridMultilevel"/>
    <w:tmpl w:val="A05A0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1113240">
    <w:abstractNumId w:val="0"/>
  </w:num>
  <w:num w:numId="2" w16cid:durableId="714231775">
    <w:abstractNumId w:val="2"/>
  </w:num>
  <w:num w:numId="3" w16cid:durableId="1717772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82C"/>
    <w:rsid w:val="00133223"/>
    <w:rsid w:val="001A79DC"/>
    <w:rsid w:val="001C6DE8"/>
    <w:rsid w:val="00404371"/>
    <w:rsid w:val="004F411E"/>
    <w:rsid w:val="005868AE"/>
    <w:rsid w:val="00621F3F"/>
    <w:rsid w:val="008A4AAB"/>
    <w:rsid w:val="008B182C"/>
    <w:rsid w:val="008B676F"/>
    <w:rsid w:val="00A808A2"/>
    <w:rsid w:val="00B61749"/>
    <w:rsid w:val="00BA7D62"/>
    <w:rsid w:val="00C15313"/>
    <w:rsid w:val="00CC6F87"/>
    <w:rsid w:val="00CD621F"/>
    <w:rsid w:val="00E471C3"/>
    <w:rsid w:val="00EA2C38"/>
    <w:rsid w:val="00F03970"/>
    <w:rsid w:val="00F647D5"/>
    <w:rsid w:val="00F65D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DCEB1"/>
  <w15:chartTrackingRefBased/>
  <w15:docId w15:val="{01BDBD01-E0BB-AE4C-84F5-2229ACEB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8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8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8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8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8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8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8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8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8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8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8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8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8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8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8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8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8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82C"/>
    <w:rPr>
      <w:rFonts w:eastAsiaTheme="majorEastAsia" w:cstheme="majorBidi"/>
      <w:color w:val="272727" w:themeColor="text1" w:themeTint="D8"/>
    </w:rPr>
  </w:style>
  <w:style w:type="paragraph" w:styleId="Title">
    <w:name w:val="Title"/>
    <w:basedOn w:val="Normal"/>
    <w:next w:val="Normal"/>
    <w:link w:val="TitleChar"/>
    <w:uiPriority w:val="10"/>
    <w:qFormat/>
    <w:rsid w:val="008B18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8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8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8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82C"/>
    <w:pPr>
      <w:spacing w:before="160"/>
      <w:jc w:val="center"/>
    </w:pPr>
    <w:rPr>
      <w:i/>
      <w:iCs/>
      <w:color w:val="404040" w:themeColor="text1" w:themeTint="BF"/>
    </w:rPr>
  </w:style>
  <w:style w:type="character" w:customStyle="1" w:styleId="QuoteChar">
    <w:name w:val="Quote Char"/>
    <w:basedOn w:val="DefaultParagraphFont"/>
    <w:link w:val="Quote"/>
    <w:uiPriority w:val="29"/>
    <w:rsid w:val="008B182C"/>
    <w:rPr>
      <w:i/>
      <w:iCs/>
      <w:color w:val="404040" w:themeColor="text1" w:themeTint="BF"/>
    </w:rPr>
  </w:style>
  <w:style w:type="paragraph" w:styleId="ListParagraph">
    <w:name w:val="List Paragraph"/>
    <w:basedOn w:val="Normal"/>
    <w:uiPriority w:val="34"/>
    <w:qFormat/>
    <w:rsid w:val="008B182C"/>
    <w:pPr>
      <w:ind w:left="720"/>
      <w:contextualSpacing/>
    </w:pPr>
  </w:style>
  <w:style w:type="character" w:styleId="IntenseEmphasis">
    <w:name w:val="Intense Emphasis"/>
    <w:basedOn w:val="DefaultParagraphFont"/>
    <w:uiPriority w:val="21"/>
    <w:qFormat/>
    <w:rsid w:val="008B182C"/>
    <w:rPr>
      <w:i/>
      <w:iCs/>
      <w:color w:val="0F4761" w:themeColor="accent1" w:themeShade="BF"/>
    </w:rPr>
  </w:style>
  <w:style w:type="paragraph" w:styleId="IntenseQuote">
    <w:name w:val="Intense Quote"/>
    <w:basedOn w:val="Normal"/>
    <w:next w:val="Normal"/>
    <w:link w:val="IntenseQuoteChar"/>
    <w:uiPriority w:val="30"/>
    <w:qFormat/>
    <w:rsid w:val="008B18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82C"/>
    <w:rPr>
      <w:i/>
      <w:iCs/>
      <w:color w:val="0F4761" w:themeColor="accent1" w:themeShade="BF"/>
    </w:rPr>
  </w:style>
  <w:style w:type="character" w:styleId="IntenseReference">
    <w:name w:val="Intense Reference"/>
    <w:basedOn w:val="DefaultParagraphFont"/>
    <w:uiPriority w:val="32"/>
    <w:qFormat/>
    <w:rsid w:val="008B182C"/>
    <w:rPr>
      <w:b/>
      <w:bCs/>
      <w:smallCaps/>
      <w:color w:val="0F4761" w:themeColor="accent1" w:themeShade="BF"/>
      <w:spacing w:val="5"/>
    </w:rPr>
  </w:style>
  <w:style w:type="character" w:styleId="Hyperlink">
    <w:name w:val="Hyperlink"/>
    <w:basedOn w:val="DefaultParagraphFont"/>
    <w:uiPriority w:val="99"/>
    <w:unhideWhenUsed/>
    <w:rsid w:val="00133223"/>
    <w:rPr>
      <w:color w:val="467886" w:themeColor="hyperlink"/>
      <w:u w:val="single"/>
    </w:rPr>
  </w:style>
  <w:style w:type="character" w:styleId="UnresolvedMention">
    <w:name w:val="Unresolved Mention"/>
    <w:basedOn w:val="DefaultParagraphFont"/>
    <w:uiPriority w:val="99"/>
    <w:semiHidden/>
    <w:unhideWhenUsed/>
    <w:rsid w:val="00133223"/>
    <w:rPr>
      <w:color w:val="605E5C"/>
      <w:shd w:val="clear" w:color="auto" w:fill="E1DFDD"/>
    </w:rPr>
  </w:style>
  <w:style w:type="paragraph" w:styleId="FootnoteText">
    <w:name w:val="footnote text"/>
    <w:basedOn w:val="Normal"/>
    <w:link w:val="FootnoteTextChar"/>
    <w:uiPriority w:val="99"/>
    <w:semiHidden/>
    <w:unhideWhenUsed/>
    <w:rsid w:val="005868A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68AE"/>
    <w:rPr>
      <w:sz w:val="20"/>
      <w:szCs w:val="20"/>
    </w:rPr>
  </w:style>
  <w:style w:type="character" w:styleId="FootnoteReference">
    <w:name w:val="footnote reference"/>
    <w:basedOn w:val="DefaultParagraphFont"/>
    <w:uiPriority w:val="99"/>
    <w:semiHidden/>
    <w:unhideWhenUsed/>
    <w:rsid w:val="005868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a-institute.org/blog/nippon-steels-acquisition-of-us-steel/" TargetMode="External"/><Relationship Id="rId3" Type="http://schemas.openxmlformats.org/officeDocument/2006/relationships/settings" Target="settings.xml"/><Relationship Id="rId7" Type="http://schemas.openxmlformats.org/officeDocument/2006/relationships/hyperlink" Target="https://pages.stern.nyu.edu/~adamod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7CB8CAD-240E-FA4E-B640-42D7856F9F76}">
  <we:reference id="WA200001011" version="1.4.0.0" store="Omex" storeType="OMEX"/>
  <we:alternateReferences>
    <we:reference id="WA200001011" version="1.4.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5</TotalTime>
  <Pages>6</Pages>
  <Words>2371</Words>
  <Characters>13824</Characters>
  <Application>Microsoft Office Word</Application>
  <DocSecurity>0</DocSecurity>
  <Lines>206</Lines>
  <Paragraphs>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16133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2</cp:revision>
  <dcterms:created xsi:type="dcterms:W3CDTF">2026-03-30T20:23:00Z</dcterms:created>
  <dcterms:modified xsi:type="dcterms:W3CDTF">2026-03-30T20:23:00Z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documentId_4709</vt:lpwstr>
  </property>
  <property fmtid="{D5CDD505-2E9C-101B-9397-08002B2CF9AE}" pid="3" name="grammarly_documentContext">
    <vt:lpwstr>{"goals":[],"domain":"general","emotions":[],"dialect":"american"}</vt:lpwstr>
  </property>
</Properties>
</file>