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3ABE76" w14:textId="77777777" w:rsidR="00A05EAD" w:rsidRDefault="00A05EAD" w:rsidP="00A05EAD">
      <w:pPr>
        <w:spacing w:after="40"/>
        <w:jc w:val="center"/>
      </w:pPr>
      <w:r>
        <w:rPr>
          <w:b/>
          <w:bCs/>
          <w:color w:val="1F3864"/>
          <w:sz w:val="32"/>
          <w:szCs w:val="32"/>
        </w:rPr>
        <w:t>Manufacturing and Industrial Security Act (MISA)</w:t>
      </w:r>
    </w:p>
    <w:p w14:paraId="7BA99359" w14:textId="77777777" w:rsidR="00A05EAD" w:rsidRDefault="00A05EAD" w:rsidP="00A05EAD">
      <w:pPr>
        <w:spacing w:after="20"/>
        <w:jc w:val="center"/>
      </w:pPr>
      <w:r>
        <w:rPr>
          <w:b/>
          <w:bCs/>
          <w:color w:val="C55A11"/>
        </w:rPr>
        <w:t xml:space="preserve">  A Two-Credit Package to Rebuild American Manufacturing</w:t>
      </w:r>
    </w:p>
    <w:p w14:paraId="3386BF69" w14:textId="77777777" w:rsidR="00A05EAD" w:rsidRPr="001B1F25" w:rsidRDefault="00A05EAD" w:rsidP="00A05EAD">
      <w:pPr>
        <w:spacing w:after="20"/>
        <w:jc w:val="center"/>
      </w:pPr>
    </w:p>
    <w:p w14:paraId="5369DF35" w14:textId="304ABCA2" w:rsidR="00A05EAD" w:rsidRDefault="00A05EAD" w:rsidP="00A05EAD">
      <w:pPr>
        <w:spacing w:before="80" w:after="120"/>
      </w:pPr>
      <w:r>
        <w:t xml:space="preserve">BLUF: MISA creates a two-tier, fully transferable tax credit system for U.S. manufacturers. </w:t>
      </w:r>
      <w:proofErr w:type="gramStart"/>
      <w:r>
        <w:rPr>
          <w:b/>
          <w:bCs/>
        </w:rPr>
        <w:t>Title</w:t>
      </w:r>
      <w:proofErr w:type="gramEnd"/>
      <w:r>
        <w:rPr>
          <w:b/>
          <w:bCs/>
        </w:rPr>
        <w:t xml:space="preserve"> I</w:t>
      </w:r>
      <w:r>
        <w:t xml:space="preserve"> </w:t>
      </w:r>
      <w:proofErr w:type="gramStart"/>
      <w:r>
        <w:t>provides</w:t>
      </w:r>
      <w:proofErr w:type="gramEnd"/>
      <w:r>
        <w:t xml:space="preserve"> up to 6% credit on domestic value-added (DVA)</w:t>
      </w:r>
      <w:r>
        <w:rPr>
          <w:rStyle w:val="FootnoteReference"/>
        </w:rPr>
        <w:footnoteReference w:id="1"/>
      </w:r>
      <w:r>
        <w:t xml:space="preserve"> available to qualifying NAICS 31–33 manufacturers (see Industry Eligibility Gate below), the foundation layer that makes the entire domestic manufacturing base more competitive. </w:t>
      </w:r>
      <w:r>
        <w:rPr>
          <w:b/>
          <w:bCs/>
        </w:rPr>
        <w:t>Title II</w:t>
      </w:r>
      <w:r>
        <w:t xml:space="preserve"> stacks an additional up to 10% credit for manufacturers in 14 strategic sectors facing acute foreign-adversary vulnerabilities. Together: up to 16% of domestic value-added costs. Both credits are transferable or purchasable by Treasury at 85% every </w:t>
      </w:r>
      <w:r>
        <w:t>qualified manufacturer</w:t>
      </w:r>
      <w:r>
        <w:t xml:space="preserve"> benefits, profitable or not.</w:t>
      </w:r>
    </w:p>
    <w:p w14:paraId="1FA4D9B6" w14:textId="77777777" w:rsidR="00A05EAD" w:rsidRPr="00A05EAD" w:rsidRDefault="00A05EAD" w:rsidP="00A05EAD">
      <w:pPr>
        <w:spacing w:before="80" w:after="60"/>
        <w:rPr>
          <w:sz w:val="18"/>
          <w:szCs w:val="18"/>
        </w:rPr>
      </w:pPr>
      <w:r w:rsidRPr="00A05EAD">
        <w:rPr>
          <w:i/>
          <w:iCs/>
          <w:color w:val="555555"/>
          <w:sz w:val="18"/>
          <w:szCs w:val="18"/>
        </w:rPr>
        <w:t xml:space="preserve">All rates applied to </w:t>
      </w:r>
      <w:r w:rsidRPr="00A05EAD">
        <w:rPr>
          <w:b/>
          <w:bCs/>
          <w:i/>
          <w:iCs/>
          <w:color w:val="555555"/>
          <w:sz w:val="18"/>
          <w:szCs w:val="18"/>
        </w:rPr>
        <w:t>DVA Scaling Fraction</w:t>
      </w:r>
      <w:r w:rsidRPr="00A05EAD">
        <w:rPr>
          <w:rStyle w:val="FootnoteReference"/>
          <w:b/>
          <w:bCs/>
          <w:i/>
          <w:iCs/>
          <w:color w:val="555555"/>
          <w:sz w:val="18"/>
          <w:szCs w:val="18"/>
        </w:rPr>
        <w:footnoteReference w:id="2"/>
      </w:r>
      <w:r w:rsidRPr="00A05EAD">
        <w:rPr>
          <w:b/>
          <w:bCs/>
          <w:i/>
          <w:iCs/>
          <w:color w:val="555555"/>
          <w:sz w:val="18"/>
          <w:szCs w:val="18"/>
        </w:rPr>
        <w:t xml:space="preserve"> × Qualified DVA Costs</w:t>
      </w:r>
      <w:r w:rsidRPr="00A05EAD">
        <w:rPr>
          <w:i/>
          <w:iCs/>
          <w:color w:val="555555"/>
          <w:sz w:val="18"/>
          <w:szCs w:val="18"/>
        </w:rPr>
        <w:t xml:space="preserve">. </w:t>
      </w:r>
    </w:p>
    <w:p w14:paraId="1240CC59" w14:textId="77777777" w:rsidR="00A05EAD" w:rsidRDefault="00A05EAD" w:rsidP="00A05EAD">
      <w:pPr>
        <w:shd w:val="clear" w:color="auto" w:fill="1F3864"/>
        <w:spacing w:before="160" w:after="80"/>
        <w:ind w:left="120"/>
      </w:pPr>
      <w:r>
        <w:rPr>
          <w:b/>
          <w:bCs/>
          <w:color w:val="FFFFFF"/>
          <w:sz w:val="22"/>
          <w:szCs w:val="22"/>
        </w:rPr>
        <w:t>THE PROBLEM: U.S. Manufacturing Cannot Support Its Defense Industrial Base</w:t>
      </w:r>
    </w:p>
    <w:p w14:paraId="5AEC32C5" w14:textId="31BB381C" w:rsidR="00A05EAD" w:rsidRDefault="00A05EAD" w:rsidP="00A05EAD">
      <w:pPr>
        <w:spacing w:before="80" w:after="80"/>
      </w:pPr>
      <w:r>
        <w:t xml:space="preserve">The defense industrial base is in structural crisis. </w:t>
      </w:r>
      <w:proofErr w:type="gramStart"/>
      <w:r>
        <w:t>And,</w:t>
      </w:r>
      <w:proofErr w:type="gramEnd"/>
      <w:r>
        <w:t xml:space="preserve"> it cannot be separated from the broader health of commercial manufacturing. U.S. machine tool production is down more than 65% since 1998. The Ukraine and Iran conflicts exposed the inability to surge artillery, missiles, and air defense at modern warfare types and volumes. China produces more naval tonnage annually than all other nations combined. China controls over 85% of global rare earth processing, over 75% of lithium-ion battery production, and virtually all EUV photoresist and specialty process chemical supply chains. Strategic sectors face 30–60% cost disadvantages vs. Chinese state-subsidized competitors. Pre-profit and thin-margin manufacturers, often the Tier 2 through Tier n suppliers that form the backbone of every defense platform, receive little benefit from corporate tax rate cuts. Income-based incentives reward profit; MISA rewards production. The One Big Beautiful Bill Act lowers the cost of buying the factory through bonus depreciation and facility expensing</w:t>
      </w:r>
      <w:r>
        <w:t xml:space="preserve">. However, it </w:t>
      </w:r>
      <w:r>
        <w:t xml:space="preserve">delivers zero benefit to the roughly 40% of U.S. manufacturers with no current taxable </w:t>
      </w:r>
      <w:proofErr w:type="gramStart"/>
      <w:r>
        <w:t>income, and</w:t>
      </w:r>
      <w:proofErr w:type="gramEnd"/>
      <w:r>
        <w:t xml:space="preserve"> does </w:t>
      </w:r>
      <w:r>
        <w:t xml:space="preserve">little </w:t>
      </w:r>
      <w:r>
        <w:t>to reduce the ongoing cost of operating a domestic facility year over year. MISA fills that gap.</w:t>
      </w:r>
    </w:p>
    <w:p w14:paraId="32649180" w14:textId="77777777" w:rsidR="00A05EAD" w:rsidRDefault="00A05EAD" w:rsidP="00A05EAD">
      <w:pPr>
        <w:shd w:val="clear" w:color="auto" w:fill="1F3864"/>
        <w:spacing w:before="160" w:after="80"/>
        <w:ind w:left="120"/>
      </w:pPr>
      <w:r>
        <w:rPr>
          <w:b/>
          <w:bCs/>
          <w:color w:val="FFFFFF"/>
          <w:sz w:val="22"/>
          <w:szCs w:val="22"/>
        </w:rPr>
        <w:t>THE SOLUTION: Two Stacking Credits, Scaled to Domestic Production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560"/>
        <w:gridCol w:w="240"/>
        <w:gridCol w:w="4560"/>
      </w:tblGrid>
      <w:tr w:rsidR="00A05EAD" w14:paraId="5FE2F91B" w14:textId="77777777" w:rsidTr="00714F71">
        <w:tc>
          <w:tcPr>
            <w:tcW w:w="4560" w:type="dxa"/>
            <w:tcBorders>
              <w:top w:val="single" w:sz="1" w:space="0" w:color="2E75B6"/>
              <w:left w:val="single" w:sz="1" w:space="0" w:color="2E75B6"/>
              <w:bottom w:val="single" w:sz="1" w:space="0" w:color="2E75B6"/>
              <w:right w:val="single" w:sz="1" w:space="0" w:color="2E75B6"/>
            </w:tcBorders>
            <w:shd w:val="clear" w:color="auto" w:fill="EEF4FB"/>
            <w:tcMar>
              <w:top w:w="100" w:type="dxa"/>
              <w:left w:w="140" w:type="dxa"/>
              <w:bottom w:w="100" w:type="dxa"/>
              <w:right w:w="140" w:type="dxa"/>
            </w:tcMar>
          </w:tcPr>
          <w:p w14:paraId="572E9E7C" w14:textId="77777777" w:rsidR="00A05EAD" w:rsidRPr="001B1F25" w:rsidRDefault="00A05EAD" w:rsidP="00714F71">
            <w:pPr>
              <w:spacing w:after="60"/>
              <w:rPr>
                <w:lang w:val="it-IT"/>
              </w:rPr>
            </w:pPr>
            <w:r>
              <w:rPr>
                <w:b/>
                <w:bCs/>
                <w:color w:val="2E75B6"/>
                <w:sz w:val="21"/>
                <w:szCs w:val="21"/>
                <w:lang w:val="it-IT"/>
              </w:rPr>
              <w:t>Title I — MINA Credit (§38A)</w:t>
            </w:r>
          </w:p>
          <w:p w14:paraId="3282E3B9" w14:textId="0038CCED" w:rsidR="00A05EAD" w:rsidRDefault="00A05EAD" w:rsidP="00714F71">
            <w:pPr>
              <w:spacing w:after="50"/>
            </w:pPr>
            <w:r>
              <w:rPr>
                <w:b/>
                <w:bCs/>
                <w:sz w:val="19"/>
                <w:szCs w:val="19"/>
              </w:rPr>
              <w:t xml:space="preserve">Available to: </w:t>
            </w:r>
            <w:r>
              <w:rPr>
                <w:sz w:val="19"/>
                <w:szCs w:val="19"/>
              </w:rPr>
              <w:t>Qualifying NAICS 31–33 manufacturers (see Industry Eligibility guardrail)</w:t>
            </w:r>
          </w:p>
          <w:p w14:paraId="62670087" w14:textId="77777777" w:rsidR="00A05EAD" w:rsidRDefault="00A05EAD" w:rsidP="00714F71">
            <w:pPr>
              <w:spacing w:after="50"/>
            </w:pPr>
            <w:r>
              <w:rPr>
                <w:b/>
                <w:bCs/>
                <w:sz w:val="19"/>
                <w:szCs w:val="19"/>
              </w:rPr>
              <w:t xml:space="preserve">Rate: </w:t>
            </w:r>
            <w:r>
              <w:rPr>
                <w:sz w:val="19"/>
                <w:szCs w:val="19"/>
              </w:rPr>
              <w:t>5% base / 6% reinvestment bonus</w:t>
            </w:r>
          </w:p>
          <w:p w14:paraId="248C3075" w14:textId="77777777" w:rsidR="00A05EAD" w:rsidRDefault="00A05EAD" w:rsidP="00714F71">
            <w:pPr>
              <w:spacing w:after="50"/>
            </w:pPr>
            <w:r>
              <w:rPr>
                <w:b/>
                <w:bCs/>
                <w:sz w:val="19"/>
                <w:szCs w:val="19"/>
              </w:rPr>
              <w:t xml:space="preserve">Sunset: </w:t>
            </w:r>
            <w:r>
              <w:rPr>
                <w:sz w:val="19"/>
                <w:szCs w:val="19"/>
              </w:rPr>
              <w:t>10-year full + 7-year phase-out</w:t>
            </w:r>
          </w:p>
          <w:p w14:paraId="77120415" w14:textId="77777777" w:rsidR="00A05EAD" w:rsidRDefault="00A05EAD" w:rsidP="00714F71">
            <w:pPr>
              <w:spacing w:after="50"/>
            </w:pPr>
            <w:r>
              <w:rPr>
                <w:b/>
                <w:bCs/>
                <w:sz w:val="19"/>
                <w:szCs w:val="19"/>
              </w:rPr>
              <w:t xml:space="preserve">DVA Costs: </w:t>
            </w:r>
            <w:r>
              <w:rPr>
                <w:sz w:val="19"/>
                <w:szCs w:val="19"/>
              </w:rPr>
              <w:t>Domestic labor + materials + straight-line depreciation (economic life, not §168(k)) + R&amp;D + overhead</w:t>
            </w:r>
          </w:p>
          <w:p w14:paraId="09337EA3" w14:textId="036663E3" w:rsidR="00A05EAD" w:rsidRDefault="00A05EAD" w:rsidP="00714F71">
            <w:pPr>
              <w:spacing w:after="50"/>
            </w:pPr>
            <w:r>
              <w:rPr>
                <w:b/>
                <w:bCs/>
                <w:sz w:val="19"/>
                <w:szCs w:val="19"/>
              </w:rPr>
              <w:t xml:space="preserve">Key design: </w:t>
            </w:r>
            <w:r>
              <w:rPr>
                <w:sz w:val="19"/>
                <w:szCs w:val="19"/>
              </w:rPr>
              <w:t xml:space="preserve">Rewards every dollar spent on American workers, suppliers, and factories — not just profits. Transferable to qualified buyers (DVA ≥40%) or sold to Treasury at 85%. </w:t>
            </w:r>
          </w:p>
        </w:tc>
        <w:tc>
          <w:tcPr>
            <w:tcW w:w="240" w:type="dxa"/>
            <w:tcBorders>
              <w:top w:val="none" w:sz="0" w:space="0" w:color="FFFFFF"/>
              <w:left w:val="none" w:sz="0" w:space="0" w:color="FFFFFF"/>
              <w:bottom w:val="none" w:sz="0" w:space="0" w:color="FFFFFF"/>
              <w:right w:val="none" w:sz="0" w:space="0" w:color="FFFFFF"/>
            </w:tcBorders>
          </w:tcPr>
          <w:p w14:paraId="178DE100" w14:textId="77777777" w:rsidR="00A05EAD" w:rsidRDefault="00A05EAD" w:rsidP="00714F71"/>
        </w:tc>
        <w:tc>
          <w:tcPr>
            <w:tcW w:w="4560" w:type="dxa"/>
            <w:tcBorders>
              <w:top w:val="single" w:sz="1" w:space="0" w:color="C55A11"/>
              <w:left w:val="single" w:sz="1" w:space="0" w:color="C55A11"/>
              <w:bottom w:val="single" w:sz="1" w:space="0" w:color="C55A11"/>
              <w:right w:val="single" w:sz="1" w:space="0" w:color="C55A11"/>
            </w:tcBorders>
            <w:shd w:val="clear" w:color="auto" w:fill="FDF4EE"/>
            <w:tcMar>
              <w:top w:w="100" w:type="dxa"/>
              <w:left w:w="140" w:type="dxa"/>
              <w:bottom w:w="100" w:type="dxa"/>
              <w:right w:w="140" w:type="dxa"/>
            </w:tcMar>
          </w:tcPr>
          <w:p w14:paraId="38FD6FCD" w14:textId="77777777" w:rsidR="00A05EAD" w:rsidRDefault="00A05EAD" w:rsidP="00714F71">
            <w:pPr>
              <w:spacing w:after="60"/>
            </w:pPr>
            <w:r>
              <w:rPr>
                <w:b/>
                <w:bCs/>
                <w:color w:val="C55A11"/>
                <w:sz w:val="21"/>
                <w:szCs w:val="21"/>
              </w:rPr>
              <w:t>Title II — DO IT NOW Credit (§38B)</w:t>
            </w:r>
          </w:p>
          <w:p w14:paraId="6DB6EB27" w14:textId="77777777" w:rsidR="00A05EAD" w:rsidRDefault="00A05EAD" w:rsidP="00714F71">
            <w:pPr>
              <w:spacing w:after="50"/>
            </w:pPr>
            <w:r>
              <w:rPr>
                <w:b/>
                <w:bCs/>
                <w:sz w:val="19"/>
                <w:szCs w:val="19"/>
              </w:rPr>
              <w:t xml:space="preserve">Available to: </w:t>
            </w:r>
            <w:r>
              <w:rPr>
                <w:sz w:val="19"/>
                <w:szCs w:val="19"/>
              </w:rPr>
              <w:t>MISA electors in 14 strategic sectors</w:t>
            </w:r>
          </w:p>
          <w:p w14:paraId="1D6835A6" w14:textId="77777777" w:rsidR="00A05EAD" w:rsidRDefault="00A05EAD" w:rsidP="00714F71">
            <w:pPr>
              <w:spacing w:after="50"/>
            </w:pPr>
            <w:r>
              <w:rPr>
                <w:b/>
                <w:bCs/>
                <w:sz w:val="19"/>
                <w:szCs w:val="19"/>
              </w:rPr>
              <w:t xml:space="preserve">Rate: </w:t>
            </w:r>
            <w:r>
              <w:rPr>
                <w:sz w:val="19"/>
                <w:szCs w:val="19"/>
              </w:rPr>
              <w:t>8% base / 10% reinvestment bonus (stacks on §38A)</w:t>
            </w:r>
          </w:p>
          <w:p w14:paraId="41DEEC29" w14:textId="77777777" w:rsidR="00A05EAD" w:rsidRDefault="00A05EAD" w:rsidP="00714F71">
            <w:pPr>
              <w:spacing w:after="50"/>
            </w:pPr>
            <w:r>
              <w:rPr>
                <w:b/>
                <w:bCs/>
                <w:sz w:val="19"/>
                <w:szCs w:val="19"/>
              </w:rPr>
              <w:t xml:space="preserve">Sunset: </w:t>
            </w:r>
            <w:r>
              <w:rPr>
                <w:sz w:val="19"/>
                <w:szCs w:val="19"/>
              </w:rPr>
              <w:t>12-year full + 10-year phase-out</w:t>
            </w:r>
          </w:p>
          <w:p w14:paraId="1FEA53CB" w14:textId="407A4477" w:rsidR="00A05EAD" w:rsidRDefault="00A05EAD" w:rsidP="00714F71">
            <w:pPr>
              <w:spacing w:after="50"/>
            </w:pPr>
            <w:r>
              <w:rPr>
                <w:b/>
                <w:bCs/>
                <w:sz w:val="19"/>
                <w:szCs w:val="19"/>
              </w:rPr>
              <w:t xml:space="preserve">DVA Costs: </w:t>
            </w:r>
            <w:r>
              <w:rPr>
                <w:sz w:val="19"/>
                <w:szCs w:val="19"/>
              </w:rPr>
              <w:t>S</w:t>
            </w:r>
            <w:r>
              <w:rPr>
                <w:sz w:val="19"/>
                <w:szCs w:val="19"/>
              </w:rPr>
              <w:t>tacks on</w:t>
            </w:r>
            <w:r>
              <w:rPr>
                <w:sz w:val="19"/>
                <w:szCs w:val="19"/>
              </w:rPr>
              <w:t xml:space="preserve"> §38A, restricted to strategic sector activities</w:t>
            </w:r>
          </w:p>
          <w:p w14:paraId="7B9D62C4" w14:textId="39FBD423" w:rsidR="00A05EAD" w:rsidRDefault="00A05EAD" w:rsidP="00714F71">
            <w:pPr>
              <w:spacing w:after="50"/>
            </w:pPr>
            <w:r>
              <w:rPr>
                <w:b/>
                <w:bCs/>
                <w:sz w:val="19"/>
                <w:szCs w:val="19"/>
              </w:rPr>
              <w:t xml:space="preserve">Key design: </w:t>
            </w:r>
            <w:r>
              <w:rPr>
                <w:sz w:val="19"/>
                <w:szCs w:val="19"/>
              </w:rPr>
              <w:t xml:space="preserve">Covers the full upstream supply chain, not just final product makers. </w:t>
            </w:r>
            <w:r>
              <w:rPr>
                <w:sz w:val="19"/>
                <w:szCs w:val="19"/>
              </w:rPr>
              <w:t>14 strategic sectors with c</w:t>
            </w:r>
            <w:r>
              <w:rPr>
                <w:sz w:val="19"/>
                <w:szCs w:val="19"/>
              </w:rPr>
              <w:t>atch-all sector designation authority vested in Commerce.</w:t>
            </w:r>
            <w:r>
              <w:rPr>
                <w:sz w:val="19"/>
                <w:szCs w:val="19"/>
              </w:rPr>
              <w:t xml:space="preserve"> </w:t>
            </w:r>
            <w:r>
              <w:rPr>
                <w:sz w:val="19"/>
                <w:szCs w:val="19"/>
              </w:rPr>
              <w:t>Makes every Tier 2/n defense supplier eligible for immediate value.</w:t>
            </w:r>
          </w:p>
        </w:tc>
      </w:tr>
    </w:tbl>
    <w:p w14:paraId="217B5D0C" w14:textId="77777777" w:rsidR="00A05EAD" w:rsidRDefault="00A05EAD" w:rsidP="00A05EAD">
      <w:pPr>
        <w:shd w:val="clear" w:color="auto" w:fill="1F3864"/>
        <w:spacing w:before="160" w:after="80"/>
      </w:pPr>
      <w:r>
        <w:rPr>
          <w:b/>
          <w:bCs/>
          <w:color w:val="FFFFFF"/>
          <w:sz w:val="22"/>
          <w:szCs w:val="22"/>
        </w:rPr>
        <w:t>14 STRATEGIC SECTORS (§38B) — PLUS UPSTREAM SUPPLY CHAINS</w:t>
      </w:r>
    </w:p>
    <w:p w14:paraId="14AD5FD7" w14:textId="77777777" w:rsidR="00A05EAD" w:rsidRDefault="00A05EAD" w:rsidP="00A05EAD">
      <w:pPr>
        <w:spacing w:before="60" w:after="80"/>
      </w:pPr>
      <w:r>
        <w:rPr>
          <w:i/>
          <w:iCs/>
          <w:color w:val="444444"/>
          <w:sz w:val="19"/>
          <w:szCs w:val="19"/>
        </w:rPr>
        <w:t>Each sector covers not only final product manufacturers but also equipment makers, process chemical and specialty input suppliers, and component manufacturers whose output is used primarily within that sector.</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680"/>
        <w:gridCol w:w="4680"/>
      </w:tblGrid>
      <w:tr w:rsidR="00A05EAD" w14:paraId="235D0608" w14:textId="77777777" w:rsidTr="00714F71">
        <w:tc>
          <w:tcPr>
            <w:tcW w:w="4680" w:type="dxa"/>
            <w:tcBorders>
              <w:top w:val="single" w:sz="1" w:space="0" w:color="999999"/>
              <w:left w:val="single" w:sz="1" w:space="0" w:color="999999"/>
              <w:bottom w:val="single" w:sz="1" w:space="0" w:color="999999"/>
              <w:right w:val="single" w:sz="1" w:space="0" w:color="999999"/>
            </w:tcBorders>
            <w:shd w:val="clear" w:color="auto" w:fill="D5E8F0"/>
            <w:tcMar>
              <w:top w:w="60" w:type="dxa"/>
              <w:left w:w="100" w:type="dxa"/>
              <w:bottom w:w="60" w:type="dxa"/>
              <w:right w:w="100" w:type="dxa"/>
            </w:tcMar>
          </w:tcPr>
          <w:p w14:paraId="5A4283B6" w14:textId="77777777" w:rsidR="00A05EAD" w:rsidRDefault="00A05EAD" w:rsidP="00714F71">
            <w:r>
              <w:rPr>
                <w:sz w:val="18"/>
                <w:szCs w:val="18"/>
              </w:rPr>
              <w:t>Critical Minerals &amp; Rare Earth Processing</w:t>
            </w:r>
          </w:p>
        </w:tc>
        <w:tc>
          <w:tcPr>
            <w:tcW w:w="4680" w:type="dxa"/>
            <w:tcBorders>
              <w:top w:val="single" w:sz="1" w:space="0" w:color="999999"/>
              <w:left w:val="single" w:sz="1" w:space="0" w:color="999999"/>
              <w:bottom w:val="single" w:sz="1" w:space="0" w:color="999999"/>
              <w:right w:val="single" w:sz="1" w:space="0" w:color="999999"/>
            </w:tcBorders>
            <w:shd w:val="clear" w:color="auto" w:fill="D5E8F0"/>
            <w:tcMar>
              <w:top w:w="60" w:type="dxa"/>
              <w:left w:w="100" w:type="dxa"/>
              <w:bottom w:w="60" w:type="dxa"/>
              <w:right w:w="100" w:type="dxa"/>
            </w:tcMar>
          </w:tcPr>
          <w:p w14:paraId="44C3B755" w14:textId="77777777" w:rsidR="00A05EAD" w:rsidRDefault="00A05EAD" w:rsidP="00714F71">
            <w:r>
              <w:rPr>
                <w:sz w:val="18"/>
                <w:szCs w:val="18"/>
              </w:rPr>
              <w:t>Semiconductors &amp; Advanced Electronics</w:t>
            </w:r>
          </w:p>
        </w:tc>
      </w:tr>
      <w:tr w:rsidR="00A05EAD" w14:paraId="74FD748F" w14:textId="77777777" w:rsidTr="00714F71">
        <w:tc>
          <w:tcPr>
            <w:tcW w:w="4680" w:type="dxa"/>
            <w:tcBorders>
              <w:top w:val="single" w:sz="1" w:space="0" w:color="999999"/>
              <w:left w:val="single" w:sz="1" w:space="0" w:color="999999"/>
              <w:bottom w:val="single" w:sz="1" w:space="0" w:color="999999"/>
              <w:right w:val="single" w:sz="1" w:space="0" w:color="999999"/>
            </w:tcBorders>
            <w:shd w:val="clear" w:color="auto" w:fill="D5E8F0"/>
            <w:tcMar>
              <w:top w:w="60" w:type="dxa"/>
              <w:left w:w="100" w:type="dxa"/>
              <w:bottom w:w="60" w:type="dxa"/>
              <w:right w:w="100" w:type="dxa"/>
            </w:tcMar>
          </w:tcPr>
          <w:p w14:paraId="42BD25B1" w14:textId="77777777" w:rsidR="00A05EAD" w:rsidRDefault="00A05EAD" w:rsidP="00714F71">
            <w:r>
              <w:rPr>
                <w:sz w:val="18"/>
                <w:szCs w:val="18"/>
              </w:rPr>
              <w:t>Autonomous Systems &amp; Robotics</w:t>
            </w:r>
          </w:p>
        </w:tc>
        <w:tc>
          <w:tcPr>
            <w:tcW w:w="4680" w:type="dxa"/>
            <w:tcBorders>
              <w:top w:val="single" w:sz="1" w:space="0" w:color="999999"/>
              <w:left w:val="single" w:sz="1" w:space="0" w:color="999999"/>
              <w:bottom w:val="single" w:sz="1" w:space="0" w:color="999999"/>
              <w:right w:val="single" w:sz="1" w:space="0" w:color="999999"/>
            </w:tcBorders>
            <w:shd w:val="clear" w:color="auto" w:fill="D5E8F0"/>
            <w:tcMar>
              <w:top w:w="60" w:type="dxa"/>
              <w:left w:w="100" w:type="dxa"/>
              <w:bottom w:w="60" w:type="dxa"/>
              <w:right w:w="100" w:type="dxa"/>
            </w:tcMar>
          </w:tcPr>
          <w:p w14:paraId="6D5BC766" w14:textId="77777777" w:rsidR="00A05EAD" w:rsidRDefault="00A05EAD" w:rsidP="00714F71">
            <w:r>
              <w:rPr>
                <w:sz w:val="18"/>
                <w:szCs w:val="18"/>
              </w:rPr>
              <w:t>Computing &amp; Communications Hardware</w:t>
            </w:r>
          </w:p>
        </w:tc>
      </w:tr>
      <w:tr w:rsidR="00A05EAD" w14:paraId="12450AFE" w14:textId="77777777" w:rsidTr="00714F71">
        <w:tc>
          <w:tcPr>
            <w:tcW w:w="4680" w:type="dxa"/>
            <w:tcBorders>
              <w:top w:val="single" w:sz="1" w:space="0" w:color="999999"/>
              <w:left w:val="single" w:sz="1" w:space="0" w:color="999999"/>
              <w:bottom w:val="single" w:sz="1" w:space="0" w:color="999999"/>
              <w:right w:val="single" w:sz="1" w:space="0" w:color="999999"/>
            </w:tcBorders>
            <w:shd w:val="clear" w:color="auto" w:fill="D5E8F0"/>
            <w:tcMar>
              <w:top w:w="60" w:type="dxa"/>
              <w:left w:w="100" w:type="dxa"/>
              <w:bottom w:w="60" w:type="dxa"/>
              <w:right w:w="100" w:type="dxa"/>
            </w:tcMar>
          </w:tcPr>
          <w:p w14:paraId="3A6D905B" w14:textId="77777777" w:rsidR="00A05EAD" w:rsidRDefault="00A05EAD" w:rsidP="00714F71">
            <w:r>
              <w:rPr>
                <w:sz w:val="18"/>
                <w:szCs w:val="18"/>
              </w:rPr>
              <w:t>Wireless Connectivity &amp; Telecom Equipment</w:t>
            </w:r>
          </w:p>
        </w:tc>
        <w:tc>
          <w:tcPr>
            <w:tcW w:w="4680" w:type="dxa"/>
            <w:tcBorders>
              <w:top w:val="single" w:sz="1" w:space="0" w:color="999999"/>
              <w:left w:val="single" w:sz="1" w:space="0" w:color="999999"/>
              <w:bottom w:val="single" w:sz="1" w:space="0" w:color="999999"/>
              <w:right w:val="single" w:sz="1" w:space="0" w:color="999999"/>
            </w:tcBorders>
            <w:shd w:val="clear" w:color="auto" w:fill="D5E8F0"/>
            <w:tcMar>
              <w:top w:w="60" w:type="dxa"/>
              <w:left w:w="100" w:type="dxa"/>
              <w:bottom w:w="60" w:type="dxa"/>
              <w:right w:w="100" w:type="dxa"/>
            </w:tcMar>
          </w:tcPr>
          <w:p w14:paraId="1847B705" w14:textId="77777777" w:rsidR="00A05EAD" w:rsidRDefault="00A05EAD" w:rsidP="00714F71">
            <w:r>
              <w:rPr>
                <w:sz w:val="18"/>
                <w:szCs w:val="18"/>
              </w:rPr>
              <w:t>Active Pharma Ingredients &amp; Key Starting Materials</w:t>
            </w:r>
          </w:p>
        </w:tc>
      </w:tr>
      <w:tr w:rsidR="00A05EAD" w14:paraId="66AD78B9" w14:textId="77777777" w:rsidTr="00714F71">
        <w:tc>
          <w:tcPr>
            <w:tcW w:w="4680" w:type="dxa"/>
            <w:tcBorders>
              <w:top w:val="single" w:sz="1" w:space="0" w:color="999999"/>
              <w:left w:val="single" w:sz="1" w:space="0" w:color="999999"/>
              <w:bottom w:val="single" w:sz="1" w:space="0" w:color="999999"/>
              <w:right w:val="single" w:sz="1" w:space="0" w:color="999999"/>
            </w:tcBorders>
            <w:shd w:val="clear" w:color="auto" w:fill="D5E8F0"/>
            <w:tcMar>
              <w:top w:w="60" w:type="dxa"/>
              <w:left w:w="100" w:type="dxa"/>
              <w:bottom w:w="60" w:type="dxa"/>
              <w:right w:w="100" w:type="dxa"/>
            </w:tcMar>
          </w:tcPr>
          <w:p w14:paraId="7DC37362" w14:textId="77777777" w:rsidR="00A05EAD" w:rsidRDefault="00A05EAD" w:rsidP="00714F71">
            <w:r>
              <w:rPr>
                <w:sz w:val="18"/>
                <w:szCs w:val="18"/>
              </w:rPr>
              <w:t>PPE &amp; Strategic Medical Supplies</w:t>
            </w:r>
          </w:p>
        </w:tc>
        <w:tc>
          <w:tcPr>
            <w:tcW w:w="4680" w:type="dxa"/>
            <w:tcBorders>
              <w:top w:val="single" w:sz="1" w:space="0" w:color="999999"/>
              <w:left w:val="single" w:sz="1" w:space="0" w:color="999999"/>
              <w:bottom w:val="single" w:sz="1" w:space="0" w:color="999999"/>
              <w:right w:val="single" w:sz="1" w:space="0" w:color="999999"/>
            </w:tcBorders>
            <w:shd w:val="clear" w:color="auto" w:fill="D5E8F0"/>
            <w:tcMar>
              <w:top w:w="60" w:type="dxa"/>
              <w:left w:w="100" w:type="dxa"/>
              <w:bottom w:w="60" w:type="dxa"/>
              <w:right w:w="100" w:type="dxa"/>
            </w:tcMar>
          </w:tcPr>
          <w:p w14:paraId="4E2E70E2" w14:textId="77777777" w:rsidR="00A05EAD" w:rsidRDefault="00A05EAD" w:rsidP="00714F71">
            <w:r>
              <w:rPr>
                <w:sz w:val="18"/>
                <w:szCs w:val="18"/>
              </w:rPr>
              <w:t>Electric Power Generation, Transmission &amp; Storage</w:t>
            </w:r>
          </w:p>
        </w:tc>
      </w:tr>
      <w:tr w:rsidR="00A05EAD" w14:paraId="2B2DB8BA" w14:textId="77777777" w:rsidTr="00714F71">
        <w:tc>
          <w:tcPr>
            <w:tcW w:w="4680" w:type="dxa"/>
            <w:tcBorders>
              <w:top w:val="single" w:sz="1" w:space="0" w:color="999999"/>
              <w:left w:val="single" w:sz="1" w:space="0" w:color="999999"/>
              <w:bottom w:val="single" w:sz="1" w:space="0" w:color="999999"/>
              <w:right w:val="single" w:sz="1" w:space="0" w:color="999999"/>
            </w:tcBorders>
            <w:shd w:val="clear" w:color="auto" w:fill="D5E8F0"/>
            <w:tcMar>
              <w:top w:w="60" w:type="dxa"/>
              <w:left w:w="100" w:type="dxa"/>
              <w:bottom w:w="60" w:type="dxa"/>
              <w:right w:w="100" w:type="dxa"/>
            </w:tcMar>
          </w:tcPr>
          <w:p w14:paraId="27FD3D41" w14:textId="77777777" w:rsidR="00A05EAD" w:rsidRDefault="00A05EAD" w:rsidP="00714F71">
            <w:r>
              <w:rPr>
                <w:sz w:val="18"/>
                <w:szCs w:val="18"/>
              </w:rPr>
              <w:t>Defense Industrial Base Components</w:t>
            </w:r>
          </w:p>
        </w:tc>
        <w:tc>
          <w:tcPr>
            <w:tcW w:w="4680" w:type="dxa"/>
            <w:tcBorders>
              <w:top w:val="single" w:sz="1" w:space="0" w:color="999999"/>
              <w:left w:val="single" w:sz="1" w:space="0" w:color="999999"/>
              <w:bottom w:val="single" w:sz="1" w:space="0" w:color="999999"/>
              <w:right w:val="single" w:sz="1" w:space="0" w:color="999999"/>
            </w:tcBorders>
            <w:shd w:val="clear" w:color="auto" w:fill="D5E8F0"/>
            <w:tcMar>
              <w:top w:w="60" w:type="dxa"/>
              <w:left w:w="100" w:type="dxa"/>
              <w:bottom w:w="60" w:type="dxa"/>
              <w:right w:w="100" w:type="dxa"/>
            </w:tcMar>
          </w:tcPr>
          <w:p w14:paraId="3923BD9B" w14:textId="77777777" w:rsidR="00A05EAD" w:rsidRDefault="00A05EAD" w:rsidP="00714F71">
            <w:r>
              <w:rPr>
                <w:sz w:val="18"/>
                <w:szCs w:val="18"/>
              </w:rPr>
              <w:t>Shipbuilding &amp; Maritime Systems</w:t>
            </w:r>
          </w:p>
        </w:tc>
      </w:tr>
      <w:tr w:rsidR="00A05EAD" w14:paraId="55932161" w14:textId="77777777" w:rsidTr="00714F71">
        <w:tc>
          <w:tcPr>
            <w:tcW w:w="4680" w:type="dxa"/>
            <w:tcBorders>
              <w:top w:val="single" w:sz="1" w:space="0" w:color="999999"/>
              <w:left w:val="single" w:sz="1" w:space="0" w:color="999999"/>
              <w:bottom w:val="single" w:sz="1" w:space="0" w:color="999999"/>
              <w:right w:val="single" w:sz="1" w:space="0" w:color="999999"/>
            </w:tcBorders>
            <w:shd w:val="clear" w:color="auto" w:fill="D5E8F0"/>
            <w:tcMar>
              <w:top w:w="60" w:type="dxa"/>
              <w:left w:w="100" w:type="dxa"/>
              <w:bottom w:w="60" w:type="dxa"/>
              <w:right w:w="100" w:type="dxa"/>
            </w:tcMar>
          </w:tcPr>
          <w:p w14:paraId="1414941C" w14:textId="77777777" w:rsidR="00A05EAD" w:rsidRDefault="00A05EAD" w:rsidP="00714F71">
            <w:r>
              <w:rPr>
                <w:sz w:val="18"/>
                <w:szCs w:val="18"/>
              </w:rPr>
              <w:t>Space Systems &amp; Launch Infrastructure</w:t>
            </w:r>
          </w:p>
        </w:tc>
        <w:tc>
          <w:tcPr>
            <w:tcW w:w="4680" w:type="dxa"/>
            <w:tcBorders>
              <w:top w:val="single" w:sz="1" w:space="0" w:color="999999"/>
              <w:left w:val="single" w:sz="1" w:space="0" w:color="999999"/>
              <w:bottom w:val="single" w:sz="1" w:space="0" w:color="999999"/>
              <w:right w:val="single" w:sz="1" w:space="0" w:color="999999"/>
            </w:tcBorders>
            <w:shd w:val="clear" w:color="auto" w:fill="D5E8F0"/>
            <w:tcMar>
              <w:top w:w="60" w:type="dxa"/>
              <w:left w:w="100" w:type="dxa"/>
              <w:bottom w:w="60" w:type="dxa"/>
              <w:right w:w="100" w:type="dxa"/>
            </w:tcMar>
          </w:tcPr>
          <w:p w14:paraId="7482B628" w14:textId="77777777" w:rsidR="00A05EAD" w:rsidRDefault="00A05EAD" w:rsidP="00714F71">
            <w:r>
              <w:rPr>
                <w:sz w:val="18"/>
                <w:szCs w:val="18"/>
              </w:rPr>
              <w:t>Quantum Technologies</w:t>
            </w:r>
          </w:p>
        </w:tc>
      </w:tr>
      <w:tr w:rsidR="00A05EAD" w14:paraId="2A3581BC" w14:textId="77777777" w:rsidTr="00714F71">
        <w:tc>
          <w:tcPr>
            <w:tcW w:w="4680" w:type="dxa"/>
            <w:tcBorders>
              <w:top w:val="single" w:sz="1" w:space="0" w:color="999999"/>
              <w:left w:val="single" w:sz="1" w:space="0" w:color="999999"/>
              <w:bottom w:val="single" w:sz="1" w:space="0" w:color="999999"/>
              <w:right w:val="single" w:sz="1" w:space="0" w:color="999999"/>
            </w:tcBorders>
            <w:shd w:val="clear" w:color="auto" w:fill="D5E8F0"/>
            <w:tcMar>
              <w:top w:w="60" w:type="dxa"/>
              <w:left w:w="100" w:type="dxa"/>
              <w:bottom w:w="60" w:type="dxa"/>
              <w:right w:w="100" w:type="dxa"/>
            </w:tcMar>
          </w:tcPr>
          <w:p w14:paraId="08746207" w14:textId="77777777" w:rsidR="00A05EAD" w:rsidRDefault="00A05EAD" w:rsidP="00714F71">
            <w:r>
              <w:rPr>
                <w:sz w:val="18"/>
                <w:szCs w:val="18"/>
              </w:rPr>
              <w:t>Directed Energy Systems</w:t>
            </w:r>
          </w:p>
        </w:tc>
        <w:tc>
          <w:tcPr>
            <w:tcW w:w="4680" w:type="dxa"/>
            <w:tcBorders>
              <w:top w:val="single" w:sz="1" w:space="0" w:color="999999"/>
              <w:left w:val="single" w:sz="1" w:space="0" w:color="999999"/>
              <w:bottom w:val="single" w:sz="1" w:space="0" w:color="999999"/>
              <w:right w:val="single" w:sz="1" w:space="0" w:color="999999"/>
            </w:tcBorders>
            <w:shd w:val="clear" w:color="auto" w:fill="D5E8F0"/>
            <w:tcMar>
              <w:top w:w="60" w:type="dxa"/>
              <w:left w:w="100" w:type="dxa"/>
              <w:bottom w:w="60" w:type="dxa"/>
              <w:right w:w="100" w:type="dxa"/>
            </w:tcMar>
          </w:tcPr>
          <w:p w14:paraId="73E16D92" w14:textId="77777777" w:rsidR="00A05EAD" w:rsidRDefault="00A05EAD" w:rsidP="00714F71">
            <w:r>
              <w:rPr>
                <w:sz w:val="18"/>
                <w:szCs w:val="18"/>
              </w:rPr>
              <w:t>Advanced Materials &amp; Specialty Inputs</w:t>
            </w:r>
          </w:p>
        </w:tc>
      </w:tr>
    </w:tbl>
    <w:p w14:paraId="61BEE156" w14:textId="77777777" w:rsidR="00A05EAD" w:rsidRDefault="00A05EAD" w:rsidP="00A05EAD">
      <w:pPr>
        <w:shd w:val="clear" w:color="auto" w:fill="1F3864"/>
        <w:spacing w:before="160" w:after="80"/>
        <w:ind w:left="120"/>
      </w:pPr>
      <w:r>
        <w:rPr>
          <w:b/>
          <w:bCs/>
          <w:color w:val="FFFFFF"/>
          <w:sz w:val="22"/>
          <w:szCs w:val="22"/>
        </w:rPr>
        <w:lastRenderedPageBreak/>
        <w:t>GUARDRAILS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560"/>
        <w:gridCol w:w="4800"/>
      </w:tblGrid>
      <w:tr w:rsidR="00A05EAD" w14:paraId="6B0C7E7D" w14:textId="77777777" w:rsidTr="00714F71">
        <w:tc>
          <w:tcPr>
            <w:tcW w:w="4560" w:type="dxa"/>
            <w:tcBorders>
              <w:top w:val="single" w:sz="1" w:space="0" w:color="AAAAAA"/>
              <w:left w:val="single" w:sz="1" w:space="0" w:color="AAAAAA"/>
              <w:bottom w:val="single" w:sz="1" w:space="0" w:color="AAAAAA"/>
              <w:right w:val="single" w:sz="1" w:space="0" w:color="AAAAAA"/>
            </w:tcBorders>
            <w:shd w:val="clear" w:color="auto" w:fill="F4F4F4"/>
            <w:tcMar>
              <w:top w:w="60" w:type="dxa"/>
              <w:left w:w="110" w:type="dxa"/>
              <w:bottom w:w="60" w:type="dxa"/>
              <w:right w:w="110" w:type="dxa"/>
            </w:tcMar>
          </w:tcPr>
          <w:p w14:paraId="72D78A7D" w14:textId="77777777" w:rsidR="00A05EAD" w:rsidRDefault="00A05EAD" w:rsidP="00714F71">
            <w:r>
              <w:rPr>
                <w:b/>
                <w:bCs/>
                <w:sz w:val="19"/>
                <w:szCs w:val="19"/>
              </w:rPr>
              <w:t>DVA Scaling Fraction</w:t>
            </w:r>
          </w:p>
        </w:tc>
        <w:tc>
          <w:tcPr>
            <w:tcW w:w="4800" w:type="dxa"/>
            <w:tcBorders>
              <w:top w:val="single" w:sz="1" w:space="0" w:color="AAAAAA"/>
              <w:left w:val="single" w:sz="1" w:space="0" w:color="AAAAAA"/>
              <w:bottom w:val="single" w:sz="1" w:space="0" w:color="AAAAAA"/>
              <w:right w:val="single" w:sz="1" w:space="0" w:color="AAAAAA"/>
            </w:tcBorders>
            <w:shd w:val="clear" w:color="auto" w:fill="F4F4F4"/>
            <w:tcMar>
              <w:top w:w="60" w:type="dxa"/>
              <w:left w:w="110" w:type="dxa"/>
              <w:bottom w:w="60" w:type="dxa"/>
              <w:right w:w="110" w:type="dxa"/>
            </w:tcMar>
          </w:tcPr>
          <w:p w14:paraId="51E8CCFA" w14:textId="77777777" w:rsidR="00A05EAD" w:rsidRDefault="00A05EAD" w:rsidP="00714F71">
            <w:r>
              <w:rPr>
                <w:sz w:val="19"/>
                <w:szCs w:val="19"/>
              </w:rPr>
              <w:t>20% floor (1% base credit at minimum domestic content) → 100% cap at ≥80% DVA, linear. Prevents gaming by vertically integrated firms. No credit for foreign value-added.</w:t>
            </w:r>
          </w:p>
        </w:tc>
      </w:tr>
      <w:tr w:rsidR="00A05EAD" w14:paraId="2E8CF329" w14:textId="77777777" w:rsidTr="00714F71">
        <w:tc>
          <w:tcPr>
            <w:tcW w:w="4560" w:type="dxa"/>
            <w:tcBorders>
              <w:top w:val="single" w:sz="1" w:space="0" w:color="AAAAAA"/>
              <w:left w:val="single" w:sz="1" w:space="0" w:color="AAAAAA"/>
              <w:bottom w:val="single" w:sz="1" w:space="0" w:color="AAAAAA"/>
              <w:right w:val="single" w:sz="1" w:space="0" w:color="AAAAAA"/>
            </w:tcBorders>
            <w:shd w:val="clear" w:color="auto" w:fill="FFFFFF"/>
            <w:tcMar>
              <w:top w:w="60" w:type="dxa"/>
              <w:left w:w="110" w:type="dxa"/>
              <w:bottom w:w="60" w:type="dxa"/>
              <w:right w:w="110" w:type="dxa"/>
            </w:tcMar>
          </w:tcPr>
          <w:p w14:paraId="595D8249" w14:textId="77777777" w:rsidR="00A05EAD" w:rsidRDefault="00A05EAD" w:rsidP="00714F71">
            <w:r>
              <w:rPr>
                <w:b/>
                <w:bCs/>
                <w:sz w:val="19"/>
                <w:szCs w:val="19"/>
              </w:rPr>
              <w:t>Transferability</w:t>
            </w:r>
          </w:p>
        </w:tc>
        <w:tc>
          <w:tcPr>
            <w:tcW w:w="4800" w:type="dxa"/>
            <w:tcBorders>
              <w:top w:val="single" w:sz="1" w:space="0" w:color="AAAAAA"/>
              <w:left w:val="single" w:sz="1" w:space="0" w:color="AAAAAA"/>
              <w:bottom w:val="single" w:sz="1" w:space="0" w:color="AAAAAA"/>
              <w:right w:val="single" w:sz="1" w:space="0" w:color="AAAAAA"/>
            </w:tcBorders>
            <w:shd w:val="clear" w:color="auto" w:fill="FFFFFF"/>
            <w:tcMar>
              <w:top w:w="60" w:type="dxa"/>
              <w:left w:w="110" w:type="dxa"/>
              <w:bottom w:w="60" w:type="dxa"/>
              <w:right w:w="110" w:type="dxa"/>
            </w:tcMar>
          </w:tcPr>
          <w:p w14:paraId="735C148A" w14:textId="77777777" w:rsidR="00A05EAD" w:rsidRDefault="00A05EAD" w:rsidP="00714F71">
            <w:r>
              <w:rPr>
                <w:sz w:val="19"/>
                <w:szCs w:val="19"/>
              </w:rPr>
              <w:t xml:space="preserve">Credits transfer to qualified buyers (DVA ≥40%) under §6418 </w:t>
            </w:r>
            <w:proofErr w:type="gramStart"/>
            <w:r>
              <w:rPr>
                <w:sz w:val="19"/>
                <w:szCs w:val="19"/>
              </w:rPr>
              <w:t>framework, or</w:t>
            </w:r>
            <w:proofErr w:type="gramEnd"/>
            <w:r>
              <w:rPr>
                <w:sz w:val="19"/>
                <w:szCs w:val="19"/>
              </w:rPr>
              <w:t xml:space="preserve"> sold to Treasury at 85%. Pre-profit manufacturers receive immediate cash value.</w:t>
            </w:r>
          </w:p>
        </w:tc>
      </w:tr>
      <w:tr w:rsidR="00A05EAD" w14:paraId="456A9983" w14:textId="77777777" w:rsidTr="00714F71">
        <w:tc>
          <w:tcPr>
            <w:tcW w:w="4560" w:type="dxa"/>
            <w:tcBorders>
              <w:top w:val="single" w:sz="1" w:space="0" w:color="AAAAAA"/>
              <w:left w:val="single" w:sz="1" w:space="0" w:color="AAAAAA"/>
              <w:bottom w:val="single" w:sz="1" w:space="0" w:color="AAAAAA"/>
              <w:right w:val="single" w:sz="1" w:space="0" w:color="AAAAAA"/>
            </w:tcBorders>
            <w:shd w:val="clear" w:color="auto" w:fill="F4F4F4"/>
            <w:tcMar>
              <w:top w:w="60" w:type="dxa"/>
              <w:left w:w="110" w:type="dxa"/>
              <w:bottom w:w="60" w:type="dxa"/>
              <w:right w:w="110" w:type="dxa"/>
            </w:tcMar>
          </w:tcPr>
          <w:p w14:paraId="70593D7D" w14:textId="77777777" w:rsidR="00A05EAD" w:rsidRDefault="00A05EAD" w:rsidP="00714F71">
            <w:r>
              <w:rPr>
                <w:b/>
                <w:bCs/>
                <w:sz w:val="19"/>
                <w:szCs w:val="19"/>
              </w:rPr>
              <w:t>Equity Distribution Surcharge</w:t>
            </w:r>
          </w:p>
        </w:tc>
        <w:tc>
          <w:tcPr>
            <w:tcW w:w="4800" w:type="dxa"/>
            <w:tcBorders>
              <w:top w:val="single" w:sz="1" w:space="0" w:color="AAAAAA"/>
              <w:left w:val="single" w:sz="1" w:space="0" w:color="AAAAAA"/>
              <w:bottom w:val="single" w:sz="1" w:space="0" w:color="AAAAAA"/>
              <w:right w:val="single" w:sz="1" w:space="0" w:color="AAAAAA"/>
            </w:tcBorders>
            <w:shd w:val="clear" w:color="auto" w:fill="F4F4F4"/>
            <w:tcMar>
              <w:top w:w="60" w:type="dxa"/>
              <w:left w:w="110" w:type="dxa"/>
              <w:bottom w:w="60" w:type="dxa"/>
              <w:right w:w="110" w:type="dxa"/>
            </w:tcMar>
          </w:tcPr>
          <w:p w14:paraId="2A98DD32" w14:textId="77777777" w:rsidR="00A05EAD" w:rsidRDefault="00A05EAD" w:rsidP="00714F71">
            <w:r>
              <w:rPr>
                <w:sz w:val="19"/>
                <w:szCs w:val="19"/>
              </w:rPr>
              <w:t xml:space="preserve">2% (publicly traded) / 3% (privately held / PE-owned) on covered equity distributions — dividends, buybacks, redemptions, any equity cash-out. </w:t>
            </w:r>
          </w:p>
        </w:tc>
      </w:tr>
      <w:tr w:rsidR="00A05EAD" w14:paraId="750ED457" w14:textId="77777777" w:rsidTr="00714F71">
        <w:tc>
          <w:tcPr>
            <w:tcW w:w="4560" w:type="dxa"/>
            <w:tcBorders>
              <w:top w:val="single" w:sz="1" w:space="0" w:color="AAAAAA"/>
              <w:left w:val="single" w:sz="1" w:space="0" w:color="AAAAAA"/>
              <w:bottom w:val="single" w:sz="1" w:space="0" w:color="AAAAAA"/>
              <w:right w:val="single" w:sz="1" w:space="0" w:color="AAAAAA"/>
            </w:tcBorders>
            <w:shd w:val="clear" w:color="auto" w:fill="FFFFFF"/>
            <w:tcMar>
              <w:top w:w="60" w:type="dxa"/>
              <w:left w:w="110" w:type="dxa"/>
              <w:bottom w:w="60" w:type="dxa"/>
              <w:right w:w="110" w:type="dxa"/>
            </w:tcMar>
          </w:tcPr>
          <w:p w14:paraId="259001F8" w14:textId="77777777" w:rsidR="00A05EAD" w:rsidRDefault="00A05EAD" w:rsidP="00714F71">
            <w:r>
              <w:rPr>
                <w:b/>
                <w:bCs/>
                <w:sz w:val="19"/>
                <w:szCs w:val="19"/>
              </w:rPr>
              <w:t>Offshoring Recapture</w:t>
            </w:r>
          </w:p>
        </w:tc>
        <w:tc>
          <w:tcPr>
            <w:tcW w:w="4800" w:type="dxa"/>
            <w:tcBorders>
              <w:top w:val="single" w:sz="1" w:space="0" w:color="AAAAAA"/>
              <w:left w:val="single" w:sz="1" w:space="0" w:color="AAAAAA"/>
              <w:bottom w:val="single" w:sz="1" w:space="0" w:color="AAAAAA"/>
              <w:right w:val="single" w:sz="1" w:space="0" w:color="AAAAAA"/>
            </w:tcBorders>
            <w:shd w:val="clear" w:color="auto" w:fill="FFFFFF"/>
            <w:tcMar>
              <w:top w:w="60" w:type="dxa"/>
              <w:left w:w="110" w:type="dxa"/>
              <w:bottom w:w="60" w:type="dxa"/>
              <w:right w:w="110" w:type="dxa"/>
            </w:tcMar>
          </w:tcPr>
          <w:p w14:paraId="20A85698" w14:textId="77777777" w:rsidR="00A05EAD" w:rsidRDefault="00A05EAD" w:rsidP="00714F71">
            <w:r>
              <w:rPr>
                <w:sz w:val="19"/>
                <w:szCs w:val="19"/>
              </w:rPr>
              <w:t>Credits recaptured if production moves offshore within 3-5 years. Allied reorientation exemption: no recapture for shifts to NATO members, treaty partners, MNNAs, or Commerce-designated strategic economic partners with national security rationale.</w:t>
            </w:r>
          </w:p>
        </w:tc>
      </w:tr>
      <w:tr w:rsidR="00A05EAD" w14:paraId="737A61C4" w14:textId="77777777" w:rsidTr="00714F71">
        <w:tc>
          <w:tcPr>
            <w:tcW w:w="4560" w:type="dxa"/>
            <w:tcBorders>
              <w:top w:val="single" w:sz="1" w:space="0" w:color="AAAAAA"/>
              <w:left w:val="single" w:sz="1" w:space="0" w:color="AAAAAA"/>
              <w:bottom w:val="single" w:sz="1" w:space="0" w:color="AAAAAA"/>
              <w:right w:val="single" w:sz="1" w:space="0" w:color="AAAAAA"/>
            </w:tcBorders>
            <w:shd w:val="clear" w:color="auto" w:fill="F4F4F4"/>
            <w:tcMar>
              <w:top w:w="60" w:type="dxa"/>
              <w:left w:w="110" w:type="dxa"/>
              <w:bottom w:w="60" w:type="dxa"/>
              <w:right w:w="110" w:type="dxa"/>
            </w:tcMar>
          </w:tcPr>
          <w:p w14:paraId="54F5069D" w14:textId="77777777" w:rsidR="00A05EAD" w:rsidRDefault="00A05EAD" w:rsidP="00714F71">
            <w:r>
              <w:rPr>
                <w:b/>
                <w:bCs/>
                <w:sz w:val="19"/>
                <w:szCs w:val="19"/>
              </w:rPr>
              <w:t>Anti-Abuse</w:t>
            </w:r>
          </w:p>
        </w:tc>
        <w:tc>
          <w:tcPr>
            <w:tcW w:w="4800" w:type="dxa"/>
            <w:tcBorders>
              <w:top w:val="single" w:sz="1" w:space="0" w:color="AAAAAA"/>
              <w:left w:val="single" w:sz="1" w:space="0" w:color="AAAAAA"/>
              <w:bottom w:val="single" w:sz="1" w:space="0" w:color="AAAAAA"/>
              <w:right w:val="single" w:sz="1" w:space="0" w:color="AAAAAA"/>
            </w:tcBorders>
            <w:shd w:val="clear" w:color="auto" w:fill="F4F4F4"/>
            <w:tcMar>
              <w:top w:w="60" w:type="dxa"/>
              <w:left w:w="110" w:type="dxa"/>
              <w:bottom w:w="60" w:type="dxa"/>
              <w:right w:w="110" w:type="dxa"/>
            </w:tcMar>
          </w:tcPr>
          <w:p w14:paraId="570B9C5C" w14:textId="77777777" w:rsidR="00A05EAD" w:rsidRDefault="00A05EAD" w:rsidP="00714F71">
            <w:r>
              <w:rPr>
                <w:sz w:val="19"/>
                <w:szCs w:val="19"/>
              </w:rPr>
              <w:t>Substance-over-form, related-party rules, temporary contribution rules. DVA depreciation at straight-line/economic life (not §168(k) bonus), preventing one-time deduction distortions.</w:t>
            </w:r>
          </w:p>
        </w:tc>
      </w:tr>
      <w:tr w:rsidR="00A05EAD" w14:paraId="4C5A61DD" w14:textId="77777777" w:rsidTr="00714F71">
        <w:tc>
          <w:tcPr>
            <w:tcW w:w="4560" w:type="dxa"/>
            <w:tcBorders>
              <w:top w:val="single" w:sz="1" w:space="0" w:color="AAAAAA"/>
              <w:left w:val="single" w:sz="1" w:space="0" w:color="AAAAAA"/>
              <w:bottom w:val="single" w:sz="1" w:space="0" w:color="AAAAAA"/>
              <w:right w:val="single" w:sz="1" w:space="0" w:color="AAAAAA"/>
            </w:tcBorders>
            <w:shd w:val="clear" w:color="auto" w:fill="F4F4F4"/>
            <w:tcMar>
              <w:top w:w="60" w:type="dxa"/>
              <w:left w:w="110" w:type="dxa"/>
              <w:bottom w:w="60" w:type="dxa"/>
              <w:right w:w="110" w:type="dxa"/>
            </w:tcMar>
          </w:tcPr>
          <w:p w14:paraId="39058F12" w14:textId="77777777" w:rsidR="00A05EAD" w:rsidRDefault="00A05EAD" w:rsidP="00714F71">
            <w:r>
              <w:rPr>
                <w:b/>
                <w:bCs/>
                <w:sz w:val="19"/>
                <w:szCs w:val="19"/>
              </w:rPr>
              <w:t>Industry Eligibility Gate</w:t>
            </w:r>
          </w:p>
        </w:tc>
        <w:tc>
          <w:tcPr>
            <w:tcW w:w="4800" w:type="dxa"/>
            <w:tcBorders>
              <w:top w:val="single" w:sz="1" w:space="0" w:color="AAAAAA"/>
              <w:left w:val="single" w:sz="1" w:space="0" w:color="AAAAAA"/>
              <w:bottom w:val="single" w:sz="1" w:space="0" w:color="AAAAAA"/>
              <w:right w:val="single" w:sz="1" w:space="0" w:color="AAAAAA"/>
            </w:tcBorders>
            <w:shd w:val="clear" w:color="auto" w:fill="F4F4F4"/>
            <w:tcMar>
              <w:top w:w="60" w:type="dxa"/>
              <w:left w:w="110" w:type="dxa"/>
              <w:bottom w:w="60" w:type="dxa"/>
              <w:right w:w="110" w:type="dxa"/>
            </w:tcMar>
          </w:tcPr>
          <w:p w14:paraId="254E6A8D" w14:textId="77777777" w:rsidR="00A05EAD" w:rsidRDefault="00A05EAD" w:rsidP="00714F71">
            <w:r>
              <w:rPr>
                <w:sz w:val="19"/>
                <w:szCs w:val="19"/>
              </w:rPr>
              <w:t>§38A credits are available to all NAICS 31–33 industries except: (</w:t>
            </w:r>
            <w:proofErr w:type="spellStart"/>
            <w:r>
              <w:rPr>
                <w:sz w:val="19"/>
                <w:szCs w:val="19"/>
              </w:rPr>
              <w:t>i</w:t>
            </w:r>
            <w:proofErr w:type="spellEnd"/>
            <w:r>
              <w:rPr>
                <w:sz w:val="19"/>
                <w:szCs w:val="19"/>
              </w:rPr>
              <w:t>) NAICS 3121 (Beverage Manufacturing) and 3122 (Tobacco Manufacturing) — permanently excluded by statute; and (ii) any industry whose trailing 3-year EVA spread (industry return on invested capital minus industry cost of capital) exceeds 18 percentage points — excluded annually by IRS Notice unless the industry is covered by §38B or designated Strategic by Commerce. Eligibility is determined at the industry level using public data; no manufacturer discloses its own ROIC. Industries above the 18-point threshold that are covered by §38B (e.g., Metals &amp; Mining, Semiconductor Equipment) automatically retain §38A eligibility.</w:t>
            </w:r>
          </w:p>
        </w:tc>
      </w:tr>
      <w:tr w:rsidR="00A05EAD" w14:paraId="2CA0734F" w14:textId="77777777" w:rsidTr="00714F71">
        <w:tc>
          <w:tcPr>
            <w:tcW w:w="4560" w:type="dxa"/>
            <w:tcBorders>
              <w:top w:val="single" w:sz="1" w:space="0" w:color="AAAAAA"/>
              <w:left w:val="single" w:sz="1" w:space="0" w:color="AAAAAA"/>
              <w:bottom w:val="single" w:sz="1" w:space="0" w:color="AAAAAA"/>
              <w:right w:val="single" w:sz="1" w:space="0" w:color="AAAAAA"/>
            </w:tcBorders>
            <w:shd w:val="clear" w:color="auto" w:fill="FFFFFF"/>
            <w:tcMar>
              <w:top w:w="60" w:type="dxa"/>
              <w:left w:w="110" w:type="dxa"/>
              <w:bottom w:w="60" w:type="dxa"/>
              <w:right w:w="110" w:type="dxa"/>
            </w:tcMar>
          </w:tcPr>
          <w:p w14:paraId="42692F6E" w14:textId="77777777" w:rsidR="00A05EAD" w:rsidRDefault="00A05EAD" w:rsidP="00714F71">
            <w:r>
              <w:rPr>
                <w:b/>
                <w:bCs/>
                <w:sz w:val="19"/>
                <w:szCs w:val="19"/>
              </w:rPr>
              <w:t>Sunset</w:t>
            </w:r>
          </w:p>
        </w:tc>
        <w:tc>
          <w:tcPr>
            <w:tcW w:w="4800" w:type="dxa"/>
            <w:tcBorders>
              <w:top w:val="single" w:sz="1" w:space="0" w:color="AAAAAA"/>
              <w:left w:val="single" w:sz="1" w:space="0" w:color="AAAAAA"/>
              <w:bottom w:val="single" w:sz="1" w:space="0" w:color="AAAAAA"/>
              <w:right w:val="single" w:sz="1" w:space="0" w:color="AAAAAA"/>
            </w:tcBorders>
            <w:shd w:val="clear" w:color="auto" w:fill="FFFFFF"/>
            <w:tcMar>
              <w:top w:w="60" w:type="dxa"/>
              <w:left w:w="110" w:type="dxa"/>
              <w:bottom w:w="60" w:type="dxa"/>
              <w:right w:w="110" w:type="dxa"/>
            </w:tcMar>
          </w:tcPr>
          <w:p w14:paraId="584D6820" w14:textId="77777777" w:rsidR="00A05EAD" w:rsidRDefault="00A05EAD" w:rsidP="00714F71">
            <w:r>
              <w:rPr>
                <w:sz w:val="19"/>
                <w:szCs w:val="19"/>
              </w:rPr>
              <w:t>MINA: 10-year full + 7-year linear phase-out. DO IT NOW: 12-year full + 10-year phase-out. Presidential 3-year extension if China escalates subsidies or U.S. has not reached ≥50% domestic capacity in majority of strategic sectors. Not a permanent entitlement.</w:t>
            </w:r>
          </w:p>
        </w:tc>
      </w:tr>
    </w:tbl>
    <w:p w14:paraId="227475D1" w14:textId="77777777" w:rsidR="00A05EAD" w:rsidRPr="00A05EAD" w:rsidRDefault="00A05EAD" w:rsidP="00A05EAD">
      <w:pPr>
        <w:shd w:val="clear" w:color="auto" w:fill="1F3864"/>
        <w:spacing w:before="160" w:after="80"/>
        <w:ind w:left="120"/>
        <w:rPr>
          <w:sz w:val="16"/>
          <w:szCs w:val="16"/>
        </w:rPr>
      </w:pPr>
      <w:r w:rsidRPr="00A05EAD">
        <w:rPr>
          <w:b/>
          <w:bCs/>
          <w:color w:val="FFFFFF"/>
        </w:rPr>
        <w:t>WHAT WE'RE ASKING</w:t>
      </w:r>
    </w:p>
    <w:p w14:paraId="68D89DC7" w14:textId="77777777" w:rsidR="00A05EAD" w:rsidRPr="00A05EAD" w:rsidRDefault="00A05EAD" w:rsidP="00A05EAD">
      <w:pPr>
        <w:spacing w:before="80" w:after="60"/>
        <w:rPr>
          <w:sz w:val="18"/>
          <w:szCs w:val="18"/>
        </w:rPr>
      </w:pPr>
      <w:r w:rsidRPr="00A05EAD">
        <w:rPr>
          <w:sz w:val="18"/>
          <w:szCs w:val="18"/>
        </w:rPr>
        <w:t>A staff-level meeting (20–30 minutes) to walk through MISA's draft structure, DVA methodology, and guardrails. MISA is designed to sit entirely within Ways &amp; Means and Finance Committee jurisdiction. We are prepared to provide bill text, section-by-section analysis, cost-benefit analysis, and worked examples.</w:t>
      </w:r>
    </w:p>
    <w:p w14:paraId="5929C6BD" w14:textId="77777777" w:rsidR="00A05EAD" w:rsidRPr="00A05EAD" w:rsidRDefault="00A05EAD" w:rsidP="00A05EAD">
      <w:pPr>
        <w:spacing w:before="100"/>
        <w:rPr>
          <w:sz w:val="18"/>
          <w:szCs w:val="18"/>
        </w:rPr>
      </w:pPr>
      <w:r w:rsidRPr="00A05EAD">
        <w:rPr>
          <w:b/>
          <w:bCs/>
          <w:sz w:val="18"/>
          <w:szCs w:val="18"/>
        </w:rPr>
        <w:t xml:space="preserve">Contact: </w:t>
      </w:r>
      <w:r w:rsidRPr="00A05EAD">
        <w:rPr>
          <w:sz w:val="18"/>
          <w:szCs w:val="18"/>
        </w:rPr>
        <w:t xml:space="preserve">Mark Rosenblatt, </w:t>
      </w:r>
      <w:proofErr w:type="gramStart"/>
      <w:r w:rsidRPr="00A05EAD">
        <w:rPr>
          <w:sz w:val="18"/>
          <w:szCs w:val="18"/>
        </w:rPr>
        <w:t>Rationalwave  ·</w:t>
      </w:r>
      <w:proofErr w:type="gramEnd"/>
      <w:r w:rsidRPr="00A05EAD">
        <w:rPr>
          <w:sz w:val="18"/>
          <w:szCs w:val="18"/>
        </w:rPr>
        <w:t xml:space="preserve">  </w:t>
      </w:r>
      <w:proofErr w:type="gramStart"/>
      <w:r w:rsidRPr="00A05EAD">
        <w:rPr>
          <w:sz w:val="18"/>
          <w:szCs w:val="18"/>
        </w:rPr>
        <w:t>mr@rationalwave.com  ·</w:t>
      </w:r>
      <w:proofErr w:type="gramEnd"/>
      <w:r w:rsidRPr="00A05EAD">
        <w:rPr>
          <w:sz w:val="18"/>
          <w:szCs w:val="18"/>
        </w:rPr>
        <w:t xml:space="preserve">  914-584-5400</w:t>
      </w:r>
    </w:p>
    <w:p w14:paraId="32BA2CA2" w14:textId="77777777" w:rsidR="00A05EAD" w:rsidRDefault="00A05EAD" w:rsidP="00A05EAD"/>
    <w:p w14:paraId="1CD1CF26" w14:textId="77777777" w:rsidR="00A808A2" w:rsidRPr="00A05EAD" w:rsidRDefault="00A808A2" w:rsidP="00A05EAD"/>
    <w:sectPr w:rsidR="00A808A2" w:rsidRPr="00A05EAD" w:rsidSect="002E494E">
      <w:headerReference w:type="default" r:id="rId6"/>
      <w:pgSz w:w="12240" w:h="15840"/>
      <w:pgMar w:top="864" w:right="1008" w:bottom="864" w:left="1008"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1FA93C" w14:textId="77777777" w:rsidR="0040625B" w:rsidRDefault="0040625B" w:rsidP="002E494E">
      <w:r>
        <w:separator/>
      </w:r>
    </w:p>
  </w:endnote>
  <w:endnote w:type="continuationSeparator" w:id="0">
    <w:p w14:paraId="2145156C" w14:textId="77777777" w:rsidR="0040625B" w:rsidRDefault="0040625B" w:rsidP="002E49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DC0EB7" w14:textId="77777777" w:rsidR="0040625B" w:rsidRDefault="0040625B" w:rsidP="002E494E">
      <w:r>
        <w:separator/>
      </w:r>
    </w:p>
  </w:footnote>
  <w:footnote w:type="continuationSeparator" w:id="0">
    <w:p w14:paraId="2342A349" w14:textId="77777777" w:rsidR="0040625B" w:rsidRDefault="0040625B" w:rsidP="002E494E">
      <w:r>
        <w:continuationSeparator/>
      </w:r>
    </w:p>
  </w:footnote>
  <w:footnote w:id="1">
    <w:p w14:paraId="2B4F12E0" w14:textId="77777777" w:rsidR="00A05EAD" w:rsidRPr="001B1F25" w:rsidRDefault="00A05EAD" w:rsidP="00A05EAD">
      <w:pPr>
        <w:pStyle w:val="FootnoteText"/>
        <w:rPr>
          <w:sz w:val="18"/>
          <w:szCs w:val="18"/>
        </w:rPr>
      </w:pPr>
      <w:r w:rsidRPr="001B1F25">
        <w:rPr>
          <w:rStyle w:val="FootnoteReference"/>
          <w:sz w:val="18"/>
          <w:szCs w:val="18"/>
        </w:rPr>
        <w:footnoteRef/>
      </w:r>
      <w:r w:rsidRPr="001B1F25">
        <w:rPr>
          <w:sz w:val="18"/>
          <w:szCs w:val="18"/>
        </w:rPr>
        <w:t xml:space="preserve"> Domestic Value-Added Costs are Domestic Labor, Materials &amp; Components, Capital Recovery, R&amp;D, and Manufacturing Overhead.</w:t>
      </w:r>
    </w:p>
  </w:footnote>
  <w:footnote w:id="2">
    <w:p w14:paraId="1393F4EB" w14:textId="77777777" w:rsidR="00A05EAD" w:rsidRPr="001B1F25" w:rsidRDefault="00A05EAD" w:rsidP="00A05EAD">
      <w:pPr>
        <w:pStyle w:val="FootnoteText"/>
        <w:rPr>
          <w:sz w:val="18"/>
          <w:szCs w:val="18"/>
        </w:rPr>
      </w:pPr>
      <w:r w:rsidRPr="001B1F25">
        <w:rPr>
          <w:rStyle w:val="FootnoteReference"/>
          <w:sz w:val="18"/>
          <w:szCs w:val="18"/>
        </w:rPr>
        <w:footnoteRef/>
      </w:r>
      <w:r w:rsidRPr="001B1F25">
        <w:rPr>
          <w:sz w:val="18"/>
          <w:szCs w:val="18"/>
        </w:rPr>
        <w:t xml:space="preserve"> Scaling Fraction = DVA Costs/Applicable Product Revenue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973B89" w14:textId="4AD3CC19" w:rsidR="002E494E" w:rsidRDefault="002E494E">
    <w:pPr>
      <w:pStyle w:val="Header"/>
    </w:pPr>
    <w:r>
      <w:t>March 1</w:t>
    </w:r>
    <w:r w:rsidR="00A05EAD">
      <w:t>6</w:t>
    </w:r>
    <w:r>
      <w:t>, 2026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6"/>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494E"/>
    <w:rsid w:val="001A79DC"/>
    <w:rsid w:val="002E494E"/>
    <w:rsid w:val="003328DC"/>
    <w:rsid w:val="00351038"/>
    <w:rsid w:val="0040625B"/>
    <w:rsid w:val="0060498B"/>
    <w:rsid w:val="009B4370"/>
    <w:rsid w:val="00A05EAD"/>
    <w:rsid w:val="00A808A2"/>
    <w:rsid w:val="00B445E9"/>
    <w:rsid w:val="00BA7D62"/>
    <w:rsid w:val="00CD621F"/>
    <w:rsid w:val="00EA2C3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3A11A0D7"/>
  <w15:chartTrackingRefBased/>
  <w15:docId w15:val="{608542DA-0340-4C44-8A20-75117061E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94E"/>
    <w:pPr>
      <w:spacing w:after="0" w:line="240" w:lineRule="auto"/>
    </w:pPr>
    <w:rPr>
      <w:rFonts w:ascii="Arial" w:eastAsia="Arial" w:hAnsi="Arial" w:cs="Arial"/>
      <w:color w:val="000000"/>
      <w:kern w:val="0"/>
      <w:sz w:val="20"/>
      <w:szCs w:val="20"/>
      <w14:ligatures w14:val="none"/>
    </w:rPr>
  </w:style>
  <w:style w:type="paragraph" w:styleId="Heading1">
    <w:name w:val="heading 1"/>
    <w:basedOn w:val="Normal"/>
    <w:next w:val="Normal"/>
    <w:link w:val="Heading1Char"/>
    <w:uiPriority w:val="9"/>
    <w:qFormat/>
    <w:rsid w:val="002E494E"/>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2E494E"/>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2E494E"/>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2E494E"/>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2E494E"/>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2E494E"/>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2E494E"/>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2E494E"/>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2E494E"/>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49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E49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E49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E49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E49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E49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E49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E49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E494E"/>
    <w:rPr>
      <w:rFonts w:eastAsiaTheme="majorEastAsia" w:cstheme="majorBidi"/>
      <w:color w:val="272727" w:themeColor="text1" w:themeTint="D8"/>
    </w:rPr>
  </w:style>
  <w:style w:type="paragraph" w:styleId="Title">
    <w:name w:val="Title"/>
    <w:basedOn w:val="Normal"/>
    <w:next w:val="Normal"/>
    <w:link w:val="TitleChar"/>
    <w:uiPriority w:val="10"/>
    <w:qFormat/>
    <w:rsid w:val="002E494E"/>
    <w:pPr>
      <w:spacing w:after="80"/>
      <w:contextualSpacing/>
    </w:pPr>
    <w:rPr>
      <w:rFonts w:asciiTheme="majorHAnsi" w:eastAsiaTheme="majorEastAsia" w:hAnsiTheme="majorHAnsi" w:cstheme="majorBidi"/>
      <w:color w:val="auto"/>
      <w:spacing w:val="-10"/>
      <w:kern w:val="28"/>
      <w:sz w:val="56"/>
      <w:szCs w:val="56"/>
      <w14:ligatures w14:val="standardContextual"/>
    </w:rPr>
  </w:style>
  <w:style w:type="character" w:customStyle="1" w:styleId="TitleChar">
    <w:name w:val="Title Char"/>
    <w:basedOn w:val="DefaultParagraphFont"/>
    <w:link w:val="Title"/>
    <w:uiPriority w:val="10"/>
    <w:rsid w:val="002E49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494E"/>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2E49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E494E"/>
    <w:pPr>
      <w:spacing w:before="160" w:after="160" w:line="278" w:lineRule="auto"/>
      <w:jc w:val="center"/>
    </w:pPr>
    <w:rPr>
      <w:rFonts w:asciiTheme="minorHAnsi" w:eastAsiaTheme="minorEastAsia"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2E494E"/>
    <w:rPr>
      <w:i/>
      <w:iCs/>
      <w:color w:val="404040" w:themeColor="text1" w:themeTint="BF"/>
    </w:rPr>
  </w:style>
  <w:style w:type="paragraph" w:styleId="ListParagraph">
    <w:name w:val="List Paragraph"/>
    <w:basedOn w:val="Normal"/>
    <w:uiPriority w:val="34"/>
    <w:qFormat/>
    <w:rsid w:val="002E494E"/>
    <w:pPr>
      <w:spacing w:after="160" w:line="278" w:lineRule="auto"/>
      <w:ind w:left="720"/>
      <w:contextualSpacing/>
    </w:pPr>
    <w:rPr>
      <w:rFonts w:asciiTheme="minorHAnsi" w:eastAsiaTheme="minorEastAsia" w:hAnsiTheme="minorHAnsi" w:cstheme="minorBidi"/>
      <w:color w:val="auto"/>
      <w:kern w:val="2"/>
      <w:sz w:val="24"/>
      <w:szCs w:val="24"/>
      <w14:ligatures w14:val="standardContextual"/>
    </w:rPr>
  </w:style>
  <w:style w:type="character" w:styleId="IntenseEmphasis">
    <w:name w:val="Intense Emphasis"/>
    <w:basedOn w:val="DefaultParagraphFont"/>
    <w:uiPriority w:val="21"/>
    <w:qFormat/>
    <w:rsid w:val="002E494E"/>
    <w:rPr>
      <w:i/>
      <w:iCs/>
      <w:color w:val="0F4761" w:themeColor="accent1" w:themeShade="BF"/>
    </w:rPr>
  </w:style>
  <w:style w:type="paragraph" w:styleId="IntenseQuote">
    <w:name w:val="Intense Quote"/>
    <w:basedOn w:val="Normal"/>
    <w:next w:val="Normal"/>
    <w:link w:val="IntenseQuoteChar"/>
    <w:uiPriority w:val="30"/>
    <w:qFormat/>
    <w:rsid w:val="002E494E"/>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EastAsia"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2E494E"/>
    <w:rPr>
      <w:i/>
      <w:iCs/>
      <w:color w:val="0F4761" w:themeColor="accent1" w:themeShade="BF"/>
    </w:rPr>
  </w:style>
  <w:style w:type="character" w:styleId="IntenseReference">
    <w:name w:val="Intense Reference"/>
    <w:basedOn w:val="DefaultParagraphFont"/>
    <w:uiPriority w:val="32"/>
    <w:qFormat/>
    <w:rsid w:val="002E494E"/>
    <w:rPr>
      <w:b/>
      <w:bCs/>
      <w:smallCaps/>
      <w:color w:val="0F4761" w:themeColor="accent1" w:themeShade="BF"/>
      <w:spacing w:val="5"/>
    </w:rPr>
  </w:style>
  <w:style w:type="character" w:styleId="FootnoteReference">
    <w:name w:val="footnote reference"/>
    <w:uiPriority w:val="99"/>
    <w:semiHidden/>
    <w:unhideWhenUsed/>
    <w:rsid w:val="002E494E"/>
    <w:rPr>
      <w:vertAlign w:val="superscript"/>
    </w:rPr>
  </w:style>
  <w:style w:type="paragraph" w:styleId="FootnoteText">
    <w:name w:val="footnote text"/>
    <w:link w:val="FootnoteTextChar"/>
    <w:uiPriority w:val="99"/>
    <w:unhideWhenUsed/>
    <w:rsid w:val="002E494E"/>
    <w:pPr>
      <w:spacing w:after="0" w:line="240" w:lineRule="auto"/>
    </w:pPr>
    <w:rPr>
      <w:rFonts w:ascii="Arial" w:eastAsia="Arial" w:hAnsi="Arial" w:cs="Arial"/>
      <w:color w:val="000000"/>
      <w:kern w:val="0"/>
      <w:sz w:val="20"/>
      <w:szCs w:val="20"/>
      <w14:ligatures w14:val="none"/>
    </w:rPr>
  </w:style>
  <w:style w:type="character" w:customStyle="1" w:styleId="FootnoteTextChar">
    <w:name w:val="Footnote Text Char"/>
    <w:basedOn w:val="DefaultParagraphFont"/>
    <w:link w:val="FootnoteText"/>
    <w:uiPriority w:val="99"/>
    <w:rsid w:val="002E494E"/>
    <w:rPr>
      <w:rFonts w:ascii="Arial" w:eastAsia="Arial" w:hAnsi="Arial" w:cs="Arial"/>
      <w:color w:val="000000"/>
      <w:kern w:val="0"/>
      <w:sz w:val="20"/>
      <w:szCs w:val="20"/>
      <w14:ligatures w14:val="none"/>
    </w:rPr>
  </w:style>
  <w:style w:type="paragraph" w:styleId="Header">
    <w:name w:val="header"/>
    <w:basedOn w:val="Normal"/>
    <w:link w:val="HeaderChar"/>
    <w:uiPriority w:val="99"/>
    <w:unhideWhenUsed/>
    <w:rsid w:val="002E494E"/>
    <w:pPr>
      <w:tabs>
        <w:tab w:val="center" w:pos="4680"/>
        <w:tab w:val="right" w:pos="9360"/>
      </w:tabs>
    </w:pPr>
  </w:style>
  <w:style w:type="character" w:customStyle="1" w:styleId="HeaderChar">
    <w:name w:val="Header Char"/>
    <w:basedOn w:val="DefaultParagraphFont"/>
    <w:link w:val="Header"/>
    <w:uiPriority w:val="99"/>
    <w:rsid w:val="002E494E"/>
    <w:rPr>
      <w:rFonts w:ascii="Arial" w:eastAsia="Arial" w:hAnsi="Arial" w:cs="Arial"/>
      <w:color w:val="000000"/>
      <w:kern w:val="0"/>
      <w:sz w:val="20"/>
      <w:szCs w:val="20"/>
      <w14:ligatures w14:val="none"/>
    </w:rPr>
  </w:style>
  <w:style w:type="paragraph" w:styleId="Footer">
    <w:name w:val="footer"/>
    <w:basedOn w:val="Normal"/>
    <w:link w:val="FooterChar"/>
    <w:uiPriority w:val="99"/>
    <w:unhideWhenUsed/>
    <w:rsid w:val="002E494E"/>
    <w:pPr>
      <w:tabs>
        <w:tab w:val="center" w:pos="4680"/>
        <w:tab w:val="right" w:pos="9360"/>
      </w:tabs>
    </w:pPr>
  </w:style>
  <w:style w:type="character" w:customStyle="1" w:styleId="FooterChar">
    <w:name w:val="Footer Char"/>
    <w:basedOn w:val="DefaultParagraphFont"/>
    <w:link w:val="Footer"/>
    <w:uiPriority w:val="99"/>
    <w:rsid w:val="002E494E"/>
    <w:rPr>
      <w:rFonts w:ascii="Arial" w:eastAsia="Arial" w:hAnsi="Arial" w:cs="Arial"/>
      <w:color w:val="000000"/>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903</Words>
  <Characters>5506</Characters>
  <Application>Microsoft Office Word</Application>
  <DocSecurity>0</DocSecurity>
  <Lines>122</Lines>
  <Paragraphs>61</Paragraphs>
  <ScaleCrop>false</ScaleCrop>
  <Company/>
  <LinksUpToDate>false</LinksUpToDate>
  <CharactersWithSpaces>6348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Rosenblatt</dc:creator>
  <cp:keywords/>
  <dc:description/>
  <cp:lastModifiedBy>Mark Rosenblatt</cp:lastModifiedBy>
  <cp:revision>3</cp:revision>
  <dcterms:created xsi:type="dcterms:W3CDTF">2026-03-16T21:21:00Z</dcterms:created>
  <dcterms:modified xsi:type="dcterms:W3CDTF">2026-03-16T23:52:00Z</dcterms:modified>
</cp:coreProperties>
</file>