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0B452" w14:textId="77777777" w:rsidR="009E5848" w:rsidRPr="001522DB" w:rsidRDefault="009E5848" w:rsidP="001522DB">
      <w:pPr>
        <w:spacing w:before="120" w:after="120"/>
        <w:rPr>
          <w:rFonts w:asciiTheme="majorBidi" w:hAnsiTheme="majorBidi" w:cstheme="majorBidi"/>
          <w:sz w:val="24"/>
          <w:szCs w:val="24"/>
        </w:rPr>
      </w:pPr>
    </w:p>
    <w:p w14:paraId="268290EC" w14:textId="77777777" w:rsidR="009E5848" w:rsidRPr="001522DB" w:rsidRDefault="00000000">
      <w:pPr>
        <w:spacing w:after="60"/>
        <w:rPr>
          <w:rFonts w:asciiTheme="majorBidi" w:hAnsiTheme="majorBidi" w:cstheme="majorBidi"/>
          <w:sz w:val="24"/>
          <w:szCs w:val="24"/>
        </w:rPr>
      </w:pPr>
      <w:r w:rsidRPr="001522DB">
        <w:rPr>
          <w:rFonts w:asciiTheme="majorBidi" w:hAnsiTheme="majorBidi" w:cstheme="majorBidi"/>
          <w:b/>
          <w:bCs/>
          <w:caps/>
          <w:color w:val="2E75B6"/>
          <w:sz w:val="24"/>
          <w:szCs w:val="24"/>
        </w:rPr>
        <w:t>SIDEBAR</w:t>
      </w:r>
    </w:p>
    <w:p w14:paraId="79FE6D1F" w14:textId="77777777" w:rsidR="009E5848" w:rsidRPr="001522DB" w:rsidRDefault="00000000">
      <w:pPr>
        <w:spacing w:after="40"/>
        <w:rPr>
          <w:rFonts w:asciiTheme="majorBidi" w:hAnsiTheme="majorBidi" w:cstheme="majorBidi"/>
          <w:sz w:val="24"/>
          <w:szCs w:val="24"/>
        </w:rPr>
      </w:pPr>
      <w:r w:rsidRPr="001522DB">
        <w:rPr>
          <w:rFonts w:asciiTheme="majorBidi" w:hAnsiTheme="majorBidi" w:cstheme="majorBidi"/>
          <w:b/>
          <w:bCs/>
          <w:color w:val="1F3864"/>
          <w:sz w:val="24"/>
          <w:szCs w:val="24"/>
        </w:rPr>
        <w:t>When the Robot Takes the Job:</w:t>
      </w:r>
    </w:p>
    <w:p w14:paraId="30AD31BA" w14:textId="77777777" w:rsidR="009E5848" w:rsidRPr="001522DB" w:rsidRDefault="00000000">
      <w:pPr>
        <w:spacing w:after="200"/>
        <w:rPr>
          <w:rFonts w:asciiTheme="majorBidi" w:hAnsiTheme="majorBidi" w:cstheme="majorBidi"/>
          <w:sz w:val="24"/>
          <w:szCs w:val="24"/>
        </w:rPr>
      </w:pPr>
      <w:r w:rsidRPr="001522DB">
        <w:rPr>
          <w:rFonts w:asciiTheme="majorBidi" w:hAnsiTheme="majorBidi" w:cstheme="majorBidi"/>
          <w:b/>
          <w:bCs/>
          <w:color w:val="1F3864"/>
          <w:sz w:val="24"/>
          <w:szCs w:val="24"/>
        </w:rPr>
        <w:t>Automation, Displacement, and the Coming Reckoning Over Who Gets Paid</w:t>
      </w:r>
    </w:p>
    <w:p w14:paraId="7F5982F6" w14:textId="5B7F15AB" w:rsidR="009E5848" w:rsidRPr="001522DB" w:rsidRDefault="00000000">
      <w:pPr>
        <w:spacing w:after="240"/>
        <w:rPr>
          <w:rFonts w:asciiTheme="majorBidi" w:hAnsiTheme="majorBidi" w:cstheme="majorBidi"/>
          <w:sz w:val="24"/>
          <w:szCs w:val="24"/>
        </w:rPr>
      </w:pPr>
      <w:r w:rsidRPr="001522DB">
        <w:rPr>
          <w:rFonts w:asciiTheme="majorBidi" w:hAnsiTheme="majorBidi" w:cstheme="majorBidi"/>
          <w:sz w:val="24"/>
          <w:szCs w:val="24"/>
        </w:rPr>
        <w:t xml:space="preserve">The central economic anxiety of our era is not whether automation will displace workers — it will — but how fast, how broadly, and whether the institutions we have built around labor income can survive the transition. China, racing to substitute robots for a shrinking workforce, has already crossed a threshold that reframes the debate: its factories now deploy </w:t>
      </w:r>
      <w:r w:rsidRPr="001522DB">
        <w:rPr>
          <w:rFonts w:asciiTheme="majorBidi" w:hAnsiTheme="majorBidi" w:cstheme="majorBidi"/>
          <w:b/>
          <w:bCs/>
          <w:sz w:val="24"/>
          <w:szCs w:val="24"/>
        </w:rPr>
        <w:t>470 robots per 10,000 manufacturing workers</w:t>
      </w:r>
      <w:r w:rsidRPr="001522DB">
        <w:rPr>
          <w:rFonts w:asciiTheme="majorBidi" w:hAnsiTheme="majorBidi" w:cstheme="majorBidi"/>
          <w:sz w:val="24"/>
          <w:szCs w:val="24"/>
        </w:rPr>
        <w:t xml:space="preserve"> — nearly </w:t>
      </w:r>
      <w:r w:rsidRPr="001522DB">
        <w:rPr>
          <w:rFonts w:asciiTheme="majorBidi" w:hAnsiTheme="majorBidi" w:cstheme="majorBidi"/>
          <w:b/>
          <w:bCs/>
          <w:sz w:val="24"/>
          <w:szCs w:val="24"/>
        </w:rPr>
        <w:t>60% more than the United States</w:t>
      </w:r>
      <w:r w:rsidRPr="001522DB">
        <w:rPr>
          <w:rFonts w:asciiTheme="majorBidi" w:hAnsiTheme="majorBidi" w:cstheme="majorBidi"/>
          <w:sz w:val="24"/>
          <w:szCs w:val="24"/>
        </w:rPr>
        <w:t xml:space="preserve">, and, when adjusted for the fact that Chinese wages are far lower than American ones, </w:t>
      </w:r>
      <w:r w:rsidRPr="001522DB">
        <w:rPr>
          <w:rFonts w:asciiTheme="majorBidi" w:hAnsiTheme="majorBidi" w:cstheme="majorBidi"/>
          <w:b/>
          <w:bCs/>
          <w:sz w:val="24"/>
          <w:szCs w:val="24"/>
        </w:rPr>
        <w:t>twelve times more</w:t>
      </w:r>
      <w:r w:rsidRPr="001522DB">
        <w:rPr>
          <w:rFonts w:asciiTheme="majorBidi" w:hAnsiTheme="majorBidi" w:cstheme="majorBidi"/>
          <w:sz w:val="24"/>
          <w:szCs w:val="24"/>
        </w:rPr>
        <w:t xml:space="preserve"> than US manufacturers when controlling for wage levels (ITIF, 2023). The question is no longer academic: when capital fully</w:t>
      </w:r>
      <w:r w:rsidR="001522DB">
        <w:rPr>
          <w:rFonts w:asciiTheme="majorBidi" w:hAnsiTheme="majorBidi" w:cstheme="majorBidi"/>
          <w:sz w:val="24"/>
          <w:szCs w:val="24"/>
        </w:rPr>
        <w:t xml:space="preserve"> or nearly-fully</w:t>
      </w:r>
      <w:r w:rsidRPr="001522DB">
        <w:rPr>
          <w:rFonts w:asciiTheme="majorBidi" w:hAnsiTheme="majorBidi" w:cstheme="majorBidi"/>
          <w:sz w:val="24"/>
          <w:szCs w:val="24"/>
        </w:rPr>
        <w:t xml:space="preserve"> displaces labor, who funds the society that surrounds the factory?</w:t>
      </w:r>
    </w:p>
    <w:p w14:paraId="280201C4" w14:textId="77777777" w:rsidR="009E5848" w:rsidRPr="001522DB" w:rsidRDefault="009E5848" w:rsidP="001522DB">
      <w:pPr>
        <w:spacing w:before="80" w:after="80"/>
        <w:rPr>
          <w:rFonts w:asciiTheme="majorBidi" w:hAnsiTheme="majorBidi" w:cstheme="majorBidi"/>
          <w:sz w:val="24"/>
          <w:szCs w:val="24"/>
        </w:rPr>
      </w:pPr>
    </w:p>
    <w:p w14:paraId="700A9358" w14:textId="77777777" w:rsidR="009E5848" w:rsidRPr="001522DB" w:rsidRDefault="00000000">
      <w:pPr>
        <w:spacing w:before="160" w:after="120"/>
        <w:rPr>
          <w:rFonts w:asciiTheme="majorBidi" w:hAnsiTheme="majorBidi" w:cstheme="majorBidi"/>
          <w:sz w:val="24"/>
          <w:szCs w:val="24"/>
        </w:rPr>
      </w:pPr>
      <w:r w:rsidRPr="001522DB">
        <w:rPr>
          <w:rFonts w:asciiTheme="majorBidi" w:hAnsiTheme="majorBidi" w:cstheme="majorBidi"/>
          <w:b/>
          <w:bCs/>
          <w:color w:val="1F3864"/>
          <w:sz w:val="24"/>
          <w:szCs w:val="24"/>
        </w:rPr>
        <w:t>China's Automation Lead: The Data</w:t>
      </w:r>
    </w:p>
    <w:p w14:paraId="60C37A52"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China's automation surge is not incidental — it is state strategy. In 2024, Chinese factories installed </w:t>
      </w:r>
      <w:r w:rsidRPr="001522DB">
        <w:rPr>
          <w:rFonts w:asciiTheme="majorBidi" w:hAnsiTheme="majorBidi" w:cstheme="majorBidi"/>
          <w:b/>
          <w:bCs/>
          <w:sz w:val="24"/>
          <w:szCs w:val="24"/>
        </w:rPr>
        <w:t>295,000 new industrial robots</w:t>
      </w:r>
      <w:r w:rsidRPr="001522DB">
        <w:rPr>
          <w:rFonts w:asciiTheme="majorBidi" w:hAnsiTheme="majorBidi" w:cstheme="majorBidi"/>
          <w:sz w:val="24"/>
          <w:szCs w:val="24"/>
        </w:rPr>
        <w:t xml:space="preserve"> — more than the rest of the world combined, and nearly </w:t>
      </w:r>
      <w:r w:rsidRPr="001522DB">
        <w:rPr>
          <w:rFonts w:asciiTheme="majorBidi" w:hAnsiTheme="majorBidi" w:cstheme="majorBidi"/>
          <w:b/>
          <w:bCs/>
          <w:sz w:val="24"/>
          <w:szCs w:val="24"/>
        </w:rPr>
        <w:t>nine times more than the United States</w:t>
      </w:r>
      <w:r w:rsidRPr="001522DB">
        <w:rPr>
          <w:rFonts w:asciiTheme="majorBidi" w:hAnsiTheme="majorBidi" w:cstheme="majorBidi"/>
          <w:sz w:val="24"/>
          <w:szCs w:val="24"/>
        </w:rPr>
        <w:t xml:space="preserve">. This was </w:t>
      </w:r>
      <w:r w:rsidRPr="001522DB">
        <w:rPr>
          <w:rFonts w:asciiTheme="majorBidi" w:hAnsiTheme="majorBidi" w:cstheme="majorBidi"/>
          <w:b/>
          <w:bCs/>
          <w:sz w:val="24"/>
          <w:szCs w:val="24"/>
        </w:rPr>
        <w:t>54% of all global installations</w:t>
      </w:r>
      <w:r w:rsidRPr="001522DB">
        <w:rPr>
          <w:rFonts w:asciiTheme="majorBidi" w:hAnsiTheme="majorBidi" w:cstheme="majorBidi"/>
          <w:sz w:val="24"/>
          <w:szCs w:val="24"/>
        </w:rPr>
        <w:t>, and the pace is accelerating: through the first nine months of 2025, China produced 595,000 industrial robots domestically — already exceeding its full-year 2024 output by 29.8%. China has been the world's largest industrial robot market for twelve consecutive years.</w:t>
      </w:r>
    </w:p>
    <w:p w14:paraId="46389672"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The productivity results are visible. At Midea's washing machine factory in Jingzhou, an AI "factory brain" manages 14 virtual agents coordinating robots across the floor. Revenue per employee at Midea grew </w:t>
      </w:r>
      <w:r w:rsidRPr="001522DB">
        <w:rPr>
          <w:rFonts w:asciiTheme="majorBidi" w:hAnsiTheme="majorBidi" w:cstheme="majorBidi"/>
          <w:b/>
          <w:bCs/>
          <w:sz w:val="24"/>
          <w:szCs w:val="24"/>
        </w:rPr>
        <w:t>nearly 40% between 2015 and 2024</w:t>
      </w:r>
      <w:r w:rsidRPr="001522DB">
        <w:rPr>
          <w:rFonts w:asciiTheme="majorBidi" w:hAnsiTheme="majorBidi" w:cstheme="majorBidi"/>
          <w:sz w:val="24"/>
          <w:szCs w:val="24"/>
        </w:rPr>
        <w:t xml:space="preserve">. Processes that once took 15 minutes now take 30 seconds. China's most advanced smart factories report </w:t>
      </w:r>
      <w:r w:rsidRPr="001522DB">
        <w:rPr>
          <w:rFonts w:asciiTheme="majorBidi" w:hAnsiTheme="majorBidi" w:cstheme="majorBidi"/>
          <w:b/>
          <w:bCs/>
          <w:sz w:val="24"/>
          <w:szCs w:val="24"/>
        </w:rPr>
        <w:t>development cycles 30% shorter</w:t>
      </w:r>
      <w:r w:rsidRPr="001522DB">
        <w:rPr>
          <w:rFonts w:asciiTheme="majorBidi" w:hAnsiTheme="majorBidi" w:cstheme="majorBidi"/>
          <w:sz w:val="24"/>
          <w:szCs w:val="24"/>
        </w:rPr>
        <w:t xml:space="preserve"> and </w:t>
      </w:r>
      <w:r w:rsidRPr="001522DB">
        <w:rPr>
          <w:rFonts w:asciiTheme="majorBidi" w:hAnsiTheme="majorBidi" w:cstheme="majorBidi"/>
          <w:b/>
          <w:bCs/>
          <w:sz w:val="24"/>
          <w:szCs w:val="24"/>
        </w:rPr>
        <w:t>defect rates cut in half</w:t>
      </w:r>
      <w:r w:rsidRPr="001522DB">
        <w:rPr>
          <w:rFonts w:asciiTheme="majorBidi" w:hAnsiTheme="majorBidi" w:cstheme="majorBidi"/>
          <w:sz w:val="24"/>
          <w:szCs w:val="24"/>
        </w:rPr>
        <w:t xml:space="preserve">. Of 131 factories worldwide recognized by the World Economic Forum as global productivity leaders, </w:t>
      </w:r>
      <w:r w:rsidRPr="001522DB">
        <w:rPr>
          <w:rFonts w:asciiTheme="majorBidi" w:hAnsiTheme="majorBidi" w:cstheme="majorBidi"/>
          <w:b/>
          <w:bCs/>
          <w:sz w:val="24"/>
          <w:szCs w:val="24"/>
        </w:rPr>
        <w:t>45 are in China</w:t>
      </w:r>
      <w:r w:rsidRPr="001522DB">
        <w:rPr>
          <w:rFonts w:asciiTheme="majorBidi" w:hAnsiTheme="majorBidi" w:cstheme="majorBidi"/>
          <w:sz w:val="24"/>
          <w:szCs w:val="24"/>
        </w:rPr>
        <w:t xml:space="preserve">. </w:t>
      </w:r>
      <w:r w:rsidRPr="001522DB">
        <w:rPr>
          <w:rFonts w:asciiTheme="majorBidi" w:hAnsiTheme="majorBidi" w:cstheme="majorBidi"/>
          <w:b/>
          <w:bCs/>
          <w:sz w:val="24"/>
          <w:szCs w:val="24"/>
        </w:rPr>
        <w:t>Three are in the United States.</w:t>
      </w:r>
    </w:p>
    <w:p w14:paraId="03F07A85" w14:textId="77777777" w:rsidR="009E5848" w:rsidRPr="001522DB" w:rsidRDefault="00000000">
      <w:pPr>
        <w:spacing w:after="200"/>
        <w:rPr>
          <w:rFonts w:asciiTheme="majorBidi" w:hAnsiTheme="majorBidi" w:cstheme="majorBidi"/>
          <w:sz w:val="24"/>
          <w:szCs w:val="24"/>
        </w:rPr>
      </w:pPr>
      <w:r w:rsidRPr="001522DB">
        <w:rPr>
          <w:rFonts w:asciiTheme="majorBidi" w:hAnsiTheme="majorBidi" w:cstheme="majorBidi"/>
          <w:sz w:val="24"/>
          <w:szCs w:val="24"/>
        </w:rPr>
        <w:t>China's lead is partly a leapfrog advantage: Western manufacturers automated the low-hanging fruit decades ago. China is building new, robotics-native factories from scratch, rather than retrofitting legacy facilities — creating a compounding productivity flywheel in which deployment generates data, data improves systems, and improved systems justify further deployment. The government backstops this cycle with massive subsidy: Guangdong province alone planned ¥943 billion (~$135B) to fund "machine substitution" programs. Beijing has committed a $138 billion state venture fund for robotics, AI, and advanced technology.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00"/>
        <w:gridCol w:w="2980"/>
        <w:gridCol w:w="2980"/>
      </w:tblGrid>
      <w:tr w:rsidR="009E5848" w:rsidRPr="001522DB" w14:paraId="09679028" w14:textId="77777777">
        <w:trPr>
          <w:tblHeader/>
        </w:trPr>
        <w:tc>
          <w:tcPr>
            <w:tcW w:w="340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3B98F165" w14:textId="77777777" w:rsidR="009E5848" w:rsidRPr="001522DB" w:rsidRDefault="00000000">
            <w:pPr>
              <w:jc w:val="center"/>
              <w:rPr>
                <w:rFonts w:asciiTheme="majorBidi" w:hAnsiTheme="majorBidi" w:cstheme="majorBidi"/>
                <w:sz w:val="21"/>
                <w:szCs w:val="21"/>
              </w:rPr>
            </w:pPr>
            <w:r w:rsidRPr="001522DB">
              <w:rPr>
                <w:rFonts w:asciiTheme="majorBidi" w:hAnsiTheme="majorBidi" w:cstheme="majorBidi"/>
                <w:b/>
                <w:bCs/>
                <w:color w:val="FFFFFF"/>
                <w:sz w:val="21"/>
                <w:szCs w:val="21"/>
              </w:rPr>
              <w:t>METRIC</w:t>
            </w:r>
          </w:p>
        </w:tc>
        <w:tc>
          <w:tcPr>
            <w:tcW w:w="298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7571888E" w14:textId="77777777" w:rsidR="009E5848" w:rsidRPr="001522DB" w:rsidRDefault="00000000">
            <w:pPr>
              <w:jc w:val="center"/>
              <w:rPr>
                <w:rFonts w:asciiTheme="majorBidi" w:hAnsiTheme="majorBidi" w:cstheme="majorBidi"/>
                <w:sz w:val="21"/>
                <w:szCs w:val="21"/>
              </w:rPr>
            </w:pPr>
            <w:r w:rsidRPr="001522DB">
              <w:rPr>
                <w:rFonts w:asciiTheme="majorBidi" w:hAnsiTheme="majorBidi" w:cstheme="majorBidi"/>
                <w:b/>
                <w:bCs/>
                <w:color w:val="FFFFFF"/>
                <w:sz w:val="21"/>
                <w:szCs w:val="21"/>
              </w:rPr>
              <w:t>CHINA</w:t>
            </w:r>
          </w:p>
        </w:tc>
        <w:tc>
          <w:tcPr>
            <w:tcW w:w="298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1F9099C3" w14:textId="77777777" w:rsidR="009E5848" w:rsidRPr="001522DB" w:rsidRDefault="00000000">
            <w:pPr>
              <w:jc w:val="center"/>
              <w:rPr>
                <w:rFonts w:asciiTheme="majorBidi" w:hAnsiTheme="majorBidi" w:cstheme="majorBidi"/>
                <w:sz w:val="21"/>
                <w:szCs w:val="21"/>
              </w:rPr>
            </w:pPr>
            <w:r w:rsidRPr="001522DB">
              <w:rPr>
                <w:rFonts w:asciiTheme="majorBidi" w:hAnsiTheme="majorBidi" w:cstheme="majorBidi"/>
                <w:b/>
                <w:bCs/>
                <w:color w:val="FFFFFF"/>
                <w:sz w:val="21"/>
                <w:szCs w:val="21"/>
              </w:rPr>
              <w:t>UNITED STATES</w:t>
            </w:r>
          </w:p>
        </w:tc>
      </w:tr>
      <w:tr w:rsidR="009E5848" w:rsidRPr="001522DB" w14:paraId="7DE30BE2"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6511F87D"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Industrial robots installed (2024)</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7D76C8D2"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~295,000 (54% of world total)</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51031254"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~34,200 (6% of world total)</w:t>
            </w:r>
          </w:p>
        </w:tc>
      </w:tr>
      <w:tr w:rsidR="009E5848" w:rsidRPr="001522DB" w14:paraId="49422C56"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0A4BE879"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Total operational robots</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1D2217BE"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2.027 million</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3FF586D3"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~420,000</w:t>
            </w:r>
          </w:p>
        </w:tc>
      </w:tr>
      <w:tr w:rsidR="009E5848" w:rsidRPr="001522DB" w14:paraId="70940C58"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0AABB75D"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Robot density (per 10K manufacturing workers)</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78A60F46"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470</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15A4DBE1"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295</w:t>
            </w:r>
          </w:p>
        </w:tc>
      </w:tr>
      <w:tr w:rsidR="009E5848" w:rsidRPr="001522DB" w14:paraId="613E2DD7"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7AAA825A" w14:textId="77777777" w:rsidR="009E5848" w:rsidRPr="001522DB" w:rsidRDefault="00000000">
            <w:pPr>
              <w:rPr>
                <w:rFonts w:asciiTheme="majorBidi" w:hAnsiTheme="majorBidi" w:cstheme="majorBidi"/>
                <w:sz w:val="21"/>
                <w:szCs w:val="21"/>
              </w:rPr>
            </w:pPr>
            <w:proofErr w:type="gramStart"/>
            <w:r w:rsidRPr="001522DB">
              <w:rPr>
                <w:rFonts w:asciiTheme="majorBidi" w:hAnsiTheme="majorBidi" w:cstheme="majorBidi"/>
                <w:sz w:val="21"/>
                <w:szCs w:val="21"/>
              </w:rPr>
              <w:t>Robot</w:t>
            </w:r>
            <w:proofErr w:type="gramEnd"/>
            <w:r w:rsidRPr="001522DB">
              <w:rPr>
                <w:rFonts w:asciiTheme="majorBidi" w:hAnsiTheme="majorBidi" w:cstheme="majorBidi"/>
                <w:sz w:val="21"/>
                <w:szCs w:val="21"/>
              </w:rPr>
              <w:t xml:space="preserve"> use relative to wage levels (ITIF, 2023)</w:t>
            </w:r>
          </w:p>
        </w:tc>
        <w:tc>
          <w:tcPr>
            <w:tcW w:w="2980" w:type="dxa"/>
            <w:tcBorders>
              <w:top w:val="single" w:sz="1" w:space="0" w:color="CCCCCC"/>
              <w:left w:val="single" w:sz="1" w:space="0" w:color="CCCCCC"/>
              <w:bottom w:val="single" w:sz="1" w:space="0" w:color="CCCCCC"/>
              <w:right w:val="single" w:sz="1" w:space="0" w:color="CCCCCC"/>
            </w:tcBorders>
            <w:shd w:val="clear" w:color="auto" w:fill="FFE6E6"/>
            <w:tcMar>
              <w:top w:w="60" w:type="dxa"/>
              <w:left w:w="100" w:type="dxa"/>
              <w:bottom w:w="60" w:type="dxa"/>
              <w:right w:w="100" w:type="dxa"/>
            </w:tcMar>
            <w:vAlign w:val="center"/>
          </w:tcPr>
          <w:p w14:paraId="7A57B698" w14:textId="77777777" w:rsidR="009E5848" w:rsidRPr="001522DB" w:rsidRDefault="00000000">
            <w:pPr>
              <w:jc w:val="center"/>
              <w:rPr>
                <w:rFonts w:asciiTheme="majorBidi" w:hAnsiTheme="majorBidi" w:cstheme="majorBidi"/>
                <w:sz w:val="21"/>
                <w:szCs w:val="21"/>
              </w:rPr>
            </w:pPr>
            <w:r w:rsidRPr="001522DB">
              <w:rPr>
                <w:rFonts w:asciiTheme="majorBidi" w:hAnsiTheme="majorBidi" w:cstheme="majorBidi"/>
                <w:b/>
                <w:bCs/>
                <w:color w:val="7B0000"/>
                <w:sz w:val="21"/>
                <w:szCs w:val="21"/>
              </w:rPr>
              <w:t>12× higher than US (wage-adjusted)</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1204E7D2"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Baseline</w:t>
            </w:r>
          </w:p>
        </w:tc>
      </w:tr>
      <w:tr w:rsidR="009E5848" w:rsidRPr="001522DB" w14:paraId="1330DE5E"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2971870B"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lastRenderedPageBreak/>
              <w:t>WEF "Lighthouse" advanced factories</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03568718"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45 of 131 globally (34%)</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29894BE2"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3 of 131 globally (2%)</w:t>
            </w:r>
          </w:p>
        </w:tc>
      </w:tr>
      <w:tr w:rsidR="009E5848" w:rsidRPr="001522DB" w14:paraId="6F34EF6B"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54CF77A4"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Revenue per employee growth (Midea, 2015–2024)</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362DB0F6"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+~40% (AI-managed production lines)</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11EA93CE"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No comparable benchmark</w:t>
            </w:r>
          </w:p>
        </w:tc>
      </w:tr>
      <w:tr w:rsidR="009E5848" w:rsidRPr="001522DB" w14:paraId="21F3FC4E"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5CD1D4CE"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Smart factory cycle time improvement</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78DDC31E"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~30% shorter development cycles</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6E933F65"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w:t>
            </w:r>
          </w:p>
        </w:tc>
      </w:tr>
      <w:tr w:rsidR="009E5848" w:rsidRPr="001522DB" w14:paraId="60ECE2A0" w14:textId="77777777">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2823047E"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Robot production growth (Jan–Sep 2025)</w:t>
            </w:r>
          </w:p>
        </w:tc>
        <w:tc>
          <w:tcPr>
            <w:tcW w:w="298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62702C8A"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+29.8% YoY; 595K units (surpassing full-year 2024)</w:t>
            </w:r>
          </w:p>
        </w:tc>
        <w:tc>
          <w:tcPr>
            <w:tcW w:w="29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04699103" w14:textId="77777777" w:rsidR="009E5848" w:rsidRPr="001522DB" w:rsidRDefault="00000000">
            <w:pPr>
              <w:rPr>
                <w:rFonts w:asciiTheme="majorBidi" w:hAnsiTheme="majorBidi" w:cstheme="majorBidi"/>
                <w:sz w:val="21"/>
                <w:szCs w:val="21"/>
              </w:rPr>
            </w:pPr>
            <w:r w:rsidRPr="001522DB">
              <w:rPr>
                <w:rFonts w:asciiTheme="majorBidi" w:hAnsiTheme="majorBidi" w:cstheme="majorBidi"/>
                <w:sz w:val="21"/>
                <w:szCs w:val="21"/>
              </w:rPr>
              <w:t>Flat to modest growth</w:t>
            </w:r>
          </w:p>
        </w:tc>
      </w:tr>
    </w:tbl>
    <w:p w14:paraId="7ABEF95A" w14:textId="77777777" w:rsidR="009E5848" w:rsidRPr="001522DB" w:rsidRDefault="00000000">
      <w:pPr>
        <w:spacing w:before="80" w:after="240"/>
        <w:rPr>
          <w:rFonts w:asciiTheme="majorBidi" w:hAnsiTheme="majorBidi" w:cstheme="majorBidi"/>
        </w:rPr>
      </w:pPr>
      <w:r w:rsidRPr="001522DB">
        <w:rPr>
          <w:rFonts w:asciiTheme="majorBidi" w:hAnsiTheme="majorBidi" w:cstheme="majorBidi"/>
          <w:i/>
          <w:iCs/>
          <w:color w:val="808080"/>
        </w:rPr>
        <w:t>Sources: IFR World Robotics 2024; ITIF (2023); WEF Future of Jobs Report 2025; South China Morning Post (Nov. 2025); Slashdot/Bloomberg (Nov. 2025)</w:t>
      </w:r>
    </w:p>
    <w:p w14:paraId="0B70DAC0" w14:textId="77777777" w:rsidR="009E5848" w:rsidRPr="001522DB" w:rsidRDefault="009E5848" w:rsidP="001522DB">
      <w:pPr>
        <w:spacing w:before="80" w:after="80"/>
        <w:rPr>
          <w:rFonts w:asciiTheme="majorBidi" w:hAnsiTheme="majorBidi" w:cstheme="majorBidi"/>
          <w:sz w:val="24"/>
          <w:szCs w:val="24"/>
        </w:rPr>
      </w:pPr>
    </w:p>
    <w:p w14:paraId="03849E31" w14:textId="77777777" w:rsidR="009E5848" w:rsidRPr="001522DB" w:rsidRDefault="00000000">
      <w:pPr>
        <w:spacing w:before="160" w:after="120"/>
        <w:rPr>
          <w:rFonts w:asciiTheme="majorBidi" w:hAnsiTheme="majorBidi" w:cstheme="majorBidi"/>
          <w:sz w:val="24"/>
          <w:szCs w:val="24"/>
        </w:rPr>
      </w:pPr>
      <w:r w:rsidRPr="001522DB">
        <w:rPr>
          <w:rFonts w:asciiTheme="majorBidi" w:hAnsiTheme="majorBidi" w:cstheme="majorBidi"/>
          <w:b/>
          <w:bCs/>
          <w:color w:val="1F3864"/>
          <w:sz w:val="24"/>
          <w:szCs w:val="24"/>
        </w:rPr>
        <w:t>Three Phases of Displacement</w:t>
      </w:r>
    </w:p>
    <w:p w14:paraId="11B5783F"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The displacement timeline is not a cliff — it is a slope with a cliff at the end. The near-term disruption is painful but manageable by historical standards. The long-term transition is something for which no democratic society has developed an adequate policy architecture.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200"/>
        <w:gridCol w:w="2760"/>
        <w:gridCol w:w="2600"/>
      </w:tblGrid>
      <w:tr w:rsidR="009E5848" w:rsidRPr="001522DB" w14:paraId="53EE4609" w14:textId="77777777">
        <w:trPr>
          <w:tblHeader/>
        </w:trPr>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79D2D66F" w14:textId="77777777" w:rsidR="009E5848" w:rsidRPr="001522DB" w:rsidRDefault="00000000">
            <w:pPr>
              <w:jc w:val="center"/>
              <w:rPr>
                <w:rFonts w:asciiTheme="majorBidi" w:hAnsiTheme="majorBidi" w:cstheme="majorBidi"/>
              </w:rPr>
            </w:pPr>
            <w:r w:rsidRPr="001522DB">
              <w:rPr>
                <w:rFonts w:asciiTheme="majorBidi" w:hAnsiTheme="majorBidi" w:cstheme="majorBidi"/>
                <w:b/>
                <w:bCs/>
                <w:color w:val="FFFFFF"/>
              </w:rPr>
              <w:t>PHASE</w:t>
            </w:r>
          </w:p>
        </w:tc>
        <w:tc>
          <w:tcPr>
            <w:tcW w:w="220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28796074" w14:textId="77777777" w:rsidR="009E5848" w:rsidRPr="001522DB" w:rsidRDefault="00000000">
            <w:pPr>
              <w:jc w:val="center"/>
              <w:rPr>
                <w:rFonts w:asciiTheme="majorBidi" w:hAnsiTheme="majorBidi" w:cstheme="majorBidi"/>
              </w:rPr>
            </w:pPr>
            <w:r w:rsidRPr="001522DB">
              <w:rPr>
                <w:rFonts w:asciiTheme="majorBidi" w:hAnsiTheme="majorBidi" w:cstheme="majorBidi"/>
                <w:b/>
                <w:bCs/>
                <w:color w:val="FFFFFF"/>
              </w:rPr>
              <w:t>PERIOD</w:t>
            </w:r>
          </w:p>
        </w:tc>
        <w:tc>
          <w:tcPr>
            <w:tcW w:w="276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53760CD8" w14:textId="77777777" w:rsidR="009E5848" w:rsidRPr="001522DB" w:rsidRDefault="00000000">
            <w:pPr>
              <w:jc w:val="center"/>
              <w:rPr>
                <w:rFonts w:asciiTheme="majorBidi" w:hAnsiTheme="majorBidi" w:cstheme="majorBidi"/>
              </w:rPr>
            </w:pPr>
            <w:r w:rsidRPr="001522DB">
              <w:rPr>
                <w:rFonts w:asciiTheme="majorBidi" w:hAnsiTheme="majorBidi" w:cstheme="majorBidi"/>
                <w:b/>
                <w:bCs/>
                <w:color w:val="FFFFFF"/>
              </w:rPr>
              <w:t>DISPLACEMENT DRIVER</w:t>
            </w:r>
          </w:p>
        </w:tc>
        <w:tc>
          <w:tcPr>
            <w:tcW w:w="260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72D797FA" w14:textId="77777777" w:rsidR="009E5848" w:rsidRPr="001522DB" w:rsidRDefault="00000000">
            <w:pPr>
              <w:jc w:val="center"/>
              <w:rPr>
                <w:rFonts w:asciiTheme="majorBidi" w:hAnsiTheme="majorBidi" w:cstheme="majorBidi"/>
              </w:rPr>
            </w:pPr>
            <w:r w:rsidRPr="001522DB">
              <w:rPr>
                <w:rFonts w:asciiTheme="majorBidi" w:hAnsiTheme="majorBidi" w:cstheme="majorBidi"/>
                <w:b/>
                <w:bCs/>
                <w:color w:val="FFFFFF"/>
              </w:rPr>
              <w:t>SCALE OF DISRUPTION</w:t>
            </w:r>
          </w:p>
        </w:tc>
      </w:tr>
      <w:tr w:rsidR="009E5848" w:rsidRPr="001522DB" w14:paraId="220552E6" w14:textId="77777777">
        <w:tc>
          <w:tcPr>
            <w:tcW w:w="1800" w:type="dxa"/>
            <w:tcBorders>
              <w:top w:val="single" w:sz="1" w:space="0" w:color="CCCCCC"/>
              <w:left w:val="single" w:sz="1" w:space="0" w:color="CCCCCC"/>
              <w:bottom w:val="single" w:sz="1" w:space="0" w:color="CCCCCC"/>
              <w:right w:val="single" w:sz="1" w:space="0" w:color="CCCCCC"/>
            </w:tcBorders>
            <w:shd w:val="clear" w:color="auto" w:fill="DEEAF1"/>
            <w:tcMar>
              <w:top w:w="60" w:type="dxa"/>
              <w:left w:w="100" w:type="dxa"/>
              <w:bottom w:w="60" w:type="dxa"/>
              <w:right w:w="100" w:type="dxa"/>
            </w:tcMar>
            <w:vAlign w:val="center"/>
          </w:tcPr>
          <w:p w14:paraId="7701969E" w14:textId="77777777" w:rsidR="009E5848" w:rsidRPr="001522DB" w:rsidRDefault="00000000">
            <w:pPr>
              <w:rPr>
                <w:rFonts w:asciiTheme="majorBidi" w:hAnsiTheme="majorBidi" w:cstheme="majorBidi"/>
              </w:rPr>
            </w:pPr>
            <w:r w:rsidRPr="001522DB">
              <w:rPr>
                <w:rFonts w:asciiTheme="majorBidi" w:hAnsiTheme="majorBidi" w:cstheme="majorBidi"/>
                <w:b/>
                <w:bCs/>
                <w:color w:val="1F3864"/>
              </w:rPr>
              <w:t>1 — Transitional</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12FC12F4" w14:textId="77777777" w:rsidR="009E5848" w:rsidRPr="001522DB" w:rsidRDefault="00000000">
            <w:pPr>
              <w:rPr>
                <w:rFonts w:asciiTheme="majorBidi" w:hAnsiTheme="majorBidi" w:cstheme="majorBidi"/>
              </w:rPr>
            </w:pPr>
            <w:r w:rsidRPr="001522DB">
              <w:rPr>
                <w:rFonts w:asciiTheme="majorBidi" w:hAnsiTheme="majorBidi" w:cstheme="majorBidi"/>
              </w:rPr>
              <w:t>2025–2030</w:t>
            </w:r>
          </w:p>
        </w:tc>
        <w:tc>
          <w:tcPr>
            <w:tcW w:w="27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6B6FCF2A" w14:textId="77777777" w:rsidR="009E5848" w:rsidRPr="001522DB" w:rsidRDefault="00000000">
            <w:pPr>
              <w:rPr>
                <w:rFonts w:asciiTheme="majorBidi" w:hAnsiTheme="majorBidi" w:cstheme="majorBidi"/>
              </w:rPr>
            </w:pPr>
            <w:r w:rsidRPr="001522DB">
              <w:rPr>
                <w:rFonts w:asciiTheme="majorBidi" w:hAnsiTheme="majorBidi" w:cstheme="majorBidi"/>
              </w:rPr>
              <w:t xml:space="preserve">Generative AI augments </w:t>
            </w:r>
            <w:proofErr w:type="gramStart"/>
            <w:r w:rsidRPr="001522DB">
              <w:rPr>
                <w:rFonts w:asciiTheme="majorBidi" w:hAnsiTheme="majorBidi" w:cstheme="majorBidi"/>
              </w:rPr>
              <w:t>workers;</w:t>
            </w:r>
            <w:proofErr w:type="gramEnd"/>
            <w:r w:rsidRPr="001522DB">
              <w:rPr>
                <w:rFonts w:asciiTheme="majorBidi" w:hAnsiTheme="majorBidi" w:cstheme="majorBidi"/>
              </w:rPr>
              <w:t xml:space="preserve"> robots replace repetitive physical tasks; agentic AI handles routine white-collar work</w:t>
            </w:r>
          </w:p>
        </w:tc>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3B6B64C3" w14:textId="77777777" w:rsidR="009E5848" w:rsidRPr="001522DB" w:rsidRDefault="00000000">
            <w:pPr>
              <w:rPr>
                <w:rFonts w:asciiTheme="majorBidi" w:hAnsiTheme="majorBidi" w:cstheme="majorBidi"/>
              </w:rPr>
            </w:pPr>
            <w:r w:rsidRPr="001522DB">
              <w:rPr>
                <w:rFonts w:asciiTheme="majorBidi" w:hAnsiTheme="majorBidi" w:cstheme="majorBidi"/>
              </w:rPr>
              <w:t>WEF: 92M displaced / 170M created; net +78M jobs globally</w:t>
            </w:r>
          </w:p>
        </w:tc>
      </w:tr>
      <w:tr w:rsidR="009E5848" w:rsidRPr="001522DB" w14:paraId="2292CCCB" w14:textId="77777777">
        <w:tc>
          <w:tcPr>
            <w:tcW w:w="1800" w:type="dxa"/>
            <w:tcBorders>
              <w:top w:val="single" w:sz="1" w:space="0" w:color="CCCCCC"/>
              <w:left w:val="single" w:sz="1" w:space="0" w:color="CCCCCC"/>
              <w:bottom w:val="single" w:sz="1" w:space="0" w:color="CCCCCC"/>
              <w:right w:val="single" w:sz="1" w:space="0" w:color="CCCCCC"/>
            </w:tcBorders>
            <w:shd w:val="clear" w:color="auto" w:fill="BDD7EE"/>
            <w:tcMar>
              <w:top w:w="60" w:type="dxa"/>
              <w:left w:w="100" w:type="dxa"/>
              <w:bottom w:w="60" w:type="dxa"/>
              <w:right w:w="100" w:type="dxa"/>
            </w:tcMar>
            <w:vAlign w:val="center"/>
          </w:tcPr>
          <w:p w14:paraId="414A1506" w14:textId="77777777" w:rsidR="009E5848" w:rsidRPr="001522DB" w:rsidRDefault="00000000">
            <w:pPr>
              <w:rPr>
                <w:rFonts w:asciiTheme="majorBidi" w:hAnsiTheme="majorBidi" w:cstheme="majorBidi"/>
              </w:rPr>
            </w:pPr>
            <w:r w:rsidRPr="001522DB">
              <w:rPr>
                <w:rFonts w:asciiTheme="majorBidi" w:hAnsiTheme="majorBidi" w:cstheme="majorBidi"/>
                <w:b/>
                <w:bCs/>
                <w:color w:val="1F3864"/>
              </w:rPr>
              <w:t>2 — Structural</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52156E5B" w14:textId="77777777" w:rsidR="009E5848" w:rsidRPr="001522DB" w:rsidRDefault="00000000">
            <w:pPr>
              <w:rPr>
                <w:rFonts w:asciiTheme="majorBidi" w:hAnsiTheme="majorBidi" w:cstheme="majorBidi"/>
              </w:rPr>
            </w:pPr>
            <w:r w:rsidRPr="001522DB">
              <w:rPr>
                <w:rFonts w:asciiTheme="majorBidi" w:hAnsiTheme="majorBidi" w:cstheme="majorBidi"/>
              </w:rPr>
              <w:t>2030–2040</w:t>
            </w:r>
          </w:p>
        </w:tc>
        <w:tc>
          <w:tcPr>
            <w:tcW w:w="27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1B377779" w14:textId="77777777" w:rsidR="009E5848" w:rsidRPr="001522DB" w:rsidRDefault="00000000">
            <w:pPr>
              <w:rPr>
                <w:rFonts w:asciiTheme="majorBidi" w:hAnsiTheme="majorBidi" w:cstheme="majorBidi"/>
              </w:rPr>
            </w:pPr>
            <w:r w:rsidRPr="001522DB">
              <w:rPr>
                <w:rFonts w:asciiTheme="majorBidi" w:hAnsiTheme="majorBidi" w:cstheme="majorBidi"/>
              </w:rPr>
              <w:t>Agentic AI absorbs full job functions (end-to-end logistics, customer service, financial analysis); humanoid robots enter manufacturing floor</w:t>
            </w:r>
          </w:p>
        </w:tc>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vAlign w:val="center"/>
          </w:tcPr>
          <w:p w14:paraId="39EF0B57" w14:textId="77777777" w:rsidR="009E5848" w:rsidRPr="001522DB" w:rsidRDefault="00000000">
            <w:pPr>
              <w:rPr>
                <w:rFonts w:asciiTheme="majorBidi" w:hAnsiTheme="majorBidi" w:cstheme="majorBidi"/>
              </w:rPr>
            </w:pPr>
            <w:r w:rsidRPr="001522DB">
              <w:rPr>
                <w:rFonts w:asciiTheme="majorBidi" w:hAnsiTheme="majorBidi" w:cstheme="majorBidi"/>
              </w:rPr>
              <w:t>Goldman Sachs: 300M full-time job equivalents affected globally; labor share of income compresses materially</w:t>
            </w:r>
          </w:p>
        </w:tc>
      </w:tr>
      <w:tr w:rsidR="009E5848" w:rsidRPr="001522DB" w14:paraId="5DADC895" w14:textId="77777777">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60" w:type="dxa"/>
              <w:left w:w="100" w:type="dxa"/>
              <w:bottom w:w="60" w:type="dxa"/>
              <w:right w:w="100" w:type="dxa"/>
            </w:tcMar>
            <w:vAlign w:val="center"/>
          </w:tcPr>
          <w:p w14:paraId="74C74675" w14:textId="77777777" w:rsidR="009E5848" w:rsidRPr="001522DB" w:rsidRDefault="00000000">
            <w:pPr>
              <w:rPr>
                <w:rFonts w:asciiTheme="majorBidi" w:hAnsiTheme="majorBidi" w:cstheme="majorBidi"/>
              </w:rPr>
            </w:pPr>
            <w:r w:rsidRPr="001522DB">
              <w:rPr>
                <w:rFonts w:asciiTheme="majorBidi" w:hAnsiTheme="majorBidi" w:cstheme="majorBidi"/>
                <w:b/>
                <w:bCs/>
                <w:color w:val="FFFFFF"/>
              </w:rPr>
              <w:t>3 — Foundational</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vAlign w:val="center"/>
          </w:tcPr>
          <w:p w14:paraId="1BE6F7FC" w14:textId="77777777" w:rsidR="009E5848" w:rsidRPr="001522DB" w:rsidRDefault="00000000">
            <w:pPr>
              <w:rPr>
                <w:rFonts w:asciiTheme="majorBidi" w:hAnsiTheme="majorBidi" w:cstheme="majorBidi"/>
              </w:rPr>
            </w:pPr>
            <w:r w:rsidRPr="001522DB">
              <w:rPr>
                <w:rFonts w:asciiTheme="majorBidi" w:hAnsiTheme="majorBidi" w:cstheme="majorBidi"/>
              </w:rPr>
              <w:t>2040+</w:t>
            </w:r>
          </w:p>
        </w:tc>
        <w:tc>
          <w:tcPr>
            <w:tcW w:w="2760"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vAlign w:val="center"/>
          </w:tcPr>
          <w:p w14:paraId="06C42D3B" w14:textId="77777777" w:rsidR="009E5848" w:rsidRPr="001522DB" w:rsidRDefault="00000000">
            <w:pPr>
              <w:rPr>
                <w:rFonts w:asciiTheme="majorBidi" w:hAnsiTheme="majorBidi" w:cstheme="majorBidi"/>
              </w:rPr>
            </w:pPr>
            <w:r w:rsidRPr="001522DB">
              <w:rPr>
                <w:rFonts w:asciiTheme="majorBidi" w:hAnsiTheme="majorBidi" w:cstheme="majorBidi"/>
              </w:rPr>
              <w:t>AGI-adjacent systems; broad-spectrum automation across cognitive and physical domains; capital's share of output approaches historic high</w:t>
            </w:r>
          </w:p>
        </w:tc>
        <w:tc>
          <w:tcPr>
            <w:tcW w:w="2600"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vAlign w:val="center"/>
          </w:tcPr>
          <w:p w14:paraId="2F07EA21" w14:textId="77777777" w:rsidR="009E5848" w:rsidRPr="001522DB" w:rsidRDefault="00000000">
            <w:pPr>
              <w:rPr>
                <w:rFonts w:asciiTheme="majorBidi" w:hAnsiTheme="majorBidi" w:cstheme="majorBidi"/>
              </w:rPr>
            </w:pPr>
            <w:r w:rsidRPr="001522DB">
              <w:rPr>
                <w:rFonts w:asciiTheme="majorBidi" w:hAnsiTheme="majorBidi" w:cstheme="majorBidi"/>
              </w:rPr>
              <w:t>MIT's Acemoglu: labor's share of income 'converges toward zero' in a post-AGI scenario. Tax base built on labor income becomes structurally insolvent.</w:t>
            </w:r>
          </w:p>
        </w:tc>
      </w:tr>
    </w:tbl>
    <w:p w14:paraId="6EF4D8BD" w14:textId="77777777" w:rsidR="009E5848" w:rsidRPr="001522DB" w:rsidRDefault="00000000">
      <w:pPr>
        <w:spacing w:before="80" w:after="240"/>
        <w:rPr>
          <w:rFonts w:asciiTheme="majorBidi" w:hAnsiTheme="majorBidi" w:cstheme="majorBidi"/>
        </w:rPr>
      </w:pPr>
      <w:r w:rsidRPr="001522DB">
        <w:rPr>
          <w:rFonts w:asciiTheme="majorBidi" w:hAnsiTheme="majorBidi" w:cstheme="majorBidi"/>
          <w:i/>
          <w:iCs/>
          <w:color w:val="808080"/>
        </w:rPr>
        <w:t>Sources: WEF Future of Jobs Report 2025; Goldman Sachs AI Workforce Analysis 2025; McKinsey Global Institute 2025; MIT/Acemoglu (2025); Goldman Sachs (Aug. 2025)</w:t>
      </w:r>
    </w:p>
    <w:p w14:paraId="422BB7FB"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The near-term picture — Phase 1 — is nuanced. McKinsey estimates that today's technology could theoretically automate </w:t>
      </w:r>
      <w:r w:rsidRPr="001522DB">
        <w:rPr>
          <w:rFonts w:asciiTheme="majorBidi" w:hAnsiTheme="majorBidi" w:cstheme="majorBidi"/>
          <w:b/>
          <w:bCs/>
          <w:sz w:val="24"/>
          <w:szCs w:val="24"/>
        </w:rPr>
        <w:t>57% of current US work hours</w:t>
      </w:r>
      <w:r w:rsidRPr="001522DB">
        <w:rPr>
          <w:rFonts w:asciiTheme="majorBidi" w:hAnsiTheme="majorBidi" w:cstheme="majorBidi"/>
          <w:sz w:val="24"/>
          <w:szCs w:val="24"/>
        </w:rPr>
        <w:t xml:space="preserve">, but deployment is the limiting factor, not capability. Goldman Sachs' latest research finds that only </w:t>
      </w:r>
      <w:r w:rsidRPr="001522DB">
        <w:rPr>
          <w:rFonts w:asciiTheme="majorBidi" w:hAnsiTheme="majorBidi" w:cstheme="majorBidi"/>
          <w:b/>
          <w:bCs/>
          <w:sz w:val="24"/>
          <w:szCs w:val="24"/>
        </w:rPr>
        <w:t>2.5% of current US employment is immediately at risk</w:t>
      </w:r>
      <w:r w:rsidRPr="001522DB">
        <w:rPr>
          <w:rFonts w:asciiTheme="majorBidi" w:hAnsiTheme="majorBidi" w:cstheme="majorBidi"/>
          <w:sz w:val="24"/>
          <w:szCs w:val="24"/>
        </w:rPr>
        <w:t xml:space="preserve"> under present AI deployment patterns. The WEF's 2025 Future of Jobs Report projects </w:t>
      </w:r>
      <w:r w:rsidRPr="001522DB">
        <w:rPr>
          <w:rFonts w:asciiTheme="majorBidi" w:hAnsiTheme="majorBidi" w:cstheme="majorBidi"/>
          <w:b/>
          <w:bCs/>
          <w:sz w:val="24"/>
          <w:szCs w:val="24"/>
        </w:rPr>
        <w:t>92 million positions displaced globally by 2030</w:t>
      </w:r>
      <w:r w:rsidRPr="001522DB">
        <w:rPr>
          <w:rFonts w:asciiTheme="majorBidi" w:hAnsiTheme="majorBidi" w:cstheme="majorBidi"/>
          <w:sz w:val="24"/>
          <w:szCs w:val="24"/>
        </w:rPr>
        <w:t xml:space="preserve">, offset by </w:t>
      </w:r>
      <w:r w:rsidRPr="001522DB">
        <w:rPr>
          <w:rFonts w:asciiTheme="majorBidi" w:hAnsiTheme="majorBidi" w:cstheme="majorBidi"/>
          <w:b/>
          <w:bCs/>
          <w:sz w:val="24"/>
          <w:szCs w:val="24"/>
        </w:rPr>
        <w:t>170 million newly created roles</w:t>
      </w:r>
      <w:r w:rsidRPr="001522DB">
        <w:rPr>
          <w:rFonts w:asciiTheme="majorBidi" w:hAnsiTheme="majorBidi" w:cstheme="majorBidi"/>
          <w:sz w:val="24"/>
          <w:szCs w:val="24"/>
        </w:rPr>
        <w:t xml:space="preserve"> — a net positive, but with profound disruption concentrated among mid-skill, routine workers in logistics, administration, and manufacturing support.</w:t>
      </w:r>
    </w:p>
    <w:p w14:paraId="223DF2A0"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lastRenderedPageBreak/>
        <w:t xml:space="preserve">Phase 2 is more structurally threatening. As agentic AI systems mature — capable of managing not just tasks but entire job functions end-to-end — the displacement mechanism shifts from individual roles to entire labor categories. Goldman Sachs projects </w:t>
      </w:r>
      <w:r w:rsidRPr="001522DB">
        <w:rPr>
          <w:rFonts w:asciiTheme="majorBidi" w:hAnsiTheme="majorBidi" w:cstheme="majorBidi"/>
          <w:b/>
          <w:bCs/>
          <w:sz w:val="24"/>
          <w:szCs w:val="24"/>
        </w:rPr>
        <w:t>300 million full-time job equivalents globally affected</w:t>
      </w:r>
      <w:r w:rsidRPr="001522DB">
        <w:rPr>
          <w:rFonts w:asciiTheme="majorBidi" w:hAnsiTheme="majorBidi" w:cstheme="majorBidi"/>
          <w:sz w:val="24"/>
          <w:szCs w:val="24"/>
        </w:rPr>
        <w:t xml:space="preserve"> over the medium term. MIT economist Daron Acemoglu argues that the macro productivity boost from AI is likely modest (1.1–1.6% of GDP) in the near term, because most current AI investment is directed toward </w:t>
      </w:r>
      <w:r w:rsidRPr="001522DB">
        <w:rPr>
          <w:rFonts w:asciiTheme="majorBidi" w:hAnsiTheme="majorBidi" w:cstheme="majorBidi"/>
          <w:b/>
          <w:bCs/>
          <w:sz w:val="24"/>
          <w:szCs w:val="24"/>
        </w:rPr>
        <w:t>capital-owner-enriching automation rather than worker-complementing tools</w:t>
      </w:r>
      <w:r w:rsidRPr="001522DB">
        <w:rPr>
          <w:rFonts w:asciiTheme="majorBidi" w:hAnsiTheme="majorBidi" w:cstheme="majorBidi"/>
          <w:sz w:val="24"/>
          <w:szCs w:val="24"/>
        </w:rPr>
        <w:t>.</w:t>
      </w:r>
    </w:p>
    <w:p w14:paraId="3D91A0D1" w14:textId="77777777" w:rsidR="009E5848" w:rsidRPr="001522DB" w:rsidRDefault="00000000">
      <w:pPr>
        <w:spacing w:after="240"/>
        <w:rPr>
          <w:rFonts w:asciiTheme="majorBidi" w:hAnsiTheme="majorBidi" w:cstheme="majorBidi"/>
          <w:sz w:val="24"/>
          <w:szCs w:val="24"/>
        </w:rPr>
      </w:pPr>
      <w:r w:rsidRPr="001522DB">
        <w:rPr>
          <w:rFonts w:asciiTheme="majorBidi" w:hAnsiTheme="majorBidi" w:cstheme="majorBidi"/>
          <w:sz w:val="24"/>
          <w:szCs w:val="24"/>
        </w:rPr>
        <w:t xml:space="preserve">Phase 3 is where economic theory becomes existential. MIT's Pascual Restrepo predicts that in a post-AGI scenario, the relationship between labor and economic output </w:t>
      </w:r>
      <w:r w:rsidRPr="001522DB">
        <w:rPr>
          <w:rFonts w:asciiTheme="majorBidi" w:hAnsiTheme="majorBidi" w:cstheme="majorBidi"/>
          <w:b/>
          <w:bCs/>
          <w:sz w:val="24"/>
          <w:szCs w:val="24"/>
        </w:rPr>
        <w:t>decouples entirely</w:t>
      </w:r>
      <w:r w:rsidRPr="001522DB">
        <w:rPr>
          <w:rFonts w:asciiTheme="majorBidi" w:hAnsiTheme="majorBidi" w:cstheme="majorBidi"/>
          <w:sz w:val="24"/>
          <w:szCs w:val="24"/>
        </w:rPr>
        <w:t>, with labor's share of income converging toward zero. This is not hyperbole — it is the logical endpoint of a production function in which capital can substitute for all forms of human work. The timeline for Phase 3 is contested: some researchers place AGI-adjacent transitions in the 2030s; others believe structural limits in hardware, regulation, and organizational adoption extend it well into mid-century.</w:t>
      </w:r>
    </w:p>
    <w:p w14:paraId="16D350B7" w14:textId="77777777" w:rsidR="009E5848" w:rsidRPr="001522DB" w:rsidRDefault="009E5848" w:rsidP="001522DB">
      <w:pPr>
        <w:spacing w:before="80" w:after="80"/>
        <w:rPr>
          <w:rFonts w:asciiTheme="majorBidi" w:hAnsiTheme="majorBidi" w:cstheme="majorBidi"/>
          <w:sz w:val="24"/>
          <w:szCs w:val="24"/>
        </w:rPr>
      </w:pPr>
    </w:p>
    <w:p w14:paraId="43CC2757" w14:textId="77777777" w:rsidR="009E5848" w:rsidRPr="001522DB" w:rsidRDefault="00000000">
      <w:pPr>
        <w:spacing w:before="160" w:after="120"/>
        <w:rPr>
          <w:rFonts w:asciiTheme="majorBidi" w:hAnsiTheme="majorBidi" w:cstheme="majorBidi"/>
          <w:sz w:val="24"/>
          <w:szCs w:val="24"/>
        </w:rPr>
      </w:pPr>
      <w:r w:rsidRPr="001522DB">
        <w:rPr>
          <w:rFonts w:asciiTheme="majorBidi" w:hAnsiTheme="majorBidi" w:cstheme="majorBidi"/>
          <w:b/>
          <w:bCs/>
          <w:color w:val="1F3864"/>
          <w:sz w:val="24"/>
          <w:szCs w:val="24"/>
        </w:rPr>
        <w:t>The Revenue Problem — and the Labor Share Problem</w:t>
      </w:r>
    </w:p>
    <w:p w14:paraId="0A0E0A8D"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The modern welfare state is a labor-income machine. Payroll taxes, personal income taxes, and social security contributions — all flowing from human work — fund the bulk of public services and social insurance. Peer-reviewed research finds that </w:t>
      </w:r>
      <w:r w:rsidRPr="001522DB">
        <w:rPr>
          <w:rFonts w:asciiTheme="majorBidi" w:hAnsiTheme="majorBidi" w:cstheme="majorBidi"/>
          <w:b/>
          <w:bCs/>
          <w:sz w:val="24"/>
          <w:szCs w:val="24"/>
        </w:rPr>
        <w:t>automation always lowers the labor share of income in the long run</w:t>
      </w:r>
      <w:r w:rsidRPr="001522DB">
        <w:rPr>
          <w:rFonts w:asciiTheme="majorBidi" w:hAnsiTheme="majorBidi" w:cstheme="majorBidi"/>
          <w:sz w:val="24"/>
          <w:szCs w:val="24"/>
        </w:rPr>
        <w:t>, a structural effect distinct from traditional productivity growth (Cambridge University Press, Macroeconomic Dynamics, 2024). The US labor share of GDP has declined from ~65% in the 1970s to approximately 56% today — a trend that predates the current AI wave and will accelerate through it.</w:t>
      </w:r>
    </w:p>
    <w:p w14:paraId="57B783CF"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As automation increases capital's share of output, two tax bases simultaneously weaken: </w:t>
      </w:r>
      <w:r w:rsidRPr="001522DB">
        <w:rPr>
          <w:rFonts w:asciiTheme="majorBidi" w:hAnsiTheme="majorBidi" w:cstheme="majorBidi"/>
          <w:b/>
          <w:bCs/>
          <w:sz w:val="24"/>
          <w:szCs w:val="24"/>
        </w:rPr>
        <w:t>(1) income taxed at source</w:t>
      </w:r>
      <w:r w:rsidRPr="001522DB">
        <w:rPr>
          <w:rFonts w:asciiTheme="majorBidi" w:hAnsiTheme="majorBidi" w:cstheme="majorBidi"/>
          <w:sz w:val="24"/>
          <w:szCs w:val="24"/>
        </w:rPr>
        <w:t xml:space="preserve"> (payroll and personal income taxes); and </w:t>
      </w:r>
      <w:r w:rsidRPr="001522DB">
        <w:rPr>
          <w:rFonts w:asciiTheme="majorBidi" w:hAnsiTheme="majorBidi" w:cstheme="majorBidi"/>
          <w:b/>
          <w:bCs/>
          <w:sz w:val="24"/>
          <w:szCs w:val="24"/>
        </w:rPr>
        <w:t>(2) consumption</w:t>
      </w:r>
      <w:r w:rsidRPr="001522DB">
        <w:rPr>
          <w:rFonts w:asciiTheme="majorBidi" w:hAnsiTheme="majorBidi" w:cstheme="majorBidi"/>
          <w:sz w:val="24"/>
          <w:szCs w:val="24"/>
        </w:rPr>
        <w:t xml:space="preserve"> (VAT and sales taxes, which depend on wage-earner spending). Robots do not pay payroll taxes. They do not contribute to Social Security. They do not file W-2s. The arithmetic is straightforward — the political response is not.</w:t>
      </w:r>
    </w:p>
    <w:p w14:paraId="36488C11" w14:textId="77777777" w:rsidR="009E5848" w:rsidRPr="001522DB" w:rsidRDefault="00000000">
      <w:pPr>
        <w:spacing w:after="80"/>
        <w:rPr>
          <w:rFonts w:asciiTheme="majorBidi" w:hAnsiTheme="majorBidi" w:cstheme="majorBidi"/>
          <w:sz w:val="24"/>
          <w:szCs w:val="24"/>
        </w:rPr>
      </w:pPr>
      <w:r w:rsidRPr="001522DB">
        <w:rPr>
          <w:rFonts w:asciiTheme="majorBidi" w:hAnsiTheme="majorBidi" w:cstheme="majorBidi"/>
          <w:sz w:val="24"/>
          <w:szCs w:val="24"/>
        </w:rPr>
        <w:t>Three policy responses have entered the serious academic and legislative debate:</w:t>
      </w:r>
    </w:p>
    <w:p w14:paraId="18324949" w14:textId="77777777" w:rsidR="009E5848" w:rsidRPr="001522DB" w:rsidRDefault="00000000">
      <w:pPr>
        <w:pStyle w:val="ListParagraph"/>
        <w:numPr>
          <w:ilvl w:val="0"/>
          <w:numId w:val="2"/>
        </w:numPr>
        <w:spacing w:after="80"/>
        <w:rPr>
          <w:rFonts w:asciiTheme="majorBidi" w:hAnsiTheme="majorBidi" w:cstheme="majorBidi"/>
          <w:sz w:val="24"/>
          <w:szCs w:val="24"/>
        </w:rPr>
      </w:pPr>
      <w:r w:rsidRPr="001522DB">
        <w:rPr>
          <w:rFonts w:asciiTheme="majorBidi" w:hAnsiTheme="majorBidi" w:cstheme="majorBidi"/>
          <w:b/>
          <w:bCs/>
          <w:sz w:val="24"/>
          <w:szCs w:val="24"/>
        </w:rPr>
        <w:t xml:space="preserve">Robot taxes / automation levies. </w:t>
      </w:r>
      <w:r w:rsidRPr="001522DB">
        <w:rPr>
          <w:rFonts w:asciiTheme="majorBidi" w:hAnsiTheme="majorBidi" w:cstheme="majorBidi"/>
          <w:sz w:val="24"/>
          <w:szCs w:val="24"/>
        </w:rPr>
        <w:t>First formally proposed by Harvard Law in 2018 and now the subject of active legislative proposals (Tax Notes Federal, Oct. 2025), a robot tax would assess either a per-unit fee on deployed automation capital, or a higher effective tax rate on firms that substitute capital for labor. The European Parliament rejected an early version in 2017; South Korea in 2019 enacted a softer variant by reducing investment tax credits for automation — the world's first effective automation tax.</w:t>
      </w:r>
    </w:p>
    <w:p w14:paraId="5C323894" w14:textId="77777777" w:rsidR="009E5848" w:rsidRPr="001522DB" w:rsidRDefault="00000000">
      <w:pPr>
        <w:pStyle w:val="ListParagraph"/>
        <w:numPr>
          <w:ilvl w:val="0"/>
          <w:numId w:val="2"/>
        </w:numPr>
        <w:spacing w:after="80"/>
        <w:rPr>
          <w:rFonts w:asciiTheme="majorBidi" w:hAnsiTheme="majorBidi" w:cstheme="majorBidi"/>
          <w:sz w:val="24"/>
          <w:szCs w:val="24"/>
        </w:rPr>
      </w:pPr>
      <w:r w:rsidRPr="001522DB">
        <w:rPr>
          <w:rFonts w:asciiTheme="majorBidi" w:hAnsiTheme="majorBidi" w:cstheme="majorBidi"/>
          <w:b/>
          <w:bCs/>
          <w:sz w:val="24"/>
          <w:szCs w:val="24"/>
        </w:rPr>
        <w:t xml:space="preserve">Capital gains and corporate tax restructuring. </w:t>
      </w:r>
      <w:r w:rsidRPr="001522DB">
        <w:rPr>
          <w:rFonts w:asciiTheme="majorBidi" w:hAnsiTheme="majorBidi" w:cstheme="majorBidi"/>
          <w:sz w:val="24"/>
          <w:szCs w:val="24"/>
        </w:rPr>
        <w:t xml:space="preserve">As profits flow increasingly to capital owners rather than workers, equalizing the tax treatment of capital and labor income becomes distributionally necessary and fiscally pragmatic. The current US tax code does the reverse: TCJA's 21% corporate rate and bonus depreciation provisions are, in effect, automation subsidies. Cambridge modeling finds that in an optimal-policy framework, </w:t>
      </w:r>
      <w:r w:rsidRPr="001522DB">
        <w:rPr>
          <w:rFonts w:asciiTheme="majorBidi" w:hAnsiTheme="majorBidi" w:cstheme="majorBidi"/>
          <w:b/>
          <w:bCs/>
          <w:sz w:val="24"/>
          <w:szCs w:val="24"/>
        </w:rPr>
        <w:t>taxing capital at a higher rate than labor in the long run</w:t>
      </w:r>
      <w:r w:rsidRPr="001522DB">
        <w:rPr>
          <w:rFonts w:asciiTheme="majorBidi" w:hAnsiTheme="majorBidi" w:cstheme="majorBidi"/>
          <w:sz w:val="24"/>
          <w:szCs w:val="24"/>
        </w:rPr>
        <w:t xml:space="preserve"> — funded transfers to workers — is both democratically stable (majority voting) and economically efficient.</w:t>
      </w:r>
    </w:p>
    <w:p w14:paraId="0DB1756A" w14:textId="77777777" w:rsidR="009E5848" w:rsidRPr="001522DB" w:rsidRDefault="00000000">
      <w:pPr>
        <w:pStyle w:val="ListParagraph"/>
        <w:numPr>
          <w:ilvl w:val="0"/>
          <w:numId w:val="2"/>
        </w:numPr>
        <w:spacing w:after="200"/>
        <w:rPr>
          <w:rFonts w:asciiTheme="majorBidi" w:hAnsiTheme="majorBidi" w:cstheme="majorBidi"/>
          <w:sz w:val="24"/>
          <w:szCs w:val="24"/>
        </w:rPr>
      </w:pPr>
      <w:r w:rsidRPr="001522DB">
        <w:rPr>
          <w:rFonts w:asciiTheme="majorBidi" w:hAnsiTheme="majorBidi" w:cstheme="majorBidi"/>
          <w:b/>
          <w:bCs/>
          <w:sz w:val="24"/>
          <w:szCs w:val="24"/>
        </w:rPr>
        <w:t xml:space="preserve">Universal Basic Income (UBI). </w:t>
      </w:r>
      <w:r w:rsidRPr="001522DB">
        <w:rPr>
          <w:rFonts w:asciiTheme="majorBidi" w:hAnsiTheme="majorBidi" w:cstheme="majorBidi"/>
          <w:sz w:val="24"/>
          <w:szCs w:val="24"/>
        </w:rPr>
        <w:t xml:space="preserve">UBI has migrated from fringe to mainstream: public support in the US rose from 12% a decade ago to 48% by 2018 (CNBC) and has likely moved further since. The fiscal math requires either a new revenue base (robot taxes, wealth taxes, carbon levies) or a reallocation from existing programs. UBI solves the income-floor problem but — as psychologist </w:t>
      </w:r>
      <w:r w:rsidRPr="001522DB">
        <w:rPr>
          <w:rFonts w:asciiTheme="majorBidi" w:hAnsiTheme="majorBidi" w:cstheme="majorBidi"/>
          <w:sz w:val="24"/>
          <w:szCs w:val="24"/>
        </w:rPr>
        <w:lastRenderedPageBreak/>
        <w:t xml:space="preserve">Maslow's hierarchy suggests — not the </w:t>
      </w:r>
      <w:r w:rsidRPr="001522DB">
        <w:rPr>
          <w:rFonts w:asciiTheme="majorBidi" w:hAnsiTheme="majorBidi" w:cstheme="majorBidi"/>
          <w:b/>
          <w:bCs/>
          <w:sz w:val="24"/>
          <w:szCs w:val="24"/>
        </w:rPr>
        <w:t>meaning problem</w:t>
      </w:r>
      <w:r w:rsidRPr="001522DB">
        <w:rPr>
          <w:rFonts w:asciiTheme="majorBidi" w:hAnsiTheme="majorBidi" w:cstheme="majorBidi"/>
          <w:sz w:val="24"/>
          <w:szCs w:val="24"/>
        </w:rPr>
        <w:t xml:space="preserve">: work satisfies social identity and self-esteem needs that income transfers cannot replicate. A society in which </w:t>
      </w:r>
      <w:proofErr w:type="gramStart"/>
      <w:r w:rsidRPr="001522DB">
        <w:rPr>
          <w:rFonts w:asciiTheme="majorBidi" w:hAnsiTheme="majorBidi" w:cstheme="majorBidi"/>
          <w:sz w:val="24"/>
          <w:szCs w:val="24"/>
        </w:rPr>
        <w:t>a majority of</w:t>
      </w:r>
      <w:proofErr w:type="gramEnd"/>
      <w:r w:rsidRPr="001522DB">
        <w:rPr>
          <w:rFonts w:asciiTheme="majorBidi" w:hAnsiTheme="majorBidi" w:cstheme="majorBidi"/>
          <w:sz w:val="24"/>
          <w:szCs w:val="24"/>
        </w:rPr>
        <w:t xml:space="preserve"> working-age adults are economically superfluous is a social and political crisis, not merely an economic one.</w:t>
      </w:r>
    </w:p>
    <w:p w14:paraId="6BF20958" w14:textId="77777777" w:rsidR="009E5848" w:rsidRPr="001522DB" w:rsidRDefault="009E5848" w:rsidP="001522DB">
      <w:pPr>
        <w:spacing w:before="80" w:after="80"/>
        <w:rPr>
          <w:rFonts w:asciiTheme="majorBidi" w:hAnsiTheme="majorBidi" w:cstheme="majorBidi"/>
          <w:sz w:val="24"/>
          <w:szCs w:val="24"/>
        </w:rPr>
      </w:pPr>
    </w:p>
    <w:p w14:paraId="3F5D6AC2" w14:textId="77777777" w:rsidR="009E5848" w:rsidRPr="001522DB" w:rsidRDefault="00000000">
      <w:pPr>
        <w:spacing w:before="160" w:after="120"/>
        <w:rPr>
          <w:rFonts w:asciiTheme="majorBidi" w:hAnsiTheme="majorBidi" w:cstheme="majorBidi"/>
          <w:sz w:val="24"/>
          <w:szCs w:val="24"/>
        </w:rPr>
      </w:pPr>
      <w:r w:rsidRPr="001522DB">
        <w:rPr>
          <w:rFonts w:asciiTheme="majorBidi" w:hAnsiTheme="majorBidi" w:cstheme="majorBidi"/>
          <w:b/>
          <w:bCs/>
          <w:color w:val="1F3864"/>
          <w:sz w:val="24"/>
          <w:szCs w:val="24"/>
        </w:rPr>
        <w:t>The Manufacturing Policy Implication</w:t>
      </w:r>
    </w:p>
    <w:p w14:paraId="7DD55CA1" w14:textId="77777777"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The United States faces a compound challenge: it is </w:t>
      </w:r>
      <w:r w:rsidRPr="001522DB">
        <w:rPr>
          <w:rFonts w:asciiTheme="majorBidi" w:hAnsiTheme="majorBidi" w:cstheme="majorBidi"/>
          <w:b/>
          <w:bCs/>
          <w:sz w:val="24"/>
          <w:szCs w:val="24"/>
        </w:rPr>
        <w:t>behind China on automation deployment</w:t>
      </w:r>
      <w:r w:rsidRPr="001522DB">
        <w:rPr>
          <w:rFonts w:asciiTheme="majorBidi" w:hAnsiTheme="majorBidi" w:cstheme="majorBidi"/>
          <w:sz w:val="24"/>
          <w:szCs w:val="24"/>
        </w:rPr>
        <w:t xml:space="preserve"> — yet it has also done the least to prepare its fiscal and social architecture for the consequences of automation at scale. The OBBBA's bonus depreciation provisions and manufacturing facility expensing — combined with the legislative package proposed here — will drive exactly the capital investment surge that US manufacturing needs. But Congress should be clear-eyed: these incentives accelerate Phase 1 and Phase 2 displacement. The 40% of US employers in 2026 surveys who anticipate workforce reductions from AI automation are not wrong — they are reading the policy correctly.</w:t>
      </w:r>
    </w:p>
    <w:p w14:paraId="7D4F899D" w14:textId="7C1D39B4" w:rsidR="009E5848" w:rsidRPr="001522DB" w:rsidRDefault="00000000">
      <w:pPr>
        <w:spacing w:after="160"/>
        <w:rPr>
          <w:rFonts w:asciiTheme="majorBidi" w:hAnsiTheme="majorBidi" w:cstheme="majorBidi"/>
          <w:sz w:val="24"/>
          <w:szCs w:val="24"/>
        </w:rPr>
      </w:pPr>
      <w:r w:rsidRPr="001522DB">
        <w:rPr>
          <w:rFonts w:asciiTheme="majorBidi" w:hAnsiTheme="majorBidi" w:cstheme="majorBidi"/>
          <w:sz w:val="24"/>
          <w:szCs w:val="24"/>
        </w:rPr>
        <w:t xml:space="preserve">The argument for manufacturing-focused automation incentives is not that they cause no displacement. It is that the </w:t>
      </w:r>
      <w:r w:rsidRPr="001522DB">
        <w:rPr>
          <w:rFonts w:asciiTheme="majorBidi" w:hAnsiTheme="majorBidi" w:cstheme="majorBidi"/>
          <w:b/>
          <w:bCs/>
          <w:sz w:val="24"/>
          <w:szCs w:val="24"/>
        </w:rPr>
        <w:t>alternative — falling further behind China in productivity-per-worker</w:t>
      </w:r>
      <w:r w:rsidRPr="001522DB">
        <w:rPr>
          <w:rFonts w:asciiTheme="majorBidi" w:hAnsiTheme="majorBidi" w:cstheme="majorBidi"/>
          <w:sz w:val="24"/>
          <w:szCs w:val="24"/>
        </w:rPr>
        <w:t xml:space="preserve"> — causes permanent job loss through deindustrialization, which is worse. A competitive American manufacturing base that employs fewer workers per unit of output is still an American manufacturing base. One that loses market share to foreign competition is not. The policy agenda that follows — MINA's DVA-based credit structure, DO IT NOW's reinvestment bonus, Mannie Mac's GSE financing mechanism — is designed to build the factory first. </w:t>
      </w:r>
      <w:r w:rsidR="001522DB">
        <w:rPr>
          <w:rFonts w:asciiTheme="majorBidi" w:hAnsiTheme="majorBidi" w:cstheme="majorBidi"/>
          <w:sz w:val="24"/>
          <w:szCs w:val="24"/>
        </w:rPr>
        <w:t xml:space="preserve">The Manufacturers Entrepreneurs Rewards Act encourages new leadership for the 100,000 baby boomer companies to drive this very transition. </w:t>
      </w:r>
      <w:r w:rsidRPr="001522DB">
        <w:rPr>
          <w:rFonts w:asciiTheme="majorBidi" w:hAnsiTheme="majorBidi" w:cstheme="majorBidi"/>
          <w:sz w:val="24"/>
          <w:szCs w:val="24"/>
        </w:rPr>
        <w:t>The fiscal framework for what happens to the workers these factories no longer employ must be built in parallel, not as an afterthought.</w:t>
      </w:r>
    </w:p>
    <w:p w14:paraId="6F5F5946" w14:textId="77777777" w:rsidR="009E5848" w:rsidRPr="001522DB" w:rsidRDefault="00000000">
      <w:pPr>
        <w:pBdr>
          <w:top w:val="single" w:sz="4" w:space="4" w:color="D6A800"/>
          <w:left w:val="thick" w:sz="12" w:space="4" w:color="D6A800"/>
          <w:bottom w:val="single" w:sz="4" w:space="4" w:color="D6A800"/>
          <w:right w:val="single" w:sz="4" w:space="4" w:color="D6A800"/>
        </w:pBdr>
        <w:shd w:val="clear" w:color="auto" w:fill="FFF2CC"/>
        <w:spacing w:before="160" w:after="240"/>
        <w:rPr>
          <w:rFonts w:asciiTheme="majorBidi" w:hAnsiTheme="majorBidi" w:cstheme="majorBidi"/>
          <w:sz w:val="24"/>
          <w:szCs w:val="24"/>
        </w:rPr>
      </w:pPr>
      <w:proofErr w:type="gramStart"/>
      <w:r w:rsidRPr="001522DB">
        <w:rPr>
          <w:rFonts w:ascii="Segoe UI Symbol" w:hAnsi="Segoe UI Symbol" w:cs="Segoe UI Symbol"/>
          <w:b/>
          <w:bCs/>
          <w:color w:val="7B0000"/>
          <w:sz w:val="24"/>
          <w:szCs w:val="24"/>
        </w:rPr>
        <w:t>⚑</w:t>
      </w:r>
      <w:r w:rsidRPr="001522DB">
        <w:rPr>
          <w:rFonts w:asciiTheme="majorBidi" w:hAnsiTheme="majorBidi" w:cstheme="majorBidi"/>
          <w:b/>
          <w:bCs/>
          <w:color w:val="7B0000"/>
          <w:sz w:val="24"/>
          <w:szCs w:val="24"/>
        </w:rPr>
        <w:t xml:space="preserve">  SPECULATIVE</w:t>
      </w:r>
      <w:proofErr w:type="gramEnd"/>
      <w:r w:rsidRPr="001522DB">
        <w:rPr>
          <w:rFonts w:asciiTheme="majorBidi" w:hAnsiTheme="majorBidi" w:cstheme="majorBidi"/>
          <w:b/>
          <w:bCs/>
          <w:color w:val="7B0000"/>
          <w:sz w:val="24"/>
          <w:szCs w:val="24"/>
        </w:rPr>
        <w:t xml:space="preserve"> (flagged): </w:t>
      </w:r>
      <w:r w:rsidRPr="001522DB">
        <w:rPr>
          <w:rFonts w:asciiTheme="majorBidi" w:hAnsiTheme="majorBidi" w:cstheme="majorBidi"/>
          <w:sz w:val="24"/>
          <w:szCs w:val="24"/>
        </w:rPr>
        <w:t xml:space="preserve">The deepest structural tension is one that neither political party has adequately confronted: the current tax architecture taxes </w:t>
      </w:r>
      <w:r w:rsidRPr="001522DB">
        <w:rPr>
          <w:rFonts w:asciiTheme="majorBidi" w:hAnsiTheme="majorBidi" w:cstheme="majorBidi"/>
          <w:b/>
          <w:bCs/>
          <w:sz w:val="24"/>
          <w:szCs w:val="24"/>
        </w:rPr>
        <w:t>flows of labor income</w:t>
      </w:r>
      <w:r w:rsidRPr="001522DB">
        <w:rPr>
          <w:rFonts w:asciiTheme="majorBidi" w:hAnsiTheme="majorBidi" w:cstheme="majorBidi"/>
          <w:sz w:val="24"/>
          <w:szCs w:val="24"/>
        </w:rPr>
        <w:t xml:space="preserve"> poorly suited to a future in which most economic value is generated by </w:t>
      </w:r>
      <w:r w:rsidRPr="001522DB">
        <w:rPr>
          <w:rFonts w:asciiTheme="majorBidi" w:hAnsiTheme="majorBidi" w:cstheme="majorBidi"/>
          <w:b/>
          <w:bCs/>
          <w:sz w:val="24"/>
          <w:szCs w:val="24"/>
        </w:rPr>
        <w:t>stocks of capital</w:t>
      </w:r>
      <w:r w:rsidRPr="001522DB">
        <w:rPr>
          <w:rFonts w:asciiTheme="majorBidi" w:hAnsiTheme="majorBidi" w:cstheme="majorBidi"/>
          <w:sz w:val="24"/>
          <w:szCs w:val="24"/>
        </w:rPr>
        <w:t>. A shift toward taxing wealth accumulation (annual mark-to-market on large asset portfolios), capital deployment (robot levies), and retained corporate earnings — rather than worker wages — would rebalance both the tax base and the distribution of productivity gains. The political coalition for such a shift may not exist today. The economic necessity of it will become undeniable within twenty years.</w:t>
      </w:r>
    </w:p>
    <w:p w14:paraId="37F0BB68" w14:textId="77777777" w:rsidR="009E5848" w:rsidRPr="001522DB" w:rsidRDefault="009E5848" w:rsidP="001522DB">
      <w:pPr>
        <w:spacing w:before="120" w:after="120"/>
        <w:rPr>
          <w:rFonts w:asciiTheme="majorBidi" w:hAnsiTheme="majorBidi" w:cstheme="majorBidi"/>
          <w:sz w:val="24"/>
          <w:szCs w:val="24"/>
        </w:rPr>
      </w:pPr>
    </w:p>
    <w:p w14:paraId="29524AB1" w14:textId="77777777" w:rsidR="009E5848" w:rsidRPr="001522DB" w:rsidRDefault="00000000">
      <w:pPr>
        <w:spacing w:before="80"/>
        <w:rPr>
          <w:rFonts w:asciiTheme="majorBidi" w:hAnsiTheme="majorBidi" w:cstheme="majorBidi"/>
          <w:sz w:val="24"/>
          <w:szCs w:val="24"/>
        </w:rPr>
      </w:pPr>
      <w:r w:rsidRPr="001522DB">
        <w:rPr>
          <w:rFonts w:asciiTheme="majorBidi" w:hAnsiTheme="majorBidi" w:cstheme="majorBidi"/>
          <w:i/>
          <w:iCs/>
          <w:color w:val="606060"/>
          <w:sz w:val="24"/>
          <w:szCs w:val="24"/>
        </w:rPr>
        <w:t>Sources: IFR World Robotics 2024; ITIF (Sept. 2023), itif.org; WEF Future of Jobs Report 2025, weforum.org; Goldman Sachs AI Workforce Analysis (Aug. 2025), goldmansachs.com; McKinsey Global Institute (2025); Cambridge Core / Macroeconomic Dynamics (2024); McGill Law Journal, "I Robot: U Tax?"; Tax Notes Federal (Oct./Nov. 2025); South China Morning Post (Nov. 2025); GIS Reports (Dec. 2025), gisreportsonline.com; Smart Industry China (Nov. 2025), zignify.net.</w:t>
      </w:r>
    </w:p>
    <w:sectPr w:rsidR="009E5848" w:rsidRPr="001522DB" w:rsidSect="001522DB">
      <w:headerReference w:type="default" r:id="rId7"/>
      <w:pgSz w:w="12240" w:h="15840"/>
      <w:pgMar w:top="1602"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A87C0" w14:textId="77777777" w:rsidR="00675FA9" w:rsidRDefault="00675FA9" w:rsidP="001522DB">
      <w:r>
        <w:separator/>
      </w:r>
    </w:p>
  </w:endnote>
  <w:endnote w:type="continuationSeparator" w:id="0">
    <w:p w14:paraId="02E2C695" w14:textId="77777777" w:rsidR="00675FA9" w:rsidRDefault="00675FA9" w:rsidP="00152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EB975" w14:textId="77777777" w:rsidR="00675FA9" w:rsidRDefault="00675FA9" w:rsidP="001522DB">
      <w:r>
        <w:separator/>
      </w:r>
    </w:p>
  </w:footnote>
  <w:footnote w:type="continuationSeparator" w:id="0">
    <w:p w14:paraId="45C1E0B9" w14:textId="77777777" w:rsidR="00675FA9" w:rsidRDefault="00675FA9" w:rsidP="001522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68E25" w14:textId="6A664B8D" w:rsidR="001522DB" w:rsidRDefault="001522DB">
    <w:pPr>
      <w:pStyle w:val="Header"/>
    </w:pPr>
    <w:r>
      <w:t>March 30, 2026</w:t>
    </w:r>
  </w:p>
  <w:p w14:paraId="009B59B6" w14:textId="5F2CC320" w:rsidR="001522DB" w:rsidRDefault="001522DB">
    <w:pPr>
      <w:pStyle w:val="Header"/>
    </w:pPr>
    <w:r>
      <w:t>Rosenblatt, Claude, and Manus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F14D4"/>
    <w:multiLevelType w:val="hybridMultilevel"/>
    <w:tmpl w:val="789A1260"/>
    <w:lvl w:ilvl="0" w:tplc="3260F3A4">
      <w:start w:val="1"/>
      <w:numFmt w:val="bullet"/>
      <w:lvlText w:val="●"/>
      <w:lvlJc w:val="left"/>
      <w:pPr>
        <w:ind w:left="720" w:hanging="360"/>
      </w:pPr>
    </w:lvl>
    <w:lvl w:ilvl="1" w:tplc="63A2A594">
      <w:start w:val="1"/>
      <w:numFmt w:val="bullet"/>
      <w:lvlText w:val="○"/>
      <w:lvlJc w:val="left"/>
      <w:pPr>
        <w:ind w:left="1440" w:hanging="360"/>
      </w:pPr>
    </w:lvl>
    <w:lvl w:ilvl="2" w:tplc="AB70624E">
      <w:start w:val="1"/>
      <w:numFmt w:val="bullet"/>
      <w:lvlText w:val="■"/>
      <w:lvlJc w:val="left"/>
      <w:pPr>
        <w:ind w:left="2160" w:hanging="360"/>
      </w:pPr>
    </w:lvl>
    <w:lvl w:ilvl="3" w:tplc="B58E86B8">
      <w:start w:val="1"/>
      <w:numFmt w:val="bullet"/>
      <w:lvlText w:val="●"/>
      <w:lvlJc w:val="left"/>
      <w:pPr>
        <w:ind w:left="2880" w:hanging="360"/>
      </w:pPr>
    </w:lvl>
    <w:lvl w:ilvl="4" w:tplc="C96E1D22">
      <w:start w:val="1"/>
      <w:numFmt w:val="bullet"/>
      <w:lvlText w:val="○"/>
      <w:lvlJc w:val="left"/>
      <w:pPr>
        <w:ind w:left="3600" w:hanging="360"/>
      </w:pPr>
    </w:lvl>
    <w:lvl w:ilvl="5" w:tplc="E1AACD14">
      <w:start w:val="1"/>
      <w:numFmt w:val="bullet"/>
      <w:lvlText w:val="■"/>
      <w:lvlJc w:val="left"/>
      <w:pPr>
        <w:ind w:left="4320" w:hanging="360"/>
      </w:pPr>
    </w:lvl>
    <w:lvl w:ilvl="6" w:tplc="0A3AD128">
      <w:start w:val="1"/>
      <w:numFmt w:val="bullet"/>
      <w:lvlText w:val="●"/>
      <w:lvlJc w:val="left"/>
      <w:pPr>
        <w:ind w:left="5040" w:hanging="360"/>
      </w:pPr>
    </w:lvl>
    <w:lvl w:ilvl="7" w:tplc="6DA0EC52">
      <w:start w:val="1"/>
      <w:numFmt w:val="bullet"/>
      <w:lvlText w:val="●"/>
      <w:lvlJc w:val="left"/>
      <w:pPr>
        <w:ind w:left="5760" w:hanging="360"/>
      </w:pPr>
    </w:lvl>
    <w:lvl w:ilvl="8" w:tplc="8DBCF96C">
      <w:start w:val="1"/>
      <w:numFmt w:val="bullet"/>
      <w:lvlText w:val="●"/>
      <w:lvlJc w:val="left"/>
      <w:pPr>
        <w:ind w:left="6480" w:hanging="360"/>
      </w:pPr>
    </w:lvl>
  </w:abstractNum>
  <w:abstractNum w:abstractNumId="1" w15:restartNumberingAfterBreak="0">
    <w:nsid w:val="7BF5458A"/>
    <w:multiLevelType w:val="hybridMultilevel"/>
    <w:tmpl w:val="1F6CE616"/>
    <w:lvl w:ilvl="0" w:tplc="69126B2C">
      <w:start w:val="1"/>
      <w:numFmt w:val="bullet"/>
      <w:lvlText w:val="•"/>
      <w:lvlJc w:val="left"/>
      <w:pPr>
        <w:ind w:left="440" w:hanging="280"/>
      </w:pPr>
      <w:rPr>
        <w:rFonts w:ascii="Arial" w:eastAsia="Arial" w:hAnsi="Arial" w:cs="Arial"/>
        <w:color w:val="404040"/>
        <w:sz w:val="20"/>
        <w:szCs w:val="20"/>
      </w:rPr>
    </w:lvl>
    <w:lvl w:ilvl="1" w:tplc="0530600C">
      <w:numFmt w:val="decimal"/>
      <w:lvlText w:val=""/>
      <w:lvlJc w:val="left"/>
    </w:lvl>
    <w:lvl w:ilvl="2" w:tplc="1FD247A2">
      <w:numFmt w:val="decimal"/>
      <w:lvlText w:val=""/>
      <w:lvlJc w:val="left"/>
    </w:lvl>
    <w:lvl w:ilvl="3" w:tplc="7B62D37E">
      <w:numFmt w:val="decimal"/>
      <w:lvlText w:val=""/>
      <w:lvlJc w:val="left"/>
    </w:lvl>
    <w:lvl w:ilvl="4" w:tplc="43104E30">
      <w:numFmt w:val="decimal"/>
      <w:lvlText w:val=""/>
      <w:lvlJc w:val="left"/>
    </w:lvl>
    <w:lvl w:ilvl="5" w:tplc="1B0AC47E">
      <w:numFmt w:val="decimal"/>
      <w:lvlText w:val=""/>
      <w:lvlJc w:val="left"/>
    </w:lvl>
    <w:lvl w:ilvl="6" w:tplc="CF8E3166">
      <w:numFmt w:val="decimal"/>
      <w:lvlText w:val=""/>
      <w:lvlJc w:val="left"/>
    </w:lvl>
    <w:lvl w:ilvl="7" w:tplc="9DF64C66">
      <w:numFmt w:val="decimal"/>
      <w:lvlText w:val=""/>
      <w:lvlJc w:val="left"/>
    </w:lvl>
    <w:lvl w:ilvl="8" w:tplc="38E61F8C">
      <w:numFmt w:val="decimal"/>
      <w:lvlText w:val=""/>
      <w:lvlJc w:val="left"/>
    </w:lvl>
  </w:abstractNum>
  <w:num w:numId="1" w16cid:durableId="1669745919">
    <w:abstractNumId w:val="0"/>
    <w:lvlOverride w:ilvl="0">
      <w:startOverride w:val="1"/>
    </w:lvlOverride>
  </w:num>
  <w:num w:numId="2" w16cid:durableId="90264035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848"/>
    <w:rsid w:val="001522DB"/>
    <w:rsid w:val="001F1C95"/>
    <w:rsid w:val="004F411E"/>
    <w:rsid w:val="00675FA9"/>
    <w:rsid w:val="009E5848"/>
    <w:rsid w:val="00A9629E"/>
    <w:rsid w:val="00E82B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E5BF5B"/>
  <w15:docId w15:val="{48DEFE7E-2819-0045-A253-1A8CEEEE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404040"/>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idebarTitle">
    <w:name w:val="Sidebar Title"/>
    <w:pPr>
      <w:spacing w:after="120"/>
    </w:pPr>
    <w:rPr>
      <w:b/>
      <w:bCs/>
      <w:color w:val="1F3864"/>
      <w:sz w:val="28"/>
      <w:szCs w:val="28"/>
    </w:rPr>
  </w:style>
  <w:style w:type="paragraph" w:customStyle="1" w:styleId="SidebarSubhead">
    <w:name w:val="Sidebar Subhead"/>
    <w:pPr>
      <w:spacing w:before="200" w:after="60"/>
    </w:pPr>
    <w:rPr>
      <w:b/>
      <w:bCs/>
      <w:color w:val="2E75B6"/>
      <w:sz w:val="22"/>
      <w:szCs w:val="22"/>
    </w:rPr>
  </w:style>
  <w:style w:type="paragraph" w:styleId="Header">
    <w:name w:val="header"/>
    <w:basedOn w:val="Normal"/>
    <w:link w:val="HeaderChar"/>
    <w:uiPriority w:val="99"/>
    <w:unhideWhenUsed/>
    <w:rsid w:val="001522DB"/>
    <w:pPr>
      <w:tabs>
        <w:tab w:val="center" w:pos="4680"/>
        <w:tab w:val="right" w:pos="9360"/>
      </w:tabs>
    </w:pPr>
  </w:style>
  <w:style w:type="character" w:customStyle="1" w:styleId="HeaderChar">
    <w:name w:val="Header Char"/>
    <w:basedOn w:val="DefaultParagraphFont"/>
    <w:link w:val="Header"/>
    <w:uiPriority w:val="99"/>
    <w:rsid w:val="001522DB"/>
  </w:style>
  <w:style w:type="paragraph" w:styleId="Footer">
    <w:name w:val="footer"/>
    <w:basedOn w:val="Normal"/>
    <w:link w:val="FooterChar"/>
    <w:uiPriority w:val="99"/>
    <w:unhideWhenUsed/>
    <w:rsid w:val="001522DB"/>
    <w:pPr>
      <w:tabs>
        <w:tab w:val="center" w:pos="4680"/>
        <w:tab w:val="right" w:pos="9360"/>
      </w:tabs>
    </w:pPr>
  </w:style>
  <w:style w:type="character" w:customStyle="1" w:styleId="FooterChar">
    <w:name w:val="Footer Char"/>
    <w:basedOn w:val="DefaultParagraphFont"/>
    <w:link w:val="Footer"/>
    <w:uiPriority w:val="99"/>
    <w:rsid w:val="001522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1710</Words>
  <Characters>10553</Characters>
  <Application>Microsoft Office Word</Application>
  <DocSecurity>0</DocSecurity>
  <Lines>152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Mark Rosenblatt</cp:lastModifiedBy>
  <cp:revision>2</cp:revision>
  <dcterms:created xsi:type="dcterms:W3CDTF">2026-03-30T18:34:00Z</dcterms:created>
  <dcterms:modified xsi:type="dcterms:W3CDTF">2026-03-30T18:34:00Z</dcterms:modified>
</cp:coreProperties>
</file>