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91537" w14:textId="77777777" w:rsidR="00ED6964" w:rsidRPr="00ED6964" w:rsidRDefault="00ED6964" w:rsidP="00ED6964">
      <w:r w:rsidRPr="00ED6964">
        <w:rPr>
          <w:b/>
          <w:bCs/>
        </w:rPr>
        <w:t>THE DEEP RESEARCH INNOVATION PIPELINE CRISIS</w:t>
      </w:r>
    </w:p>
    <w:p w14:paraId="59CFB85E" w14:textId="77777777" w:rsidR="00ED6964" w:rsidRPr="00ED6964" w:rsidRDefault="00ED6964" w:rsidP="00ED6964">
      <w:r w:rsidRPr="00ED6964">
        <w:rPr>
          <w:i/>
          <w:iCs/>
        </w:rPr>
        <w:t>A Structural Diagnosis for American Manufacturing Competitiveness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D6964" w:rsidRPr="00ED6964" w14:paraId="1E67386A" w14:textId="77777777" w:rsidTr="0040156E">
        <w:tblPrEx>
          <w:tblCellMar>
            <w:top w:w="0" w:type="dxa"/>
            <w:bottom w:w="0" w:type="dxa"/>
          </w:tblCellMar>
        </w:tblPrEx>
        <w:tc>
          <w:tcPr>
            <w:tcW w:w="9360" w:type="dxa"/>
            <w:tcBorders>
              <w:top w:val="single" w:sz="1" w:space="0" w:color="2E75B6"/>
              <w:left w:val="thick" w:sz="24" w:space="0" w:color="2E75B6"/>
              <w:bottom w:val="single" w:sz="1" w:space="0" w:color="2E75B6"/>
              <w:right w:val="single" w:sz="1" w:space="0" w:color="2E75B6"/>
            </w:tcBorders>
            <w:shd w:val="clear" w:color="auto" w:fill="EBF3FB"/>
            <w:tcMar>
              <w:top w:w="140" w:type="dxa"/>
              <w:left w:w="200" w:type="dxa"/>
              <w:bottom w:w="140" w:type="dxa"/>
              <w:right w:w="200" w:type="dxa"/>
            </w:tcMar>
          </w:tcPr>
          <w:p w14:paraId="10E0E2BD" w14:textId="77777777" w:rsidR="00ED6964" w:rsidRPr="00ED6964" w:rsidRDefault="00ED6964" w:rsidP="00ED6964">
            <w:r w:rsidRPr="00ED6964">
              <w:rPr>
                <w:i/>
                <w:iCs/>
              </w:rPr>
              <w:t>Federal R&amp;D is fragmented, underfunded, and losing workforce. But the crisis runs deeper. The pipeline from basic research to commercial production has fractured at every joint — the valley of death, the translation gap, the loss of tacit knowledge, and the absence of a permanent institutional funding mechanism. This document maps the full architecture of that failure.</w:t>
            </w:r>
          </w:p>
        </w:tc>
      </w:tr>
    </w:tbl>
    <w:p w14:paraId="78EC067B" w14:textId="77777777" w:rsidR="00ED6964" w:rsidRPr="00ED6964" w:rsidRDefault="00ED6964" w:rsidP="00ED6964"/>
    <w:p w14:paraId="11C1A3EF" w14:textId="77777777" w:rsidR="00ED6964" w:rsidRPr="00ED6964" w:rsidRDefault="00ED6964" w:rsidP="00ED6964">
      <w:pPr>
        <w:rPr>
          <w:b/>
          <w:bCs/>
        </w:rPr>
      </w:pPr>
      <w:r w:rsidRPr="00ED6964">
        <w:rPr>
          <w:b/>
          <w:bCs/>
        </w:rPr>
        <w:t>1.  Federal Funding: The Visible Problem</w:t>
      </w:r>
    </w:p>
    <w:p w14:paraId="4CBAB60E" w14:textId="77777777" w:rsidR="00ED6964" w:rsidRPr="00ED6964" w:rsidRDefault="00ED6964" w:rsidP="00ED6964">
      <w:r w:rsidRPr="00ED6964">
        <w:t>Federal R&amp;D is fragmented across DOE, NSF, DARPA, NIH, NIST, and the DoD laboratory system with poor cross-agency coordination. Funding cuts driven by DOGE, sequestration legacy, and the chronic dysfunction of continuing resolutions have compounded the problem.</w:t>
      </w:r>
      <w:r w:rsidRPr="00ED6964">
        <w:rPr>
          <w:vertAlign w:val="superscript"/>
        </w:rPr>
        <w:footnoteReference w:id="1"/>
      </w:r>
      <w:r w:rsidRPr="00ED6964">
        <w:t xml:space="preserve"> Workforce reductions are eliminating the institutional memory that no budget line can replace.</w:t>
      </w:r>
    </w:p>
    <w:p w14:paraId="31E713B3" w14:textId="77777777" w:rsidR="00ED6964" w:rsidRPr="00ED6964" w:rsidRDefault="00ED6964" w:rsidP="00ED6964">
      <w:r w:rsidRPr="00ED6964">
        <w:t>This is the widely understood problem. The deeper failures are structural. They persist regardless of the appropriations cycle, congressional briefings and hearings, and which party sits in the White House.</w:t>
      </w:r>
    </w:p>
    <w:p w14:paraId="08EB80FD" w14:textId="77777777" w:rsidR="00ED6964" w:rsidRPr="00ED6964" w:rsidRDefault="00ED6964" w:rsidP="00ED6964">
      <w:pPr>
        <w:rPr>
          <w:b/>
          <w:bCs/>
        </w:rPr>
      </w:pPr>
      <w:r w:rsidRPr="00ED6964">
        <w:rPr>
          <w:b/>
          <w:bCs/>
        </w:rPr>
        <w:t>2.  The Valley of Death Has Widened Catastrophically</w:t>
      </w:r>
    </w:p>
    <w:p w14:paraId="4DC01DE9" w14:textId="77777777" w:rsidR="00ED6964" w:rsidRPr="00ED6964" w:rsidRDefault="00ED6964" w:rsidP="00ED6964">
      <w:r w:rsidRPr="00ED6964">
        <w:t>TRL 3 through TRL 6, the journey from applied research to demonstrated prototype, is now almost entirely unfunded.</w:t>
      </w:r>
      <w:r w:rsidRPr="00ED6964">
        <w:rPr>
          <w:vertAlign w:val="superscript"/>
        </w:rPr>
        <w:footnoteReference w:id="2"/>
      </w:r>
      <w:r w:rsidRPr="00ED6964">
        <w:t xml:space="preserve"> DARPA handles early-stage discovery; DoD acquisition handles </w:t>
      </w:r>
      <w:r w:rsidRPr="00ED6964">
        <w:lastRenderedPageBreak/>
        <w:t xml:space="preserve">late-stage procurement. The middle, where manufacturing process innovation </w:t>
      </w:r>
      <w:proofErr w:type="gramStart"/>
      <w:r w:rsidRPr="00ED6964">
        <w:t>actually happens</w:t>
      </w:r>
      <w:proofErr w:type="gramEnd"/>
      <w:r w:rsidRPr="00ED6964">
        <w:t>, is a graveyard.</w:t>
      </w:r>
    </w:p>
    <w:p w14:paraId="5E484FBB" w14:textId="77777777" w:rsidR="00ED6964" w:rsidRPr="00ED6964" w:rsidRDefault="00ED6964" w:rsidP="00ED6964">
      <w:r w:rsidRPr="00ED6964">
        <w:t>Germany confronted this problem decades ago and built the Fraunhofer Institute system explicitly to bridge it. Fraunhofer runs on roughly €3.6 billion per year across 75 institutes, co-located with industry, explicitly mandated to translate research into production-ready technology.</w:t>
      </w:r>
      <w:r w:rsidRPr="00ED6964">
        <w:rPr>
          <w:vertAlign w:val="superscript"/>
        </w:rPr>
        <w:footnoteReference w:id="3"/>
      </w:r>
    </w:p>
    <w:p w14:paraId="17279BD7" w14:textId="77777777" w:rsidR="00ED6964" w:rsidRPr="00ED6964" w:rsidRDefault="00ED6964" w:rsidP="00ED6964">
      <w:r w:rsidRPr="00ED6964">
        <w:t>The United States has Manufacturing USA. These 17 institutes</w:t>
      </w:r>
      <w:r w:rsidRPr="00ED6964">
        <w:rPr>
          <w:vertAlign w:val="superscript"/>
        </w:rPr>
        <w:footnoteReference w:id="4"/>
      </w:r>
      <w:r w:rsidRPr="00ED6964">
        <w:t xml:space="preserve"> are structurally dependent on private cost-share requirements</w:t>
      </w:r>
      <w:r w:rsidRPr="00ED6964">
        <w:rPr>
          <w:vertAlign w:val="superscript"/>
        </w:rPr>
        <w:footnoteReference w:id="5"/>
      </w:r>
      <w:r w:rsidRPr="00ED6964">
        <w:t xml:space="preserve"> and non-baseline federal funding that has proven volatile across budget cycles.</w:t>
      </w:r>
      <w:r w:rsidRPr="00ED6964">
        <w:rPr>
          <w:vertAlign w:val="superscript"/>
        </w:rPr>
        <w:footnoteReference w:id="6"/>
      </w:r>
      <w:r w:rsidRPr="00ED6964">
        <w:t xml:space="preserve"> The Manufacturing Extension Partnership (MEP), NIST’s SME-facing program, was funded at approximately $175 million annually — a level the administration’s FY2026 budget proposes to eliminate entirely.</w:t>
      </w:r>
      <w:r w:rsidRPr="00ED6964">
        <w:rPr>
          <w:vertAlign w:val="superscript"/>
        </w:rPr>
        <w:footnoteReference w:id="7"/>
      </w:r>
      <w:r w:rsidRPr="00ED6964">
        <w:t xml:space="preserve"> Compared with Germany’s and South Korea’s public manufacturing R&amp;D budgets, which are nearly 5 and 7.5 times </w:t>
      </w:r>
      <w:r w:rsidRPr="00ED6964">
        <w:lastRenderedPageBreak/>
        <w:t>larger than the U.S. equivalent despite those economies being 5 and 12 times smaller,</w:t>
      </w:r>
      <w:r w:rsidRPr="00ED6964">
        <w:rPr>
          <w:vertAlign w:val="superscript"/>
        </w:rPr>
        <w:footnoteReference w:id="8"/>
      </w:r>
      <w:r w:rsidRPr="00ED6964">
        <w:rPr>
          <w:vertAlign w:val="superscript"/>
        </w:rPr>
        <w:footnoteReference w:id="9"/>
      </w:r>
      <w:r w:rsidRPr="00ED6964">
        <w:t xml:space="preserve"> the mismatch is not marginal; it is categorical.</w:t>
      </w:r>
    </w:p>
    <w:p w14:paraId="659257F3" w14:textId="77777777" w:rsidR="00ED6964" w:rsidRPr="00ED6964" w:rsidRDefault="00ED6964" w:rsidP="00ED6964">
      <w:pPr>
        <w:rPr>
          <w:b/>
          <w:bCs/>
        </w:rPr>
      </w:pPr>
      <w:r w:rsidRPr="00ED6964">
        <w:rPr>
          <w:b/>
          <w:bCs/>
        </w:rPr>
        <w:t>3.  The Publication-to-Production Disconnect</w:t>
      </w:r>
    </w:p>
    <w:p w14:paraId="3A45051B" w14:textId="77777777" w:rsidR="00ED6964" w:rsidRPr="00ED6964" w:rsidRDefault="00ED6964" w:rsidP="00ED6964">
      <w:r w:rsidRPr="00ED6964">
        <w:t>American universities still produce world-class basic research. The translation pathway to domestic manufacturing, however, is broken.</w:t>
      </w:r>
    </w:p>
    <w:p w14:paraId="04E1B202" w14:textId="77777777" w:rsidR="00ED6964" w:rsidRPr="00ED6964" w:rsidRDefault="00ED6964" w:rsidP="00ED6964">
      <w:r w:rsidRPr="00ED6964">
        <w:t>China runs technology transfer as national strategy.</w:t>
      </w:r>
      <w:r w:rsidRPr="00ED6964">
        <w:rPr>
          <w:vertAlign w:val="superscript"/>
        </w:rPr>
        <w:footnoteReference w:id="10"/>
      </w:r>
      <w:r w:rsidRPr="00ED6964">
        <w:t xml:space="preserve"> It operates as state-directed capital moves from university IP into domestic production at scale. American technology transfer offices are structured as IP-monetization shops: their incentive is licensing fees and startup formation, not building domestic production capacity.</w:t>
      </w:r>
    </w:p>
    <w:p w14:paraId="617697FE" w14:textId="77777777" w:rsidR="00ED6964" w:rsidRPr="00ED6964" w:rsidRDefault="00ED6964" w:rsidP="00ED6964">
      <w:r w:rsidRPr="00ED6964">
        <w:t>The result is a pattern that has repeated across semiconductor equipment, solar panels, battery technology, and advanced materials: U.S.-originated intellectual property, Chinese-manufactured product.</w:t>
      </w:r>
    </w:p>
    <w:p w14:paraId="1DB1DDFE" w14:textId="77777777" w:rsidR="00ED6964" w:rsidRPr="00ED6964" w:rsidRDefault="00ED6964" w:rsidP="00ED6964">
      <w:pPr>
        <w:rPr>
          <w:b/>
          <w:bCs/>
        </w:rPr>
      </w:pPr>
      <w:r w:rsidRPr="00ED6964">
        <w:rPr>
          <w:b/>
          <w:bCs/>
        </w:rPr>
        <w:t>4.  Graduate Pipeline Composition</w:t>
      </w:r>
    </w:p>
    <w:p w14:paraId="4B9E1045" w14:textId="77777777" w:rsidR="00ED6964" w:rsidRPr="00ED6964" w:rsidRDefault="00ED6964" w:rsidP="00ED6964">
      <w:r w:rsidRPr="00ED6964">
        <w:t>Approximately 55–60 percent of U.S. STEM doctoral candidates in engineering and computer science are foreign nationals.</w:t>
      </w:r>
      <w:r w:rsidRPr="00ED6964">
        <w:rPr>
          <w:vertAlign w:val="superscript"/>
        </w:rPr>
        <w:footnoteReference w:id="11"/>
      </w:r>
      <w:r w:rsidRPr="00ED6964">
        <w:t xml:space="preserve"> Most return home upon graduation or take positions at multinational firms. This is not an argument against open academic institutions — it is a structural observation about where manufacturing knowledge spillovers accrue.</w:t>
      </w:r>
    </w:p>
    <w:p w14:paraId="09E30D59" w14:textId="77777777" w:rsidR="00ED6964" w:rsidRPr="00ED6964" w:rsidRDefault="00ED6964" w:rsidP="00ED6964">
      <w:r w:rsidRPr="00ED6964">
        <w:lastRenderedPageBreak/>
        <w:t xml:space="preserve">Germany and South Korea have </w:t>
      </w:r>
      <w:proofErr w:type="gramStart"/>
      <w:r w:rsidRPr="00ED6964">
        <w:t>deliberate</w:t>
      </w:r>
      <w:proofErr w:type="gramEnd"/>
      <w:r w:rsidRPr="00ED6964">
        <w:t xml:space="preserve"> workforce policies designed to retain this talent within domestic industrial firms. American industrial policy has no analog mechanism. We are subsidizing the formation of the world’s engineering talent base without capturing the domestic production knowledge that should follow.</w:t>
      </w:r>
    </w:p>
    <w:p w14:paraId="6683C07C" w14:textId="77777777" w:rsidR="00ED6964" w:rsidRPr="00ED6964" w:rsidRDefault="00ED6964" w:rsidP="00ED6964">
      <w:pPr>
        <w:rPr>
          <w:b/>
          <w:bCs/>
        </w:rPr>
      </w:pPr>
      <w:r w:rsidRPr="00ED6964">
        <w:rPr>
          <w:b/>
          <w:bCs/>
        </w:rPr>
        <w:t xml:space="preserve">5.  Tacit Knowledge Is Not Recoverable </w:t>
      </w:r>
      <w:proofErr w:type="gramStart"/>
      <w:r w:rsidRPr="00ED6964">
        <w:rPr>
          <w:b/>
          <w:bCs/>
        </w:rPr>
        <w:t>From</w:t>
      </w:r>
      <w:proofErr w:type="gramEnd"/>
      <w:r w:rsidRPr="00ED6964">
        <w:rPr>
          <w:b/>
          <w:bCs/>
        </w:rPr>
        <w:t xml:space="preserve"> Literature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D6964" w:rsidRPr="00ED6964" w14:paraId="230581CB" w14:textId="77777777" w:rsidTr="0040156E">
        <w:tblPrEx>
          <w:tblCellMar>
            <w:top w:w="0" w:type="dxa"/>
            <w:bottom w:w="0" w:type="dxa"/>
          </w:tblCellMar>
        </w:tblPrEx>
        <w:tc>
          <w:tcPr>
            <w:tcW w:w="9360" w:type="dxa"/>
            <w:tcBorders>
              <w:top w:val="single" w:sz="1" w:space="0" w:color="2E75B6"/>
              <w:left w:val="thick" w:sz="24" w:space="0" w:color="2E75B6"/>
              <w:bottom w:val="single" w:sz="1" w:space="0" w:color="2E75B6"/>
              <w:right w:val="single" w:sz="1" w:space="0" w:color="2E75B6"/>
            </w:tcBorders>
            <w:shd w:val="clear" w:color="auto" w:fill="EBF3FB"/>
            <w:tcMar>
              <w:top w:w="140" w:type="dxa"/>
              <w:left w:w="200" w:type="dxa"/>
              <w:bottom w:w="140" w:type="dxa"/>
              <w:right w:w="200" w:type="dxa"/>
            </w:tcMar>
          </w:tcPr>
          <w:p w14:paraId="677C34E1" w14:textId="77777777" w:rsidR="00ED6964" w:rsidRPr="00ED6964" w:rsidRDefault="00ED6964" w:rsidP="00ED6964">
            <w:r w:rsidRPr="00ED6964">
              <w:rPr>
                <w:i/>
                <w:iCs/>
              </w:rPr>
              <w:t xml:space="preserve">This is the most underappreciated dimension of manufacturing decline. Tacit manufacturing knowledge — the expertise that lives in the hands and minds of experienced process engineers — cannot be reconstructed from patents or academic papers once the production line closes. When a fab shuts down, when a foundry goes dark, the embodied knowledge of how to </w:t>
            </w:r>
            <w:proofErr w:type="gramStart"/>
            <w:r w:rsidRPr="00ED6964">
              <w:rPr>
                <w:i/>
                <w:iCs/>
              </w:rPr>
              <w:t>actually make</w:t>
            </w:r>
            <w:proofErr w:type="gramEnd"/>
            <w:r w:rsidRPr="00ED6964">
              <w:rPr>
                <w:i/>
                <w:iCs/>
              </w:rPr>
              <w:t xml:space="preserve"> things walks out the door and does not come back.</w:t>
            </w:r>
          </w:p>
        </w:tc>
      </w:tr>
    </w:tbl>
    <w:p w14:paraId="25510B5C" w14:textId="77777777" w:rsidR="00ED6964" w:rsidRPr="00ED6964" w:rsidRDefault="00ED6964" w:rsidP="00ED6964"/>
    <w:p w14:paraId="312D8E42" w14:textId="77777777" w:rsidR="00ED6964" w:rsidRPr="00ED6964" w:rsidRDefault="00ED6964" w:rsidP="00ED6964">
      <w:r w:rsidRPr="00ED6964">
        <w:t>This is the industrial commons argument developed by Pisano and Shih</w:t>
      </w:r>
      <w:r w:rsidRPr="00ED6964">
        <w:rPr>
          <w:vertAlign w:val="superscript"/>
        </w:rPr>
        <w:footnoteReference w:id="12"/>
      </w:r>
      <w:r w:rsidRPr="00ED6964">
        <w:t xml:space="preserve">: the feedback loop between researchers and manufacturers is not incidental to innovation — it is the mechanism. Researchers learn what problems </w:t>
      </w:r>
      <w:proofErr w:type="gramStart"/>
      <w:r w:rsidRPr="00ED6964">
        <w:t>actually need</w:t>
      </w:r>
      <w:proofErr w:type="gramEnd"/>
      <w:r w:rsidRPr="00ED6964">
        <w:t xml:space="preserve"> solving by proximity to production. Sever the production base, and the research agenda drifts toward problems that are publishable but not industrially decisive.</w:t>
      </w:r>
    </w:p>
    <w:p w14:paraId="3BB7388B" w14:textId="77777777" w:rsidR="00ED6964" w:rsidRPr="00ED6964" w:rsidRDefault="00ED6964" w:rsidP="00ED6964">
      <w:r w:rsidRPr="00ED6964">
        <w:t>The United States has been systematically severing this feedback loop for forty years. No amount of basic research funding can substitute for it.</w:t>
      </w:r>
    </w:p>
    <w:p w14:paraId="7F00F9AB" w14:textId="77777777" w:rsidR="00ED6964" w:rsidRPr="00ED6964" w:rsidRDefault="00ED6964" w:rsidP="00ED6964">
      <w:pPr>
        <w:rPr>
          <w:b/>
          <w:bCs/>
        </w:rPr>
      </w:pPr>
      <w:r w:rsidRPr="00ED6964">
        <w:rPr>
          <w:b/>
          <w:bCs/>
        </w:rPr>
        <w:t>6.  NIST Is Structurally Underpowered</w:t>
      </w:r>
    </w:p>
    <w:p w14:paraId="637718C5" w14:textId="77777777" w:rsidR="00ED6964" w:rsidRPr="00ED6964" w:rsidRDefault="00ED6964" w:rsidP="00ED6964">
      <w:r w:rsidRPr="00ED6964">
        <w:t>NIST performs indispensable metrology and standards work, but it lacks the scale and mandate to function as an industrial research engine. Its laboratory programs are chronically constrained; its MEP budget is a rounding error relative to comparable institutions in peer economies.</w:t>
      </w:r>
      <w:r w:rsidRPr="00ED6964">
        <w:rPr>
          <w:vertAlign w:val="superscript"/>
        </w:rPr>
        <w:footnoteReference w:id="13"/>
      </w:r>
    </w:p>
    <w:p w14:paraId="6AFE1CF3" w14:textId="77777777" w:rsidR="00ED6964" w:rsidRPr="00ED6964" w:rsidRDefault="00ED6964" w:rsidP="00ED6964">
      <w:r w:rsidRPr="00ED6964">
        <w:lastRenderedPageBreak/>
        <w:t>NIST is also now absorbing staffing reductions at precisely the moment when standards competition is most acute.</w:t>
      </w:r>
      <w:r w:rsidRPr="00ED6964">
        <w:rPr>
          <w:vertAlign w:val="superscript"/>
        </w:rPr>
        <w:footnoteReference w:id="14"/>
      </w:r>
      <w:r w:rsidRPr="00ED6964">
        <w:t xml:space="preserve"> In 6G, AI, quantum computing, and advanced materials, international standards bodies are where research gets operationalized into the industrial architecture of the next decade. Losing ground at NIST is losing ground in those forums.</w:t>
      </w:r>
    </w:p>
    <w:p w14:paraId="31A978E2" w14:textId="77777777" w:rsidR="00ED6964" w:rsidRPr="00ED6964" w:rsidRDefault="00ED6964" w:rsidP="00ED6964">
      <w:pPr>
        <w:rPr>
          <w:b/>
          <w:bCs/>
        </w:rPr>
      </w:pPr>
      <w:r w:rsidRPr="00ED6964">
        <w:rPr>
          <w:b/>
          <w:bCs/>
        </w:rPr>
        <w:t xml:space="preserve">7.  The CHIPS Act Is a Bolus, </w:t>
      </w:r>
      <w:proofErr w:type="gramStart"/>
      <w:r w:rsidRPr="00ED6964">
        <w:rPr>
          <w:b/>
          <w:bCs/>
        </w:rPr>
        <w:t>Not</w:t>
      </w:r>
      <w:proofErr w:type="gramEnd"/>
      <w:r w:rsidRPr="00ED6964">
        <w:rPr>
          <w:b/>
          <w:bCs/>
        </w:rPr>
        <w:t xml:space="preserve"> a Bloodstream</w:t>
      </w:r>
    </w:p>
    <w:p w14:paraId="4D8F5170" w14:textId="77777777" w:rsidR="00ED6964" w:rsidRPr="00ED6964" w:rsidRDefault="00ED6964" w:rsidP="00ED6964">
      <w:r w:rsidRPr="00ED6964">
        <w:t>The CHIPS and Science Act was a necessary and consequential intervention. It was not a system. CHIPS originally funded only semiconductor fabrication facilities but not the surrounding ecosystem, tool manufacturers, specialty chemical suppliers, advanced packaging capability, or the workforce pipeline those facilities require. It has now been amended to do so.</w:t>
      </w:r>
    </w:p>
    <w:p w14:paraId="0E341FA4" w14:textId="77777777" w:rsidR="00ED6964" w:rsidRPr="00ED6964" w:rsidRDefault="00ED6964" w:rsidP="00ED6964">
      <w:r w:rsidRPr="00ED6964">
        <w:t>More fundamentally, CHIPS has no programmatic successor. It is a one-time capital injection with no permanent institutional home and no follow-on funding mechanism. The absence of a standing manufacturing finance institution, a KfW-analog, a Fannie Mae for industrial capital means this intervention has no multiplier and no continuity.</w:t>
      </w:r>
    </w:p>
    <w:p w14:paraId="00AE83EA" w14:textId="77777777" w:rsidR="00ED6964" w:rsidRPr="00ED6964" w:rsidRDefault="00ED6964" w:rsidP="00ED6964">
      <w:pPr>
        <w:rPr>
          <w:b/>
          <w:bCs/>
        </w:rPr>
      </w:pPr>
      <w:r w:rsidRPr="00ED6964">
        <w:rPr>
          <w:b/>
          <w:bCs/>
        </w:rPr>
        <w:t>8.  Defense Laboratory Atrophy</w:t>
      </w:r>
    </w:p>
    <w:p w14:paraId="4207575D" w14:textId="77777777" w:rsidR="00ED6964" w:rsidRPr="00ED6964" w:rsidRDefault="00ED6964" w:rsidP="00ED6964">
      <w:r w:rsidRPr="00ED6964">
        <w:t>The national laboratories (Lincoln, Sandia, Lawrence Livermore, the Army Research Laboratory, and others) were once direct feeders of manufacturing technology into private industry. That linkage has frayed substantially.</w:t>
      </w:r>
      <w:r w:rsidRPr="00ED6964">
        <w:rPr>
          <w:vertAlign w:val="superscript"/>
        </w:rPr>
        <w:footnoteReference w:id="15"/>
      </w:r>
    </w:p>
    <w:p w14:paraId="2EAF5CD6" w14:textId="77777777" w:rsidR="00ED6964" w:rsidRPr="00ED6964" w:rsidRDefault="00ED6964" w:rsidP="00ED6964">
      <w:r w:rsidRPr="00ED6964">
        <w:t xml:space="preserve">ITAR and export control restrictions, increasing classification barriers, and the labs’ structural drift toward simulation and modeling over physical experimentation have reduced their role as manufacturing technology incubators. The Arsenal of Democracy </w:t>
      </w:r>
      <w:r w:rsidRPr="00ED6964">
        <w:lastRenderedPageBreak/>
        <w:t>model assumed tight coupling between government laboratories and private manufacturers. That coupling is now largely ceremonial.</w:t>
      </w:r>
    </w:p>
    <w:p w14:paraId="188938B7" w14:textId="77777777" w:rsidR="00ED6964" w:rsidRPr="00ED6964" w:rsidRDefault="00ED6964" w:rsidP="00ED6964">
      <w:pPr>
        <w:rPr>
          <w:b/>
          <w:bCs/>
        </w:rPr>
      </w:pPr>
      <w:r w:rsidRPr="00ED6964">
        <w:rPr>
          <w:b/>
          <w:bCs/>
        </w:rPr>
        <w:t>9.  Standards as Research Output: A Race We Are Losing</w:t>
      </w:r>
    </w:p>
    <w:p w14:paraId="63517615" w14:textId="77777777" w:rsidR="00ED6964" w:rsidRPr="00ED6964" w:rsidRDefault="00ED6964" w:rsidP="00ED6964">
      <w:r w:rsidRPr="00ED6964">
        <w:t>International standards bodies, 3GPP, ISO, IEC, are where research gets operationalized into industrial reality. Whoever shapes the standard shapes the supply chain, the infrastructure buildout, and the terms of technology competition for the following decade.</w:t>
      </w:r>
    </w:p>
    <w:p w14:paraId="472BE6E9" w14:textId="77777777" w:rsidR="00ED6964" w:rsidRPr="00ED6964" w:rsidRDefault="00ED6964" w:rsidP="00ED6964">
      <w:r w:rsidRPr="00ED6964">
        <w:t>Huawei leads all companies in technical contributions submitted to 3GPP and in 5G declared patent families. Chinese entities collectively, Huawei, ZTE, China Mobile, and CICT, represent the largest national bloc of standards contributors.</w:t>
      </w:r>
      <w:r w:rsidRPr="00ED6964">
        <w:rPr>
          <w:vertAlign w:val="superscript"/>
        </w:rPr>
        <w:footnoteReference w:id="16"/>
      </w:r>
      <w:r w:rsidRPr="00ED6964">
        <w:t xml:space="preserve"> This is not an accident; it is the downstream consequence of a deliberate strategy to link university research, state-directed enterprise investment, and standards participation into a single national effort.</w:t>
      </w:r>
    </w:p>
    <w:p w14:paraId="7A4645F8" w14:textId="77777777" w:rsidR="00ED6964" w:rsidRPr="00ED6964" w:rsidRDefault="00ED6964" w:rsidP="00ED6964">
      <w:r w:rsidRPr="00ED6964">
        <w:t>Research that does not end up in international standards is research that does not determine who builds the next generation of communications infrastructure, energy management systems, or autonomous industrial platforms. The 5G experience shows Huawei’s standards dominance preceded its infrastructure dominance. It is the template for 6G. The 2027 standards-lock deadline is a hard constraint, not a planning assumption.</w:t>
      </w:r>
      <w:r w:rsidRPr="00ED6964">
        <w:rPr>
          <w:vertAlign w:val="superscript"/>
        </w:rPr>
        <w:footnoteReference w:id="17"/>
      </w:r>
    </w:p>
    <w:p w14:paraId="74F72650" w14:textId="77777777" w:rsidR="00ED6964" w:rsidRPr="00ED6964" w:rsidRDefault="00ED6964" w:rsidP="00ED6964">
      <w:pPr>
        <w:rPr>
          <w:b/>
          <w:bCs/>
        </w:rPr>
      </w:pPr>
      <w:r w:rsidRPr="00ED6964">
        <w:rPr>
          <w:b/>
          <w:bCs/>
        </w:rPr>
        <w:t>10.  Risk Capital Has Abandoned Deep Tech</w:t>
      </w:r>
    </w:p>
    <w:p w14:paraId="4885C891" w14:textId="77777777" w:rsidR="00ED6964" w:rsidRPr="00ED6964" w:rsidRDefault="00ED6964" w:rsidP="00ED6964">
      <w:r w:rsidRPr="00ED6964">
        <w:t>Venture capital has systematically rotated toward software, AI applications, and SaaS. These asset classes have high capital efficiency and fund-lifecycle-compatible exit timelines. Hardware, advanced materials, and manufacturing process innovation require 10 to 15-year development horizons that are structurally incompatible with the standard VC fund model.</w:t>
      </w:r>
    </w:p>
    <w:p w14:paraId="4F6C461B" w14:textId="77777777" w:rsidR="00ED6964" w:rsidRPr="00ED6964" w:rsidRDefault="00ED6964" w:rsidP="00ED6964">
      <w:r w:rsidRPr="00ED6964">
        <w:lastRenderedPageBreak/>
        <w:t>The result is a market failure that is systematic and predictable: capital allocation has moved away from precisely the categories on which American manufacturing competitiveness depends: advanced semiconductors, novel structural materials, next-generation energy systems, process automation at scale.</w:t>
      </w:r>
    </w:p>
    <w:p w14:paraId="07CA5513" w14:textId="77777777" w:rsidR="00ED6964" w:rsidRPr="00ED6964" w:rsidRDefault="00ED6964" w:rsidP="00ED6964">
      <w:r w:rsidRPr="00ED6964">
        <w:t>Government must fill this gap not through discretionary grants, but through institutional mechanisms that can deploy patient capital at the scale required. The absence of such an institution is itself a policy choice, and it is compounding every other failure identified in this document.</w:t>
      </w:r>
    </w:p>
    <w:p w14:paraId="782E7684" w14:textId="77777777" w:rsidR="00ED6964" w:rsidRPr="00ED6964" w:rsidRDefault="00ED6964" w:rsidP="00ED6964">
      <w:pPr>
        <w:rPr>
          <w:b/>
          <w:bCs/>
        </w:rPr>
      </w:pPr>
      <w:r w:rsidRPr="00ED6964">
        <w:rPr>
          <w:b/>
          <w:bCs/>
        </w:rPr>
        <w:t>11.  China’s Structural Counterpart</w:t>
      </w:r>
    </w:p>
    <w:p w14:paraId="2985A422" w14:textId="77777777" w:rsidR="00ED6964" w:rsidRPr="00ED6964" w:rsidRDefault="00ED6964" w:rsidP="00ED6964">
      <w:r w:rsidRPr="00ED6964">
        <w:t>For every structural weakness identified above, there is a Chinese mirror-image strength that is intentional, resourced, and accelerating:</w:t>
      </w:r>
    </w:p>
    <w:p w14:paraId="06F681B3" w14:textId="77777777" w:rsidR="00ED6964" w:rsidRPr="00ED6964" w:rsidRDefault="00ED6964" w:rsidP="00ED6964">
      <w:pPr>
        <w:numPr>
          <w:ilvl w:val="0"/>
          <w:numId w:val="1"/>
        </w:numPr>
        <w:spacing w:after="160"/>
      </w:pPr>
      <w:r w:rsidRPr="00ED6964">
        <w:t>CATL built global battery dominance through state-directed capital deployed across a full decade of patient investment.</w:t>
      </w:r>
    </w:p>
    <w:p w14:paraId="39DA5F3C" w14:textId="77777777" w:rsidR="00ED6964" w:rsidRPr="00ED6964" w:rsidRDefault="00ED6964" w:rsidP="00ED6964">
      <w:pPr>
        <w:numPr>
          <w:ilvl w:val="0"/>
          <w:numId w:val="1"/>
        </w:numPr>
        <w:spacing w:after="160"/>
      </w:pPr>
      <w:r w:rsidRPr="00ED6964">
        <w:t>SMIC has been sustained through multiple technology cycles by state support that absorbs losses a private firm could not carry.</w:t>
      </w:r>
    </w:p>
    <w:p w14:paraId="098444E9" w14:textId="77777777" w:rsidR="00ED6964" w:rsidRPr="00ED6964" w:rsidRDefault="00ED6964" w:rsidP="00ED6964">
      <w:pPr>
        <w:numPr>
          <w:ilvl w:val="0"/>
          <w:numId w:val="1"/>
        </w:numPr>
        <w:spacing w:after="160"/>
      </w:pPr>
      <w:r w:rsidRPr="00ED6964">
        <w:t>Huawei operates a vertically integrated R&amp;D-to-production loop with over 113,000 employees in research and development. This is approximately 54 percent of its total workforce.</w:t>
      </w:r>
      <w:r w:rsidRPr="00ED6964">
        <w:rPr>
          <w:vertAlign w:val="superscript"/>
        </w:rPr>
        <w:footnoteReference w:id="18"/>
      </w:r>
    </w:p>
    <w:p w14:paraId="32545664" w14:textId="77777777" w:rsidR="00ED6964" w:rsidRPr="00ED6964" w:rsidRDefault="00ED6964" w:rsidP="00ED6964">
      <w:pPr>
        <w:numPr>
          <w:ilvl w:val="0"/>
          <w:numId w:val="1"/>
        </w:numPr>
        <w:spacing w:after="160"/>
      </w:pPr>
      <w:r w:rsidRPr="00ED6964">
        <w:t>Chinese universities have been explicitly restructured to feed IP into domestic production through state-controlled technology transfer mechanisms.</w:t>
      </w:r>
    </w:p>
    <w:p w14:paraId="6883198F" w14:textId="77777777" w:rsidR="00ED6964" w:rsidRPr="00ED6964" w:rsidRDefault="00ED6964" w:rsidP="00ED6964">
      <w:pPr>
        <w:numPr>
          <w:ilvl w:val="0"/>
          <w:numId w:val="1"/>
        </w:numPr>
        <w:spacing w:after="160"/>
      </w:pPr>
      <w:r w:rsidRPr="00ED6964">
        <w:t>Chinese participation in international standards bodies has been systematically built up as a component of industrial strategy, not as an academic exercise.</w:t>
      </w:r>
    </w:p>
    <w:p w14:paraId="08787DFC" w14:textId="77777777" w:rsidR="00ED6964" w:rsidRPr="00ED6964" w:rsidRDefault="00ED6964" w:rsidP="00ED6964">
      <w:r w:rsidRPr="00ED6964">
        <w:t>The argument is not simply that the United States is weakening. It is that the United States is weakening as China is strengthening, which produces a compounding gap that point-in-time comparisons systematically understate.</w:t>
      </w:r>
    </w:p>
    <w:p w14:paraId="1185E9C4" w14:textId="77777777" w:rsidR="00ED6964" w:rsidRPr="00ED6964" w:rsidRDefault="00ED6964" w:rsidP="00ED6964"/>
    <w:p w14:paraId="5965C70A" w14:textId="77777777" w:rsidR="00ED6964" w:rsidRPr="00ED6964" w:rsidRDefault="00ED6964" w:rsidP="00ED6964"/>
    <w:p w14:paraId="3091A55F" w14:textId="77777777" w:rsidR="00ED6964" w:rsidRPr="00ED6964" w:rsidRDefault="00ED6964" w:rsidP="00ED6964">
      <w:r w:rsidRPr="00ED6964">
        <w:rPr>
          <w:b/>
          <w:bCs/>
        </w:rPr>
        <w:t>Summary Diagnostic</w:t>
      </w:r>
    </w:p>
    <w:p w14:paraId="5E820613" w14:textId="77777777" w:rsidR="00ED6964" w:rsidRPr="00ED6964" w:rsidRDefault="00ED6964" w:rsidP="00ED6964">
      <w:r w:rsidRPr="00ED6964">
        <w:lastRenderedPageBreak/>
        <w:t>The American deep research innovation pipeline is not suffering from a single failure. It is suffering from compounding failures at every stage of the translation chain from basic research through applied development, process innovation, workforce formation, standards participation, and capital allocation. Each failure reinforces the others. The policy response must be systemic rather than episodic: permanent institutional infrastructure, market-based incentive mechanisms, and a standing manufacturing finance capability that can operate across economic cycles.</w:t>
      </w:r>
    </w:p>
    <w:p w14:paraId="582A2949" w14:textId="77777777" w:rsidR="00A808A2" w:rsidRDefault="00A808A2"/>
    <w:sectPr w:rsidR="00A808A2" w:rsidSect="00ED6964">
      <w:footerReference w:type="default" r:id="rId7"/>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762A1" w14:textId="77777777" w:rsidR="00C112ED" w:rsidRDefault="00C112ED" w:rsidP="00ED6964">
      <w:pPr>
        <w:spacing w:after="0" w:line="240" w:lineRule="auto"/>
      </w:pPr>
      <w:r>
        <w:separator/>
      </w:r>
    </w:p>
  </w:endnote>
  <w:endnote w:type="continuationSeparator" w:id="0">
    <w:p w14:paraId="17E6C9CA" w14:textId="77777777" w:rsidR="00C112ED" w:rsidRDefault="00C112ED" w:rsidP="00ED69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879DF" w14:textId="47E137C9" w:rsidR="00ED6964" w:rsidRDefault="00ED6964">
    <w:pPr>
      <w:jc w:val="right"/>
    </w:pPr>
    <w:r>
      <w:rPr>
        <w:rFonts w:ascii="Arial" w:eastAsia="Arial" w:hAnsi="Arial" w:cs="Arial"/>
        <w:color w:val="888888"/>
        <w:sz w:val="18"/>
        <w:szCs w:val="18"/>
      </w:rPr>
      <w:t xml:space="preserve">Claude and Rationalwave </w:t>
    </w:r>
    <w:proofErr w:type="gramStart"/>
    <w:r>
      <w:rPr>
        <w:rFonts w:ascii="Arial" w:eastAsia="Arial" w:hAnsi="Arial" w:cs="Arial"/>
        <w:color w:val="888888"/>
        <w:sz w:val="18"/>
        <w:szCs w:val="18"/>
      </w:rPr>
      <w:t>|</w:t>
    </w:r>
    <w:r>
      <w:rPr>
        <w:rFonts w:ascii="Arial" w:eastAsia="Arial" w:hAnsi="Arial" w:cs="Arial"/>
        <w:color w:val="888888"/>
        <w:sz w:val="18"/>
        <w:szCs w:val="18"/>
      </w:rPr>
      <w:t xml:space="preserve">  Deep</w:t>
    </w:r>
    <w:proofErr w:type="gramEnd"/>
    <w:r>
      <w:rPr>
        <w:rFonts w:ascii="Arial" w:eastAsia="Arial" w:hAnsi="Arial" w:cs="Arial"/>
        <w:color w:val="888888"/>
        <w:sz w:val="18"/>
        <w:szCs w:val="18"/>
      </w:rPr>
      <w:t xml:space="preserve"> Research Innovation Pipeline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E38A93" w14:textId="77777777" w:rsidR="00C112ED" w:rsidRDefault="00C112ED" w:rsidP="00ED6964">
      <w:pPr>
        <w:spacing w:after="0" w:line="240" w:lineRule="auto"/>
      </w:pPr>
      <w:r>
        <w:separator/>
      </w:r>
    </w:p>
  </w:footnote>
  <w:footnote w:type="continuationSeparator" w:id="0">
    <w:p w14:paraId="068697AB" w14:textId="77777777" w:rsidR="00C112ED" w:rsidRDefault="00C112ED" w:rsidP="00ED6964">
      <w:pPr>
        <w:spacing w:after="0" w:line="240" w:lineRule="auto"/>
      </w:pPr>
      <w:r>
        <w:continuationSeparator/>
      </w:r>
    </w:p>
  </w:footnote>
  <w:footnote w:id="1">
    <w:p w14:paraId="3D2FFB91" w14:textId="77777777" w:rsidR="00ED6964" w:rsidRDefault="00ED6964" w:rsidP="00ED6964">
      <w:r>
        <w:rPr>
          <w:rStyle w:val="FootnoteReference"/>
        </w:rPr>
        <w:footnoteRef/>
      </w:r>
      <w:r>
        <w:rPr>
          <w:rFonts w:ascii="Arial" w:eastAsia="Arial" w:hAnsi="Arial" w:cs="Arial"/>
          <w:sz w:val="18"/>
          <w:szCs w:val="18"/>
        </w:rPr>
        <w:t>DOGE cuts: Axios, "DOGE cuts NIST staff" (March 4, 2025): 73 probationary employees terminated, 42 in CHIPS offices. Broadband Breakfast, "DOGE Hits NIST, Sparks Industry Concerns" (March 10, 2025). Congressional letter to Commerce Secretary Lutnick (April 2, 2025): Commerce Department targeting 20% workforce reduction. Sequestration legacy: Center for American Progress, "Sequestering American Innovation" (2013): sequestration cut federal R&amp;D by ~$9.7 billion in FY2013 alone, with cumulative cuts of $85 billion projected through FY2021. As a percentage of GDP, federally funded R&amp;D fell from 0.99% in 2010 to 0.77% in 2013 and was projected to reach 0.62% — the lowest level on record — if sequestration remained in place. americanprogress.org/issues/economy/reports/2013/12/09/80686/sequestering-american-innovation/</w:t>
      </w:r>
    </w:p>
  </w:footnote>
  <w:footnote w:id="2">
    <w:p w14:paraId="74D2BC65" w14:textId="77777777" w:rsidR="00ED6964" w:rsidRDefault="00ED6964" w:rsidP="00ED6964">
      <w:r>
        <w:rPr>
          <w:rStyle w:val="FootnoteReference"/>
        </w:rPr>
        <w:footnoteRef/>
      </w:r>
      <w:r>
        <w:rPr>
          <w:rFonts w:ascii="Arial" w:eastAsia="Arial" w:hAnsi="Arial" w:cs="Arial"/>
          <w:sz w:val="18"/>
          <w:szCs w:val="18"/>
        </w:rPr>
        <w:t>The TRL 4–7 range is the canonical definition of the “innovation valley of death” in U.S. defense and manufacturing contexts. The ARM (Advanced Robotics for Manufacturing) Institute: “The ARM Institute focuses our technology developmental efforts on maturing systems from TRL 4 to TRL 7, the range commonly referred to as the ‘innovation valley of death’ because it is so often where promising technologies halt their advancement.” engineering.com/explaining-readiness-levels-and-why-you-should-care/ See also: Auerswald &amp; Branscomb, “Valleys of Death and Darwinian Seas,” Journal of Technology Transfer (2003); and Beard et al., “A Valley of Death in the Innovation Sequence,” Research Evaluation (Oxford, 2009). The document uses “TRL 3 through TRL 6” consistent with formulations that include early applied research; the underlying structural claim — that this mid-stage range is systematically underfunded relative to basic research (DARPA) and late-stage acquisition (DoD procurement) — is uncontested across sources.</w:t>
      </w:r>
    </w:p>
  </w:footnote>
  <w:footnote w:id="3">
    <w:p w14:paraId="53925CE9" w14:textId="77777777" w:rsidR="00ED6964" w:rsidRDefault="00ED6964" w:rsidP="00ED6964">
      <w:r>
        <w:rPr>
          <w:rStyle w:val="FootnoteReference"/>
        </w:rPr>
        <w:footnoteRef/>
      </w:r>
      <w:r>
        <w:rPr>
          <w:rFonts w:ascii="Arial" w:eastAsia="Arial" w:hAnsi="Arial" w:cs="Arial"/>
          <w:sz w:val="18"/>
          <w:szCs w:val="18"/>
        </w:rPr>
        <w:t>Fraunhofer-Gesellschaft, "About Fraunhofer" and "Finances" (Annual Report 2024): annual budget €3.6 billion, contract research €3.1 billion, across 75 institutes and research units, with nearly 32,000 employees. fraunhofer.de/</w:t>
      </w:r>
      <w:proofErr w:type="spellStart"/>
      <w:r>
        <w:rPr>
          <w:rFonts w:ascii="Arial" w:eastAsia="Arial" w:hAnsi="Arial" w:cs="Arial"/>
          <w:sz w:val="18"/>
          <w:szCs w:val="18"/>
        </w:rPr>
        <w:t>en</w:t>
      </w:r>
      <w:proofErr w:type="spellEnd"/>
      <w:r>
        <w:rPr>
          <w:rFonts w:ascii="Arial" w:eastAsia="Arial" w:hAnsi="Arial" w:cs="Arial"/>
          <w:sz w:val="18"/>
          <w:szCs w:val="18"/>
        </w:rPr>
        <w:t>/about-fraunhofer.html</w:t>
      </w:r>
    </w:p>
  </w:footnote>
  <w:footnote w:id="4">
    <w:p w14:paraId="310337FA" w14:textId="77777777" w:rsidR="00ED6964" w:rsidRDefault="00ED6964" w:rsidP="00ED6964">
      <w:r>
        <w:rPr>
          <w:rStyle w:val="FootnoteReference"/>
        </w:rPr>
        <w:footnoteRef/>
      </w:r>
      <w:r>
        <w:rPr>
          <w:rFonts w:ascii="Arial" w:eastAsia="Arial" w:hAnsi="Arial" w:cs="Arial"/>
          <w:sz w:val="18"/>
          <w:szCs w:val="18"/>
        </w:rPr>
        <w:t>Manufacturing USA, 2025 Annual Report (submitted to Congress March 12, 2026): network consists of 17 institutes sponsored by the Departments of Commerce, Defense, and Energy. manufacturingusa.com/news/manufacturing-usa-releases-its-2025-annual-report</w:t>
      </w:r>
    </w:p>
  </w:footnote>
  <w:footnote w:id="5">
    <w:p w14:paraId="638749C9" w14:textId="77777777" w:rsidR="00ED6964" w:rsidRDefault="00ED6964" w:rsidP="00ED6964">
      <w:r>
        <w:rPr>
          <w:rStyle w:val="FootnoteReference"/>
        </w:rPr>
        <w:footnoteRef/>
      </w:r>
      <w:r>
        <w:rPr>
          <w:rFonts w:ascii="Arial" w:eastAsia="Arial" w:hAnsi="Arial" w:cs="Arial"/>
          <w:sz w:val="18"/>
          <w:szCs w:val="18"/>
        </w:rPr>
        <w:t>NIST, "Frequently Asked Questions: CHIPS Manufacturing USA Institute Funding Opportunity" (2024): "This program requires cost-share in an amount equal to at least the total amount of Federal funding over the lifetime of the award." nist.gov/chips/frequently-asked-questions-chips-manufacturing-usa-institute-funding-opportunity</w:t>
      </w:r>
    </w:p>
  </w:footnote>
  <w:footnote w:id="6">
    <w:p w14:paraId="5826874C" w14:textId="77777777" w:rsidR="00ED6964" w:rsidRDefault="00ED6964" w:rsidP="00ED6964">
      <w:r>
        <w:rPr>
          <w:rStyle w:val="FootnoteReference"/>
        </w:rPr>
        <w:footnoteRef/>
      </w:r>
      <w:r>
        <w:rPr>
          <w:rFonts w:ascii="Arial" w:eastAsia="Arial" w:hAnsi="Arial" w:cs="Arial"/>
          <w:sz w:val="18"/>
          <w:szCs w:val="18"/>
        </w:rPr>
        <w:t>GAO, "Advanced Manufacturing: Aligning Strategies and Improving Agency Reviews" (GAO-25-107369, 2025): DoD-sponsored institutes increased non-baseline federal funding from 32% to 83% of total funding between FY2019 and FY2023; baseline (stable multi-year) funding declined as a share for 12 of 17 institutes. files.gao.gov/reports/GAO-25-107369/index.html</w:t>
      </w:r>
    </w:p>
  </w:footnote>
  <w:footnote w:id="7">
    <w:p w14:paraId="5921624C" w14:textId="77777777" w:rsidR="00ED6964" w:rsidRDefault="00ED6964" w:rsidP="00ED6964">
      <w:r>
        <w:rPr>
          <w:rStyle w:val="FootnoteReference"/>
        </w:rPr>
        <w:footnoteRef/>
      </w:r>
      <w:r>
        <w:rPr>
          <w:rFonts w:ascii="Arial" w:eastAsia="Arial" w:hAnsi="Arial" w:cs="Arial"/>
          <w:sz w:val="18"/>
          <w:szCs w:val="18"/>
        </w:rPr>
        <w:t>Sen. Tammy Baldwin et al., letter to Commerce Secretary (2025): "NIST was provided $175 million in Fiscal Year (FY) 2025 to fund the MEP Centers." The Trump administration’s FY2026 budget proposes to eliminate MEP funding entirely. Manufacturing Dive, "Commerce’s proposed budget takes an axe to MEP" (June 2025). manufacturingdive.com/news/commerce-department-nist-budget-proposal-2026-mep-manufacturing-usa/750429/</w:t>
      </w:r>
    </w:p>
  </w:footnote>
  <w:footnote w:id="8">
    <w:p w14:paraId="70C4E8D4" w14:textId="77777777" w:rsidR="00ED6964" w:rsidRDefault="00ED6964" w:rsidP="00ED6964">
      <w:r>
        <w:rPr>
          <w:rStyle w:val="FootnoteReference"/>
        </w:rPr>
        <w:footnoteRef/>
      </w:r>
      <w:proofErr w:type="spellStart"/>
      <w:r>
        <w:rPr>
          <w:rFonts w:ascii="Arial" w:eastAsia="Arial" w:hAnsi="Arial" w:cs="Arial"/>
          <w:sz w:val="18"/>
          <w:szCs w:val="18"/>
        </w:rPr>
        <w:t>MForesight</w:t>
      </w:r>
      <w:proofErr w:type="spellEnd"/>
      <w:r>
        <w:rPr>
          <w:rFonts w:ascii="Arial" w:eastAsia="Arial" w:hAnsi="Arial" w:cs="Arial"/>
          <w:sz w:val="18"/>
          <w:szCs w:val="18"/>
        </w:rPr>
        <w:t>, "Funding for Federal Manufacturing Technology R&amp;D" (Medium, 2019): "Germany’s and South Korea’s public manufacturing R&amp;D budgets are nearly 5 and 7.5 times bigger, respectively, even as the U.S. economy is 5 and 12 times bigger." medium.com/@MForesight/funding-for-federal-manufacturing-technology-r-d-58bfccaf3d1c</w:t>
      </w:r>
    </w:p>
  </w:footnote>
  <w:footnote w:id="9">
    <w:p w14:paraId="4D250A72" w14:textId="77777777" w:rsidR="00ED6964" w:rsidRDefault="00ED6964" w:rsidP="00ED6964">
      <w:r>
        <w:rPr>
          <w:rStyle w:val="FootnoteReference"/>
        </w:rPr>
        <w:footnoteRef/>
      </w:r>
      <w:proofErr w:type="spellStart"/>
      <w:r>
        <w:rPr>
          <w:rFonts w:ascii="Arial" w:eastAsia="Arial" w:hAnsi="Arial" w:cs="Arial"/>
          <w:sz w:val="18"/>
          <w:szCs w:val="18"/>
        </w:rPr>
        <w:t>MForesight</w:t>
      </w:r>
      <w:proofErr w:type="spellEnd"/>
      <w:r>
        <w:rPr>
          <w:rFonts w:ascii="Arial" w:eastAsia="Arial" w:hAnsi="Arial" w:cs="Arial"/>
          <w:sz w:val="18"/>
          <w:szCs w:val="18"/>
        </w:rPr>
        <w:t xml:space="preserve"> (2019): Manufacturing USA institutes invested $121 million in public funds plus $178 million in cost-share from private companies, local governments, and academic partners. Ibid.</w:t>
      </w:r>
    </w:p>
  </w:footnote>
  <w:footnote w:id="10">
    <w:p w14:paraId="210E93CE" w14:textId="77777777" w:rsidR="00ED6964" w:rsidRDefault="00ED6964" w:rsidP="00ED6964">
      <w:r>
        <w:rPr>
          <w:rStyle w:val="FootnoteReference"/>
        </w:rPr>
        <w:footnoteRef/>
      </w:r>
      <w:r>
        <w:rPr>
          <w:rFonts w:ascii="Arial" w:eastAsia="Arial" w:hAnsi="Arial" w:cs="Arial"/>
          <w:sz w:val="18"/>
          <w:szCs w:val="18"/>
        </w:rPr>
        <w:t>Congressional Research Service, "Made in China 2025 and Industrial Policies: Issues for Congress" (IF10964, updated 2022): MIC2025 deploys “technology transfer, licensing and JV requirements, IP theft, and state-funded acquisitions of foreign firms in strategic sectors” to move university and foreign IP into domestic production. CSIS, “Made in China 2025” (Scott Kennedy, 2015): national strategy to upgrade the manufacturing base by fusing state direction with market mechanisms, with 40 manufacturing innovation centers planned by 2025. Chinese funding linked to use of indigenous IP with a target of raising domestic content of core components to 40% by 2020 and 70% by 2025. csis.org/analysis/made-china-2025</w:t>
      </w:r>
    </w:p>
  </w:footnote>
  <w:footnote w:id="11">
    <w:p w14:paraId="4748F7E3" w14:textId="77777777" w:rsidR="00ED6964" w:rsidRDefault="00ED6964" w:rsidP="00ED6964">
      <w:r>
        <w:rPr>
          <w:rStyle w:val="FootnoteReference"/>
        </w:rPr>
        <w:footnoteRef/>
      </w:r>
      <w:r>
        <w:rPr>
          <w:rFonts w:ascii="Arial" w:eastAsia="Arial" w:hAnsi="Arial" w:cs="Arial"/>
          <w:sz w:val="18"/>
          <w:szCs w:val="18"/>
        </w:rPr>
        <w:t>NSF, National Center for Science and Engineering Statistics, "State of U.S. Science and Engineering 2024" (NSB-2024-3): temporary visa holders earned 60% of engineering doctoral degrees and 59% of computer and information sciences doctoral degrees at U.S. universities. Note: 5-year stay rates for these cohorts are approximately 71%, meaning the argument concerns the routing of retained talent toward multinational firms rather than domestic manufacturing employers. ncses.nsf.gov/pubs/nsb20243/talent-u-s-and-global-stem-education-and-labor-force</w:t>
      </w:r>
    </w:p>
  </w:footnote>
  <w:footnote w:id="12">
    <w:p w14:paraId="555AA631" w14:textId="77777777" w:rsidR="00ED6964" w:rsidRDefault="00ED6964" w:rsidP="00ED6964">
      <w:r>
        <w:rPr>
          <w:rStyle w:val="FootnoteReference"/>
        </w:rPr>
        <w:footnoteRef/>
      </w:r>
      <w:r>
        <w:rPr>
          <w:rFonts w:ascii="Arial" w:eastAsia="Arial" w:hAnsi="Arial" w:cs="Arial"/>
          <w:sz w:val="18"/>
          <w:szCs w:val="18"/>
        </w:rPr>
        <w:t>Gary Pisano and Willy Shih, "Restoring American Competitiveness," Harvard Business Review (July–August 2009); extended in Producing Prosperity: Why America Needs a Manufacturing Renaissance (Harvard Business Review Press, 2012). hbr.org/2009/07/restoring-</w:t>
      </w:r>
      <w:proofErr w:type="spellStart"/>
      <w:r>
        <w:rPr>
          <w:rFonts w:ascii="Arial" w:eastAsia="Arial" w:hAnsi="Arial" w:cs="Arial"/>
          <w:sz w:val="18"/>
          <w:szCs w:val="18"/>
        </w:rPr>
        <w:t>american</w:t>
      </w:r>
      <w:proofErr w:type="spellEnd"/>
      <w:r>
        <w:rPr>
          <w:rFonts w:ascii="Arial" w:eastAsia="Arial" w:hAnsi="Arial" w:cs="Arial"/>
          <w:sz w:val="18"/>
          <w:szCs w:val="18"/>
        </w:rPr>
        <w:t>-competitiveness</w:t>
      </w:r>
    </w:p>
  </w:footnote>
  <w:footnote w:id="13">
    <w:p w14:paraId="11A680C4" w14:textId="77777777" w:rsidR="00ED6964" w:rsidRDefault="00ED6964" w:rsidP="00ED6964">
      <w:r>
        <w:rPr>
          <w:rStyle w:val="FootnoteReference"/>
        </w:rPr>
        <w:footnoteRef/>
      </w:r>
      <w:r>
        <w:rPr>
          <w:rFonts w:ascii="Arial" w:eastAsia="Arial" w:hAnsi="Arial" w:cs="Arial"/>
          <w:sz w:val="18"/>
          <w:szCs w:val="18"/>
        </w:rPr>
        <w:t xml:space="preserve">See footnotes 1 and 5 for the underlying figures: Fraunhofer’s annual budget (€3.6 billion / ~$3.9 billion) compared with MEP’s $175 million federal appropriation is a ratio of roughly 22:1. This comparison understates the gap because Fraunhofer’s mission is specifically to translate research into production-ready technology for industry — i.e., to do what MEP and the Manufacturing USA institutes together attempt to do. The </w:t>
      </w:r>
      <w:proofErr w:type="spellStart"/>
      <w:r>
        <w:rPr>
          <w:rFonts w:ascii="Arial" w:eastAsia="Arial" w:hAnsi="Arial" w:cs="Arial"/>
          <w:sz w:val="18"/>
          <w:szCs w:val="18"/>
        </w:rPr>
        <w:t>MForesight</w:t>
      </w:r>
      <w:proofErr w:type="spellEnd"/>
      <w:r>
        <w:rPr>
          <w:rFonts w:ascii="Arial" w:eastAsia="Arial" w:hAnsi="Arial" w:cs="Arial"/>
          <w:sz w:val="18"/>
          <w:szCs w:val="18"/>
        </w:rPr>
        <w:t xml:space="preserve"> analysis (see footnote 6) finds U.S. public manufacturing R&amp;D investment per unit of GDP is already 5–7.5 times smaller than Germany’s and South Korea’s; MEP’s budget relative to the Fraunhofer system represents the most compressed single-point illustration of that gap.</w:t>
      </w:r>
    </w:p>
  </w:footnote>
  <w:footnote w:id="14">
    <w:p w14:paraId="3BA6A650" w14:textId="77777777" w:rsidR="00ED6964" w:rsidRDefault="00ED6964" w:rsidP="00ED6964">
      <w:r>
        <w:rPr>
          <w:rStyle w:val="FootnoteReference"/>
        </w:rPr>
        <w:footnoteRef/>
      </w:r>
      <w:r>
        <w:rPr>
          <w:rFonts w:ascii="Arial" w:eastAsia="Arial" w:hAnsi="Arial" w:cs="Arial"/>
          <w:sz w:val="18"/>
          <w:szCs w:val="18"/>
        </w:rPr>
        <w:t xml:space="preserve">Axios, “DOGE cuts NIST staff” (March 4, 2025): 73 probationary staff terminated, 42 in CHIPS offices. Congressional letter to Commerce Secretary Lutnick, signed by Reps. </w:t>
      </w:r>
      <w:proofErr w:type="spellStart"/>
      <w:r>
        <w:rPr>
          <w:rFonts w:ascii="Arial" w:eastAsia="Arial" w:hAnsi="Arial" w:cs="Arial"/>
          <w:sz w:val="18"/>
          <w:szCs w:val="18"/>
        </w:rPr>
        <w:t>McClanadhan</w:t>
      </w:r>
      <w:proofErr w:type="spellEnd"/>
      <w:r>
        <w:rPr>
          <w:rFonts w:ascii="Arial" w:eastAsia="Arial" w:hAnsi="Arial" w:cs="Arial"/>
          <w:sz w:val="18"/>
          <w:szCs w:val="18"/>
        </w:rPr>
        <w:t>, Delaney et al. (April 2, 2025): “Reducing the workforce at the agency would undermine consumer safety, remove a key area of partnership between the government and private sector, and cede influence over international standards-setting to other nations that are making robust investments in science and technology.” Cybersecurity Dive (March 2025): firings are part of a plan to cut approximately 20% of the Commerce Department workforce. axios.com/pro/tech-policy/2025/03/04/doge-cuts-nist-staff</w:t>
      </w:r>
    </w:p>
  </w:footnote>
  <w:footnote w:id="15">
    <w:p w14:paraId="03470D01" w14:textId="77777777" w:rsidR="00ED6964" w:rsidRDefault="00ED6964" w:rsidP="00ED6964">
      <w:r>
        <w:rPr>
          <w:rStyle w:val="FootnoteReference"/>
        </w:rPr>
        <w:footnoteRef/>
      </w:r>
      <w:r>
        <w:rPr>
          <w:rFonts w:ascii="Arial" w:eastAsia="Arial" w:hAnsi="Arial" w:cs="Arial"/>
          <w:sz w:val="18"/>
          <w:szCs w:val="18"/>
        </w:rPr>
        <w:t>U.S. GAO, “Technology Transfer: Several Factors Have Led to a Decline in Partnerships at DOE’s Laboratories” (GAO-02-465, 2002): “Recently however, the 12 laboratories that DOE surveyed have substantially reduced their CRADA partnerships and their technical assistance to small businesses.” The DOE’s Technology Transfer Initiative, which grew rapidly from 1991 to 1996, was curtailed by Congress in FY1997 (NCBI/National Academies, “Partnering at the National Laboratories,” 2004). The broader structural argument — that ITAR restrictions, classification barriers, and the labs’ drift toward simulation over physical experimentation have weakened manufacturing linkages — is developed in: Pisano &amp; Shih, Producing Prosperity (2012); and PCAST, “Report to the President on Accelerating U.S. Advanced Manufacturing” (2014). gao.gov/products/gao-02-465</w:t>
      </w:r>
    </w:p>
  </w:footnote>
  <w:footnote w:id="16">
    <w:p w14:paraId="57CA8CD8" w14:textId="77777777" w:rsidR="00ED6964" w:rsidRDefault="00ED6964" w:rsidP="00ED6964">
      <w:r>
        <w:rPr>
          <w:rStyle w:val="FootnoteReference"/>
        </w:rPr>
        <w:footnoteRef/>
      </w:r>
      <w:r>
        <w:rPr>
          <w:rFonts w:ascii="Arial" w:eastAsia="Arial" w:hAnsi="Arial" w:cs="Arial"/>
          <w:sz w:val="18"/>
          <w:szCs w:val="18"/>
        </w:rPr>
        <w:t>LexisNexis Intellectual Property Solutions, "Who Is Leading the 5G Patent Race?" (January 2025): Huawei ranks first across all criteria including declared 5G patent families and technical contributions to 3GPP. Chinese entities (Huawei, ZTE, China Mobile, CICT) collectively represent the largest national bloc of 3GPP standards contributors. lexisnexisip.com/wp-content/uploads/2025/01/2025-LexisNexis-5G-SEP-Report.pdf</w:t>
      </w:r>
    </w:p>
  </w:footnote>
  <w:footnote w:id="17">
    <w:p w14:paraId="108A1E21" w14:textId="77777777" w:rsidR="00ED6964" w:rsidRDefault="00ED6964" w:rsidP="00ED6964">
      <w:r>
        <w:rPr>
          <w:rStyle w:val="FootnoteReference"/>
        </w:rPr>
        <w:footnoteRef/>
      </w:r>
      <w:r>
        <w:rPr>
          <w:rFonts w:ascii="Arial" w:eastAsia="Arial" w:hAnsi="Arial" w:cs="Arial"/>
          <w:sz w:val="18"/>
          <w:szCs w:val="18"/>
        </w:rPr>
        <w:t>ITU, “ITU advances the development of IMT-2030 for 6G mobile technologies” (December 2023): ITU issued a circular letter in October 2024 inviting submission of proposed candidate Radio Interface Technologies (RIT) for IMT-2030, with proposals due by June 2027 at the latest. This is the operative entry deadline: technology not submitted by June 2027 will not be evaluated for designation as the IMT-2030 (6G) standard. The evaluation and final designation process runs from 2027 to approximately 2030. See also: Ericsson, ‘6G Standardization Timeline and Technology Principles’ (2024); IEEE ComSoc Technology Blog, ‘ITU-R WP5D IMT 2030 Submission &amp; Evaluation Guidelines’ (2025). itu.int/en/mediacentre/Pages/PR-2023-12-01-IMT-2030-for-6G-mobile-technologies.aspx</w:t>
      </w:r>
    </w:p>
  </w:footnote>
  <w:footnote w:id="18">
    <w:p w14:paraId="1DB2926F" w14:textId="77777777" w:rsidR="00ED6964" w:rsidRDefault="00ED6964" w:rsidP="00ED6964">
      <w:r>
        <w:rPr>
          <w:rStyle w:val="FootnoteReference"/>
        </w:rPr>
        <w:footnoteRef/>
      </w:r>
      <w:r>
        <w:rPr>
          <w:rFonts w:ascii="Arial" w:eastAsia="Arial" w:hAnsi="Arial" w:cs="Arial"/>
          <w:sz w:val="18"/>
          <w:szCs w:val="18"/>
        </w:rPr>
        <w:t>Huawei Technologies Co., Ltd., 2024 Annual Report: "On December 31, 2024, 113,000 employees (about 54.1% of our workforce) worked in R&amp;D." huawei.com/en/</w:t>
      </w:r>
      <w:proofErr w:type="gramStart"/>
      <w:r>
        <w:rPr>
          <w:rFonts w:ascii="Arial" w:eastAsia="Arial" w:hAnsi="Arial" w:cs="Arial"/>
          <w:sz w:val="18"/>
          <w:szCs w:val="18"/>
        </w:rPr>
        <w:t>annual-report</w:t>
      </w:r>
      <w:proofErr w:type="gramEnd"/>
      <w:r>
        <w:rPr>
          <w:rFonts w:ascii="Arial" w:eastAsia="Arial" w:hAnsi="Arial" w:cs="Arial"/>
          <w:sz w:val="18"/>
          <w:szCs w:val="18"/>
        </w:rPr>
        <w:t>/2024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412A4C"/>
    <w:multiLevelType w:val="hybridMultilevel"/>
    <w:tmpl w:val="D31210A4"/>
    <w:lvl w:ilvl="0" w:tplc="DE68C2FA">
      <w:start w:val="1"/>
      <w:numFmt w:val="bullet"/>
      <w:lvlText w:val="•"/>
      <w:lvlJc w:val="left"/>
      <w:pPr>
        <w:spacing w:after="60"/>
        <w:ind w:left="540" w:hanging="300"/>
      </w:pPr>
    </w:lvl>
    <w:lvl w:ilvl="1" w:tplc="706655C8">
      <w:numFmt w:val="decimal"/>
      <w:lvlText w:val=""/>
      <w:lvlJc w:val="left"/>
    </w:lvl>
    <w:lvl w:ilvl="2" w:tplc="704229AE">
      <w:numFmt w:val="decimal"/>
      <w:lvlText w:val=""/>
      <w:lvlJc w:val="left"/>
    </w:lvl>
    <w:lvl w:ilvl="3" w:tplc="3F0AEDA4">
      <w:numFmt w:val="decimal"/>
      <w:lvlText w:val=""/>
      <w:lvlJc w:val="left"/>
    </w:lvl>
    <w:lvl w:ilvl="4" w:tplc="4A005534">
      <w:numFmt w:val="decimal"/>
      <w:lvlText w:val=""/>
      <w:lvlJc w:val="left"/>
    </w:lvl>
    <w:lvl w:ilvl="5" w:tplc="17BCEED6">
      <w:numFmt w:val="decimal"/>
      <w:lvlText w:val=""/>
      <w:lvlJc w:val="left"/>
    </w:lvl>
    <w:lvl w:ilvl="6" w:tplc="1E0AB69E">
      <w:numFmt w:val="decimal"/>
      <w:lvlText w:val=""/>
      <w:lvlJc w:val="left"/>
    </w:lvl>
    <w:lvl w:ilvl="7" w:tplc="70F2602C">
      <w:numFmt w:val="decimal"/>
      <w:lvlText w:val=""/>
      <w:lvlJc w:val="left"/>
    </w:lvl>
    <w:lvl w:ilvl="8" w:tplc="D052959C">
      <w:numFmt w:val="decimal"/>
      <w:lvlText w:val=""/>
      <w:lvlJc w:val="left"/>
    </w:lvl>
  </w:abstractNum>
  <w:num w:numId="1" w16cid:durableId="68972089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964"/>
    <w:rsid w:val="001A79DC"/>
    <w:rsid w:val="004F411E"/>
    <w:rsid w:val="00A808A2"/>
    <w:rsid w:val="00BA7D62"/>
    <w:rsid w:val="00C112ED"/>
    <w:rsid w:val="00CD621F"/>
    <w:rsid w:val="00EA2C38"/>
    <w:rsid w:val="00ED696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4026A71"/>
  <w15:chartTrackingRefBased/>
  <w15:docId w15:val="{B5A66D44-D4CE-794E-8DA6-96E82FBC3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69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69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69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69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69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69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69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69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69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69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69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69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69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69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69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69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69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6964"/>
    <w:rPr>
      <w:rFonts w:eastAsiaTheme="majorEastAsia" w:cstheme="majorBidi"/>
      <w:color w:val="272727" w:themeColor="text1" w:themeTint="D8"/>
    </w:rPr>
  </w:style>
  <w:style w:type="paragraph" w:styleId="Title">
    <w:name w:val="Title"/>
    <w:basedOn w:val="Normal"/>
    <w:next w:val="Normal"/>
    <w:link w:val="TitleChar"/>
    <w:uiPriority w:val="10"/>
    <w:qFormat/>
    <w:rsid w:val="00ED69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69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69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69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6964"/>
    <w:pPr>
      <w:spacing w:before="160"/>
      <w:jc w:val="center"/>
    </w:pPr>
    <w:rPr>
      <w:i/>
      <w:iCs/>
      <w:color w:val="404040" w:themeColor="text1" w:themeTint="BF"/>
    </w:rPr>
  </w:style>
  <w:style w:type="character" w:customStyle="1" w:styleId="QuoteChar">
    <w:name w:val="Quote Char"/>
    <w:basedOn w:val="DefaultParagraphFont"/>
    <w:link w:val="Quote"/>
    <w:uiPriority w:val="29"/>
    <w:rsid w:val="00ED6964"/>
    <w:rPr>
      <w:i/>
      <w:iCs/>
      <w:color w:val="404040" w:themeColor="text1" w:themeTint="BF"/>
    </w:rPr>
  </w:style>
  <w:style w:type="paragraph" w:styleId="ListParagraph">
    <w:name w:val="List Paragraph"/>
    <w:basedOn w:val="Normal"/>
    <w:uiPriority w:val="34"/>
    <w:qFormat/>
    <w:rsid w:val="00ED6964"/>
    <w:pPr>
      <w:ind w:left="720"/>
      <w:contextualSpacing/>
    </w:pPr>
  </w:style>
  <w:style w:type="character" w:styleId="IntenseEmphasis">
    <w:name w:val="Intense Emphasis"/>
    <w:basedOn w:val="DefaultParagraphFont"/>
    <w:uiPriority w:val="21"/>
    <w:qFormat/>
    <w:rsid w:val="00ED6964"/>
    <w:rPr>
      <w:i/>
      <w:iCs/>
      <w:color w:val="0F4761" w:themeColor="accent1" w:themeShade="BF"/>
    </w:rPr>
  </w:style>
  <w:style w:type="paragraph" w:styleId="IntenseQuote">
    <w:name w:val="Intense Quote"/>
    <w:basedOn w:val="Normal"/>
    <w:next w:val="Normal"/>
    <w:link w:val="IntenseQuoteChar"/>
    <w:uiPriority w:val="30"/>
    <w:qFormat/>
    <w:rsid w:val="00ED69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6964"/>
    <w:rPr>
      <w:i/>
      <w:iCs/>
      <w:color w:val="0F4761" w:themeColor="accent1" w:themeShade="BF"/>
    </w:rPr>
  </w:style>
  <w:style w:type="character" w:styleId="IntenseReference">
    <w:name w:val="Intense Reference"/>
    <w:basedOn w:val="DefaultParagraphFont"/>
    <w:uiPriority w:val="32"/>
    <w:qFormat/>
    <w:rsid w:val="00ED6964"/>
    <w:rPr>
      <w:b/>
      <w:bCs/>
      <w:smallCaps/>
      <w:color w:val="0F4761" w:themeColor="accent1" w:themeShade="BF"/>
      <w:spacing w:val="5"/>
    </w:rPr>
  </w:style>
  <w:style w:type="character" w:styleId="FootnoteReference">
    <w:name w:val="footnote reference"/>
    <w:uiPriority w:val="99"/>
    <w:semiHidden/>
    <w:unhideWhenUsed/>
    <w:rsid w:val="00ED6964"/>
    <w:rPr>
      <w:vertAlign w:val="superscript"/>
    </w:rPr>
  </w:style>
  <w:style w:type="paragraph" w:styleId="Header">
    <w:name w:val="header"/>
    <w:basedOn w:val="Normal"/>
    <w:link w:val="HeaderChar"/>
    <w:uiPriority w:val="99"/>
    <w:unhideWhenUsed/>
    <w:rsid w:val="00ED69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964"/>
  </w:style>
  <w:style w:type="paragraph" w:styleId="Footer">
    <w:name w:val="footer"/>
    <w:basedOn w:val="Normal"/>
    <w:link w:val="FooterChar"/>
    <w:uiPriority w:val="99"/>
    <w:unhideWhenUsed/>
    <w:rsid w:val="00ED69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9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1483</Words>
  <Characters>9261</Characters>
  <Application>Microsoft Office Word</Application>
  <DocSecurity>0</DocSecurity>
  <Lines>154</Lines>
  <Paragraphs>55</Paragraphs>
  <ScaleCrop>false</ScaleCrop>
  <Company/>
  <LinksUpToDate>false</LinksUpToDate>
  <CharactersWithSpaces>10689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Rosenblatt</dc:creator>
  <cp:keywords/>
  <dc:description/>
  <cp:lastModifiedBy>Mark Rosenblatt</cp:lastModifiedBy>
  <cp:revision>1</cp:revision>
  <dcterms:created xsi:type="dcterms:W3CDTF">2026-03-29T18:32:00Z</dcterms:created>
  <dcterms:modified xsi:type="dcterms:W3CDTF">2026-03-29T18:33:00Z</dcterms:modified>
</cp:coreProperties>
</file>