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5B51D3" w14:textId="76F790B3" w:rsidR="00D20835" w:rsidRPr="00D20835" w:rsidRDefault="00000000" w:rsidP="0073657D">
      <w:pPr>
        <w:pStyle w:val="MdHeading1"/>
        <w:rPr>
          <w:rFonts w:asciiTheme="majorBidi" w:hAnsiTheme="majorBidi" w:cstheme="majorBidi"/>
          <w:sz w:val="24"/>
          <w:szCs w:val="24"/>
        </w:rPr>
      </w:pPr>
      <w:r w:rsidRPr="00D20835">
        <w:rPr>
          <w:rFonts w:asciiTheme="majorBidi" w:hAnsiTheme="majorBidi" w:cstheme="majorBidi"/>
          <w:sz w:val="24"/>
          <w:szCs w:val="24"/>
        </w:rPr>
        <w:t>The Freedom's Forge Fallacy: Why the WWII Mobilization Analogy Fails Modern Defense Needs</w:t>
      </w:r>
    </w:p>
    <w:p w14:paraId="17AF0942" w14:textId="655EE9FC" w:rsidR="00A32801" w:rsidRPr="00D20835" w:rsidRDefault="00000000" w:rsidP="00D20835">
      <w:pPr>
        <w:pStyle w:val="MdParagraph"/>
        <w:rPr>
          <w:rFonts w:asciiTheme="majorBidi" w:hAnsiTheme="majorBidi" w:cstheme="majorBidi"/>
        </w:rPr>
      </w:pPr>
      <w:r w:rsidRPr="00D20835">
        <w:rPr>
          <w:rFonts w:asciiTheme="majorBidi" w:hAnsiTheme="majorBidi" w:cstheme="majorBidi"/>
        </w:rPr>
        <w:t xml:space="preserve">The prevailing narrative in Washington regarding the U.S. defense industrial base relies heavily on the romanticized history of World War II mobilization. Policymakers frequently invoke the need for a new "Arsenal of Democracy" or a "Freedom's Forge," suggesting that with sufficient political will and centralized coordination, American industry can rapidly surge to meet the demands of great-power competition. </w:t>
      </w:r>
    </w:p>
    <w:p w14:paraId="57E10804" w14:textId="18C6963C" w:rsidR="00A32801" w:rsidRPr="00D20835" w:rsidRDefault="00000000" w:rsidP="00D20835">
      <w:pPr>
        <w:pStyle w:val="MdParagraph"/>
        <w:rPr>
          <w:rFonts w:asciiTheme="majorBidi" w:hAnsiTheme="majorBidi" w:cstheme="majorBidi"/>
        </w:rPr>
      </w:pPr>
      <w:r w:rsidRPr="00D20835">
        <w:rPr>
          <w:rFonts w:asciiTheme="majorBidi" w:hAnsiTheme="majorBidi" w:cstheme="majorBidi"/>
        </w:rPr>
        <w:t xml:space="preserve">However, this analogy rests on a fundamental misunderstanding of both historical reality and modern industrial economics. The WWII mobilization was an exercise in </w:t>
      </w:r>
      <w:r w:rsidRPr="00D20835">
        <w:rPr>
          <w:rStyle w:val="MdStrong"/>
          <w:rFonts w:asciiTheme="majorBidi" w:hAnsiTheme="majorBidi" w:cstheme="majorBidi"/>
        </w:rPr>
        <w:t>redirection</w:t>
      </w:r>
      <w:r w:rsidRPr="00D20835">
        <w:rPr>
          <w:rFonts w:asciiTheme="majorBidi" w:hAnsiTheme="majorBidi" w:cstheme="majorBidi"/>
        </w:rPr>
        <w:t xml:space="preserve">, whereas today's challenge requires </w:t>
      </w:r>
      <w:r w:rsidRPr="00D20835">
        <w:rPr>
          <w:rStyle w:val="MdStrong"/>
          <w:rFonts w:asciiTheme="majorBidi" w:hAnsiTheme="majorBidi" w:cstheme="majorBidi"/>
        </w:rPr>
        <w:t>reconstruction</w:t>
      </w:r>
      <w:r w:rsidRPr="00D20835">
        <w:rPr>
          <w:rFonts w:asciiTheme="majorBidi" w:hAnsiTheme="majorBidi" w:cstheme="majorBidi"/>
        </w:rPr>
        <w:t xml:space="preserve">. By misdiagnosing the problem, current policy interventions </w:t>
      </w:r>
      <w:r w:rsidR="00D20835">
        <w:rPr>
          <w:rFonts w:asciiTheme="majorBidi" w:hAnsiTheme="majorBidi" w:cstheme="majorBidi"/>
        </w:rPr>
        <w:t>envision and apply only a partial solution</w:t>
      </w:r>
      <w:r w:rsidRPr="00D20835">
        <w:rPr>
          <w:rFonts w:asciiTheme="majorBidi" w:hAnsiTheme="majorBidi" w:cstheme="majorBidi"/>
        </w:rPr>
        <w:t>, focusing on the top and bottom of the supply chain while ignoring the structural collapse of the critical "missing middle."</w:t>
      </w:r>
    </w:p>
    <w:p w14:paraId="6EFD63D5" w14:textId="77777777" w:rsidR="00A32801" w:rsidRPr="00D20835" w:rsidRDefault="00000000">
      <w:pPr>
        <w:pStyle w:val="MdHeading2"/>
        <w:rPr>
          <w:rFonts w:asciiTheme="majorBidi" w:hAnsiTheme="majorBidi" w:cstheme="majorBidi"/>
          <w:sz w:val="24"/>
          <w:szCs w:val="24"/>
        </w:rPr>
      </w:pPr>
      <w:r w:rsidRPr="00D20835">
        <w:rPr>
          <w:rFonts w:asciiTheme="majorBidi" w:hAnsiTheme="majorBidi" w:cstheme="majorBidi"/>
          <w:sz w:val="24"/>
          <w:szCs w:val="24"/>
        </w:rPr>
        <w:t>The Substrate Fallacy: You Cannot Mobilize What Does Not Exist</w:t>
      </w:r>
    </w:p>
    <w:p w14:paraId="3677C14C" w14:textId="770C464B" w:rsidR="00A32801" w:rsidRPr="00D20835" w:rsidRDefault="00000000" w:rsidP="00D20835">
      <w:pPr>
        <w:pStyle w:val="MdParagraph"/>
        <w:rPr>
          <w:rFonts w:asciiTheme="majorBidi" w:hAnsiTheme="majorBidi" w:cstheme="majorBidi"/>
        </w:rPr>
      </w:pPr>
      <w:r w:rsidRPr="00D20835">
        <w:rPr>
          <w:rFonts w:asciiTheme="majorBidi" w:hAnsiTheme="majorBidi" w:cstheme="majorBidi"/>
        </w:rPr>
        <w:t>When William Knudsen and Henry Kaiser mobilized American industry in 1942, they tapp</w:t>
      </w:r>
      <w:r w:rsidR="00D20835">
        <w:rPr>
          <w:rFonts w:asciiTheme="majorBidi" w:hAnsiTheme="majorBidi" w:cstheme="majorBidi"/>
        </w:rPr>
        <w:t>ed</w:t>
      </w:r>
      <w:r w:rsidRPr="00D20835">
        <w:rPr>
          <w:rFonts w:asciiTheme="majorBidi" w:hAnsiTheme="majorBidi" w:cstheme="majorBidi"/>
        </w:rPr>
        <w:t xml:space="preserve"> into a vast, pre-existing industrial substrate. The machine tool supply chains, specialty metals processors, and trained workforce already existed, built over decades of peacetime commercial production [1]. The government did not have to build this capacity from scratch; it merely had to redirect it toward wartime production.</w:t>
      </w:r>
      <w:r w:rsidR="00D20835">
        <w:rPr>
          <w:rFonts w:asciiTheme="majorBidi" w:hAnsiTheme="majorBidi" w:cstheme="majorBidi"/>
        </w:rPr>
        <w:t xml:space="preserve"> </w:t>
      </w:r>
    </w:p>
    <w:p w14:paraId="3766EBFF" w14:textId="667879D4" w:rsidR="00A32801" w:rsidRPr="00D20835" w:rsidRDefault="00000000" w:rsidP="00D20835">
      <w:pPr>
        <w:pStyle w:val="MdParagraph"/>
        <w:rPr>
          <w:rFonts w:asciiTheme="majorBidi" w:hAnsiTheme="majorBidi" w:cstheme="majorBidi"/>
        </w:rPr>
      </w:pPr>
      <w:r w:rsidRPr="00D20835">
        <w:rPr>
          <w:rFonts w:asciiTheme="majorBidi" w:hAnsiTheme="majorBidi" w:cstheme="majorBidi"/>
        </w:rPr>
        <w:t>Today, the equivalent sub-tier supply chains</w:t>
      </w:r>
      <w:r w:rsidR="00D20835">
        <w:rPr>
          <w:rFonts w:asciiTheme="majorBidi" w:hAnsiTheme="majorBidi" w:cstheme="majorBidi"/>
        </w:rPr>
        <w:t xml:space="preserve">, </w:t>
      </w:r>
      <w:r w:rsidRPr="00D20835">
        <w:rPr>
          <w:rFonts w:asciiTheme="majorBidi" w:hAnsiTheme="majorBidi" w:cstheme="majorBidi"/>
        </w:rPr>
        <w:t>precision fabricators, advanced composites manufacturers, heat treaters, and forgers</w:t>
      </w:r>
      <w:r w:rsidR="00D20835">
        <w:rPr>
          <w:rFonts w:asciiTheme="majorBidi" w:hAnsiTheme="majorBidi" w:cstheme="majorBidi"/>
        </w:rPr>
        <w:t xml:space="preserve">, plus commodity components, specialty components, electronics, sub-systems, and modules, </w:t>
      </w:r>
      <w:r w:rsidRPr="00D20835">
        <w:rPr>
          <w:rFonts w:asciiTheme="majorBidi" w:hAnsiTheme="majorBidi" w:cstheme="majorBidi"/>
        </w:rPr>
        <w:t>face deep structural fragility. Decades of offshoring, consolidation, and erratic defense procurement signals have hollowed out this mid-tier manufacturing base. The Department of Defense (DoD) estimates it has lost more than 40 percent of its small business suppliers over the past decade, leaving the military increasingly reliant on single- and sole-source vendors [2]. Furthermore, an estimated 125,000 boomer-owned manufacturing firms face succession in the coming decade, threatening to further erode domestic capacity [3].</w:t>
      </w:r>
    </w:p>
    <w:p w14:paraId="789E2EEF" w14:textId="77777777" w:rsidR="00D20835" w:rsidRDefault="00000000">
      <w:pPr>
        <w:pStyle w:val="MdParagraph"/>
        <w:rPr>
          <w:rFonts w:asciiTheme="majorBidi" w:hAnsiTheme="majorBidi" w:cstheme="majorBidi"/>
        </w:rPr>
      </w:pPr>
      <w:r w:rsidRPr="00D20835">
        <w:rPr>
          <w:rFonts w:asciiTheme="majorBidi" w:hAnsiTheme="majorBidi" w:cstheme="majorBidi"/>
        </w:rPr>
        <w:t>This fragility creates hidden single points of failure. For example, in 2021, an explosion at a facility in Minden, Louisiana, halted the nation's only domestic production of black powder for nearly two years, crippling ammunition supply chains [2]. Similarly, the F-35 program was forced to suspend deliveries in 2022 when it was discovered that a magnet deep in the supply chain contained a specialty alloy sourced from China</w:t>
      </w:r>
      <w:r w:rsidR="00D20835">
        <w:rPr>
          <w:rFonts w:asciiTheme="majorBidi" w:hAnsiTheme="majorBidi" w:cstheme="majorBidi"/>
        </w:rPr>
        <w:t xml:space="preserve">, </w:t>
      </w:r>
      <w:r w:rsidRPr="00D20835">
        <w:rPr>
          <w:rFonts w:asciiTheme="majorBidi" w:hAnsiTheme="majorBidi" w:cstheme="majorBidi"/>
        </w:rPr>
        <w:t xml:space="preserve">a vulnerability that went unnoticed until the parts were already installed [4]. </w:t>
      </w:r>
    </w:p>
    <w:p w14:paraId="027858C7" w14:textId="5062C7F7" w:rsidR="00A32801" w:rsidRPr="00D20835" w:rsidRDefault="00000000">
      <w:pPr>
        <w:pStyle w:val="MdParagraph"/>
        <w:rPr>
          <w:rFonts w:asciiTheme="majorBidi" w:hAnsiTheme="majorBidi" w:cstheme="majorBidi"/>
        </w:rPr>
      </w:pPr>
      <w:r w:rsidRPr="00D20835">
        <w:rPr>
          <w:rFonts w:asciiTheme="majorBidi" w:hAnsiTheme="majorBidi" w:cstheme="majorBidi"/>
        </w:rPr>
        <w:t>You cannot surge capacity when the foundational industrial substrate no longer exists.</w:t>
      </w:r>
    </w:p>
    <w:p w14:paraId="5DF2742D" w14:textId="77777777" w:rsidR="00A32801" w:rsidRPr="00D20835" w:rsidRDefault="00A32801">
      <w:pPr>
        <w:pStyle w:val="MdSpace"/>
        <w:spacing w:after="60"/>
        <w:rPr>
          <w:rFonts w:asciiTheme="majorBidi" w:hAnsiTheme="majorBidi" w:cstheme="majorBidi"/>
          <w:sz w:val="24"/>
          <w:szCs w:val="24"/>
        </w:rPr>
      </w:pPr>
    </w:p>
    <w:p w14:paraId="395FD0CC" w14:textId="77777777" w:rsidR="00A32801" w:rsidRPr="00D20835" w:rsidRDefault="00000000">
      <w:pPr>
        <w:pStyle w:val="MdHeading2"/>
        <w:rPr>
          <w:rFonts w:asciiTheme="majorBidi" w:hAnsiTheme="majorBidi" w:cstheme="majorBidi"/>
          <w:sz w:val="24"/>
          <w:szCs w:val="24"/>
        </w:rPr>
      </w:pPr>
      <w:r w:rsidRPr="00D20835">
        <w:rPr>
          <w:rFonts w:asciiTheme="majorBidi" w:hAnsiTheme="majorBidi" w:cstheme="majorBidi"/>
          <w:sz w:val="24"/>
          <w:szCs w:val="24"/>
        </w:rPr>
        <w:t>The Staggering Scale of Modern Defense Platforms</w:t>
      </w:r>
    </w:p>
    <w:p w14:paraId="2BD9E28D" w14:textId="77777777" w:rsidR="00A32801" w:rsidRPr="00D20835" w:rsidRDefault="00000000">
      <w:pPr>
        <w:pStyle w:val="MdParagraph"/>
        <w:rPr>
          <w:rFonts w:asciiTheme="majorBidi" w:hAnsiTheme="majorBidi" w:cstheme="majorBidi"/>
        </w:rPr>
      </w:pPr>
      <w:r w:rsidRPr="00D20835">
        <w:rPr>
          <w:rFonts w:asciiTheme="majorBidi" w:hAnsiTheme="majorBidi" w:cstheme="majorBidi"/>
        </w:rPr>
        <w:t>The WWII analogy also fails to account for the exponential increase in the complexity of modern defense technology. A WWII-era P-51 Mustang was a marvel of its time, but it cannot be compared to the staggering scale of modern weapons platforms, which require tens of thousands of specialized manufacturing companies to produce.</w:t>
      </w:r>
    </w:p>
    <w:p w14:paraId="60D4F6CA" w14:textId="77777777" w:rsidR="00A32801" w:rsidRPr="00D20835" w:rsidRDefault="00A32801">
      <w:pPr>
        <w:pStyle w:val="MdSpace"/>
        <w:spacing w:after="60"/>
        <w:rPr>
          <w:rFonts w:asciiTheme="majorBidi" w:hAnsiTheme="majorBidi" w:cstheme="majorBidi"/>
          <w:sz w:val="24"/>
          <w:szCs w:val="24"/>
        </w:rPr>
      </w:pPr>
    </w:p>
    <w:tbl>
      <w:tblPr>
        <w:tblW w:w="5000" w:type="pct"/>
        <w:tblBorders>
          <w:top w:val="single" w:sz="4" w:space="0" w:color="E1E4E8"/>
          <w:bottom w:val="single" w:sz="4" w:space="0" w:color="E1E4E8"/>
          <w:insideH w:val="single" w:sz="2" w:space="0" w:color="E1E4E8"/>
          <w:insideV w:val="single" w:sz="2" w:space="0" w:color="F6F8FA"/>
        </w:tblBorders>
        <w:tblCellMar>
          <w:left w:w="10" w:type="dxa"/>
          <w:right w:w="10" w:type="dxa"/>
        </w:tblCellMar>
        <w:tblLook w:val="04A0" w:firstRow="1" w:lastRow="0" w:firstColumn="1" w:lastColumn="0" w:noHBand="0" w:noVBand="1"/>
      </w:tblPr>
      <w:tblGrid>
        <w:gridCol w:w="1929"/>
        <w:gridCol w:w="7097"/>
      </w:tblGrid>
      <w:tr w:rsidR="00A32801" w:rsidRPr="00D20835" w14:paraId="1A8C92FF" w14:textId="77777777">
        <w:tblPrEx>
          <w:tblCellMar>
            <w:top w:w="0" w:type="dxa"/>
            <w:bottom w:w="0" w:type="dxa"/>
          </w:tblCellMar>
        </w:tblPrEx>
        <w:trPr>
          <w:cantSplit/>
          <w:trHeight w:val="720"/>
          <w:tblHeader/>
        </w:trPr>
        <w:tc>
          <w:tcPr>
            <w:tcW w:w="0" w:type="auto"/>
            <w:tcMar>
              <w:top w:w="100" w:type="dxa"/>
              <w:left w:w="120" w:type="dxa"/>
              <w:bottom w:w="100" w:type="dxa"/>
              <w:right w:w="120" w:type="dxa"/>
            </w:tcMar>
            <w:vAlign w:val="center"/>
          </w:tcPr>
          <w:p w14:paraId="650C8CBB" w14:textId="77777777" w:rsidR="00A32801" w:rsidRPr="00D20835" w:rsidRDefault="00000000">
            <w:pPr>
              <w:pStyle w:val="MdTableHeader"/>
              <w:rPr>
                <w:rFonts w:asciiTheme="majorBidi" w:hAnsiTheme="majorBidi" w:cstheme="majorBidi"/>
                <w:sz w:val="21"/>
                <w:szCs w:val="21"/>
              </w:rPr>
            </w:pPr>
            <w:r w:rsidRPr="00D20835">
              <w:rPr>
                <w:rFonts w:asciiTheme="majorBidi" w:hAnsiTheme="majorBidi" w:cstheme="majorBidi"/>
                <w:sz w:val="21"/>
                <w:szCs w:val="21"/>
              </w:rPr>
              <w:t>Defense Platform</w:t>
            </w:r>
          </w:p>
        </w:tc>
        <w:tc>
          <w:tcPr>
            <w:tcW w:w="0" w:type="auto"/>
            <w:tcMar>
              <w:top w:w="100" w:type="dxa"/>
              <w:left w:w="120" w:type="dxa"/>
              <w:bottom w:w="100" w:type="dxa"/>
              <w:right w:w="120" w:type="dxa"/>
            </w:tcMar>
            <w:vAlign w:val="center"/>
          </w:tcPr>
          <w:p w14:paraId="2D7FCA9C" w14:textId="77777777" w:rsidR="00A32801" w:rsidRPr="00D20835" w:rsidRDefault="00000000">
            <w:pPr>
              <w:pStyle w:val="MdTableHeader"/>
              <w:rPr>
                <w:rFonts w:asciiTheme="majorBidi" w:hAnsiTheme="majorBidi" w:cstheme="majorBidi"/>
                <w:sz w:val="21"/>
                <w:szCs w:val="21"/>
              </w:rPr>
            </w:pPr>
            <w:r w:rsidRPr="00D20835">
              <w:rPr>
                <w:rFonts w:asciiTheme="majorBidi" w:hAnsiTheme="majorBidi" w:cstheme="majorBidi"/>
                <w:sz w:val="21"/>
                <w:szCs w:val="21"/>
              </w:rPr>
              <w:t>Supply Chain Scale &amp; Complexity</w:t>
            </w:r>
          </w:p>
        </w:tc>
      </w:tr>
      <w:tr w:rsidR="00A32801" w:rsidRPr="00D20835" w14:paraId="364FD869"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1DF00FB0" w14:textId="77777777" w:rsidR="00A32801" w:rsidRPr="00D20835" w:rsidRDefault="00000000">
            <w:pPr>
              <w:pStyle w:val="MdTableCell"/>
              <w:rPr>
                <w:rFonts w:asciiTheme="majorBidi" w:hAnsiTheme="majorBidi" w:cstheme="majorBidi"/>
                <w:sz w:val="21"/>
                <w:szCs w:val="21"/>
              </w:rPr>
            </w:pPr>
            <w:r w:rsidRPr="00D20835">
              <w:rPr>
                <w:rStyle w:val="MdStrong"/>
                <w:rFonts w:asciiTheme="majorBidi" w:hAnsiTheme="majorBidi" w:cstheme="majorBidi"/>
                <w:sz w:val="21"/>
                <w:szCs w:val="21"/>
              </w:rPr>
              <w:t>F-35 Lightning II</w:t>
            </w:r>
          </w:p>
        </w:tc>
        <w:tc>
          <w:tcPr>
            <w:tcW w:w="0" w:type="auto"/>
            <w:tcMar>
              <w:top w:w="80" w:type="dxa"/>
              <w:left w:w="120" w:type="dxa"/>
              <w:bottom w:w="80" w:type="dxa"/>
              <w:right w:w="120" w:type="dxa"/>
            </w:tcMar>
            <w:vAlign w:val="center"/>
          </w:tcPr>
          <w:p w14:paraId="1D969E9E" w14:textId="77777777" w:rsidR="00A32801" w:rsidRPr="00D20835" w:rsidRDefault="00000000">
            <w:pPr>
              <w:pStyle w:val="MdTableCell"/>
              <w:rPr>
                <w:rFonts w:asciiTheme="majorBidi" w:hAnsiTheme="majorBidi" w:cstheme="majorBidi"/>
                <w:sz w:val="21"/>
                <w:szCs w:val="21"/>
              </w:rPr>
            </w:pPr>
            <w:r w:rsidRPr="00D20835">
              <w:rPr>
                <w:rFonts w:asciiTheme="majorBidi" w:hAnsiTheme="majorBidi" w:cstheme="majorBidi"/>
                <w:sz w:val="21"/>
                <w:szCs w:val="21"/>
              </w:rPr>
              <w:t xml:space="preserve">Comprises over </w:t>
            </w:r>
            <w:r w:rsidRPr="00D20835">
              <w:rPr>
                <w:rStyle w:val="MdStrong"/>
                <w:rFonts w:asciiTheme="majorBidi" w:hAnsiTheme="majorBidi" w:cstheme="majorBidi"/>
                <w:sz w:val="21"/>
                <w:szCs w:val="21"/>
              </w:rPr>
              <w:t>300,000 parts</w:t>
            </w:r>
            <w:r w:rsidRPr="00D20835">
              <w:rPr>
                <w:rFonts w:asciiTheme="majorBidi" w:hAnsiTheme="majorBidi" w:cstheme="majorBidi"/>
                <w:sz w:val="21"/>
                <w:szCs w:val="21"/>
              </w:rPr>
              <w:t xml:space="preserve"> requiring approximately </w:t>
            </w:r>
            <w:r w:rsidRPr="00D20835">
              <w:rPr>
                <w:rStyle w:val="MdStrong"/>
                <w:rFonts w:asciiTheme="majorBidi" w:hAnsiTheme="majorBidi" w:cstheme="majorBidi"/>
                <w:sz w:val="21"/>
                <w:szCs w:val="21"/>
              </w:rPr>
              <w:t>42,000 labor hours</w:t>
            </w:r>
            <w:r w:rsidRPr="00D20835">
              <w:rPr>
                <w:rFonts w:asciiTheme="majorBidi" w:hAnsiTheme="majorBidi" w:cstheme="majorBidi"/>
                <w:sz w:val="21"/>
                <w:szCs w:val="21"/>
              </w:rPr>
              <w:t xml:space="preserve"> per aircraft. The supply chain relies on more than </w:t>
            </w:r>
            <w:r w:rsidRPr="00D20835">
              <w:rPr>
                <w:rStyle w:val="MdStrong"/>
                <w:rFonts w:asciiTheme="majorBidi" w:hAnsiTheme="majorBidi" w:cstheme="majorBidi"/>
                <w:sz w:val="21"/>
                <w:szCs w:val="21"/>
              </w:rPr>
              <w:t>1,700 suppliers</w:t>
            </w:r>
            <w:r w:rsidRPr="00D20835">
              <w:rPr>
                <w:rFonts w:asciiTheme="majorBidi" w:hAnsiTheme="majorBidi" w:cstheme="majorBidi"/>
                <w:sz w:val="21"/>
                <w:szCs w:val="21"/>
              </w:rPr>
              <w:t xml:space="preserve"> spread across over a dozen countries [4] [5].</w:t>
            </w:r>
          </w:p>
        </w:tc>
      </w:tr>
      <w:tr w:rsidR="00A32801" w:rsidRPr="00D20835" w14:paraId="277C6D6D"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302DF2C9" w14:textId="77777777" w:rsidR="00A32801" w:rsidRPr="00D20835" w:rsidRDefault="00000000">
            <w:pPr>
              <w:pStyle w:val="MdTableCell"/>
              <w:rPr>
                <w:rFonts w:asciiTheme="majorBidi" w:hAnsiTheme="majorBidi" w:cstheme="majorBidi"/>
                <w:sz w:val="21"/>
                <w:szCs w:val="21"/>
              </w:rPr>
            </w:pPr>
            <w:r w:rsidRPr="00D20835">
              <w:rPr>
                <w:rStyle w:val="MdStrong"/>
                <w:rFonts w:asciiTheme="majorBidi" w:hAnsiTheme="majorBidi" w:cstheme="majorBidi"/>
                <w:sz w:val="21"/>
                <w:szCs w:val="21"/>
              </w:rPr>
              <w:t>Columbia-Class Submarine</w:t>
            </w:r>
          </w:p>
        </w:tc>
        <w:tc>
          <w:tcPr>
            <w:tcW w:w="0" w:type="auto"/>
            <w:tcMar>
              <w:top w:w="80" w:type="dxa"/>
              <w:left w:w="120" w:type="dxa"/>
              <w:bottom w:w="80" w:type="dxa"/>
              <w:right w:w="120" w:type="dxa"/>
            </w:tcMar>
            <w:vAlign w:val="center"/>
          </w:tcPr>
          <w:p w14:paraId="6DC7DD29" w14:textId="77777777" w:rsidR="00A32801" w:rsidRPr="00D20835" w:rsidRDefault="00000000">
            <w:pPr>
              <w:pStyle w:val="MdTableCell"/>
              <w:rPr>
                <w:rFonts w:asciiTheme="majorBidi" w:hAnsiTheme="majorBidi" w:cstheme="majorBidi"/>
                <w:sz w:val="21"/>
                <w:szCs w:val="21"/>
              </w:rPr>
            </w:pPr>
            <w:r w:rsidRPr="00D20835">
              <w:rPr>
                <w:rFonts w:asciiTheme="majorBidi" w:hAnsiTheme="majorBidi" w:cstheme="majorBidi"/>
                <w:sz w:val="21"/>
                <w:szCs w:val="21"/>
              </w:rPr>
              <w:t xml:space="preserve">Requires a vast network of over </w:t>
            </w:r>
            <w:r w:rsidRPr="00D20835">
              <w:rPr>
                <w:rStyle w:val="MdStrong"/>
                <w:rFonts w:asciiTheme="majorBidi" w:hAnsiTheme="majorBidi" w:cstheme="majorBidi"/>
                <w:sz w:val="21"/>
                <w:szCs w:val="21"/>
              </w:rPr>
              <w:t>5,000 suppliers</w:t>
            </w:r>
            <w:r w:rsidRPr="00D20835">
              <w:rPr>
                <w:rFonts w:asciiTheme="majorBidi" w:hAnsiTheme="majorBidi" w:cstheme="majorBidi"/>
                <w:sz w:val="21"/>
                <w:szCs w:val="21"/>
              </w:rPr>
              <w:t xml:space="preserve"> across 48 states. Alarmingly, this supplier base has declined by 70% from the 17,000 suppliers that supported previous submarine programs [6].</w:t>
            </w:r>
          </w:p>
        </w:tc>
      </w:tr>
      <w:tr w:rsidR="00A32801" w:rsidRPr="00D20835" w14:paraId="1E8B1844"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6B7EA7EA" w14:textId="77777777" w:rsidR="00A32801" w:rsidRPr="00D20835" w:rsidRDefault="00000000">
            <w:pPr>
              <w:pStyle w:val="MdTableCell"/>
              <w:rPr>
                <w:rFonts w:asciiTheme="majorBidi" w:hAnsiTheme="majorBidi" w:cstheme="majorBidi"/>
                <w:sz w:val="21"/>
                <w:szCs w:val="21"/>
              </w:rPr>
            </w:pPr>
            <w:r w:rsidRPr="00D20835">
              <w:rPr>
                <w:rStyle w:val="MdStrong"/>
                <w:rFonts w:asciiTheme="majorBidi" w:hAnsiTheme="majorBidi" w:cstheme="majorBidi"/>
                <w:sz w:val="21"/>
                <w:szCs w:val="21"/>
              </w:rPr>
              <w:t>Virginia-Class Submarine</w:t>
            </w:r>
          </w:p>
        </w:tc>
        <w:tc>
          <w:tcPr>
            <w:tcW w:w="0" w:type="auto"/>
            <w:tcMar>
              <w:top w:w="80" w:type="dxa"/>
              <w:left w:w="120" w:type="dxa"/>
              <w:bottom w:w="80" w:type="dxa"/>
              <w:right w:w="120" w:type="dxa"/>
            </w:tcMar>
            <w:vAlign w:val="center"/>
          </w:tcPr>
          <w:p w14:paraId="74FCBA7C" w14:textId="33E05E3F" w:rsidR="00A32801" w:rsidRPr="00D20835" w:rsidRDefault="00B91CC2" w:rsidP="00B91CC2">
            <w:pPr>
              <w:pStyle w:val="MdTableCell"/>
              <w:rPr>
                <w:rFonts w:asciiTheme="majorBidi" w:hAnsiTheme="majorBidi" w:cstheme="majorBidi"/>
                <w:sz w:val="21"/>
                <w:szCs w:val="21"/>
              </w:rPr>
            </w:pPr>
            <w:r w:rsidRPr="00B91CC2">
              <w:rPr>
                <w:rFonts w:asciiTheme="majorBidi" w:hAnsiTheme="majorBidi" w:cstheme="majorBidi"/>
                <w:sz w:val="21"/>
                <w:szCs w:val="21"/>
              </w:rPr>
              <w:t>Construction depends on a small number of prime shipyards and thousands of critical suppliers across all 50 states.</w:t>
            </w:r>
            <w:r w:rsidRPr="00B91CC2">
              <w:rPr>
                <w:rFonts w:asciiTheme="majorBidi" w:hAnsiTheme="majorBidi" w:cstheme="majorBidi"/>
                <w:sz w:val="21"/>
                <w:szCs w:val="21"/>
              </w:rPr>
              <w:t xml:space="preserve"> </w:t>
            </w:r>
            <w:r w:rsidR="00000000" w:rsidRPr="00D20835">
              <w:rPr>
                <w:rFonts w:asciiTheme="majorBidi" w:hAnsiTheme="majorBidi" w:cstheme="majorBidi"/>
                <w:sz w:val="21"/>
                <w:szCs w:val="21"/>
              </w:rPr>
              <w:t>[7].</w:t>
            </w:r>
          </w:p>
        </w:tc>
      </w:tr>
      <w:tr w:rsidR="00A32801" w:rsidRPr="00D20835" w14:paraId="59F6C130" w14:textId="77777777">
        <w:tblPrEx>
          <w:tblCellMar>
            <w:top w:w="0" w:type="dxa"/>
            <w:bottom w:w="0" w:type="dxa"/>
          </w:tblCellMar>
        </w:tblPrEx>
        <w:trPr>
          <w:cantSplit/>
          <w:trHeight w:val="576"/>
        </w:trPr>
        <w:tc>
          <w:tcPr>
            <w:tcW w:w="0" w:type="auto"/>
            <w:tcBorders>
              <w:bottom w:val="single" w:sz="4" w:space="0" w:color="E1E4E8"/>
            </w:tcBorders>
            <w:tcMar>
              <w:top w:w="80" w:type="dxa"/>
              <w:left w:w="120" w:type="dxa"/>
              <w:bottom w:w="80" w:type="dxa"/>
              <w:right w:w="120" w:type="dxa"/>
            </w:tcMar>
            <w:vAlign w:val="center"/>
          </w:tcPr>
          <w:p w14:paraId="592EADDC" w14:textId="77777777" w:rsidR="00A32801" w:rsidRPr="00D20835" w:rsidRDefault="00000000">
            <w:pPr>
              <w:pStyle w:val="MdTableCell"/>
              <w:rPr>
                <w:rFonts w:asciiTheme="majorBidi" w:hAnsiTheme="majorBidi" w:cstheme="majorBidi"/>
                <w:sz w:val="21"/>
                <w:szCs w:val="21"/>
              </w:rPr>
            </w:pPr>
            <w:r w:rsidRPr="00D20835">
              <w:rPr>
                <w:rStyle w:val="MdStrong"/>
                <w:rFonts w:asciiTheme="majorBidi" w:hAnsiTheme="majorBidi" w:cstheme="majorBidi"/>
                <w:sz w:val="21"/>
                <w:szCs w:val="21"/>
              </w:rPr>
              <w:t>Overall Defense Industrial Base</w:t>
            </w:r>
          </w:p>
        </w:tc>
        <w:tc>
          <w:tcPr>
            <w:tcW w:w="0" w:type="auto"/>
            <w:tcBorders>
              <w:bottom w:val="single" w:sz="4" w:space="0" w:color="E1E4E8"/>
            </w:tcBorders>
            <w:tcMar>
              <w:top w:w="80" w:type="dxa"/>
              <w:left w:w="120" w:type="dxa"/>
              <w:bottom w:w="80" w:type="dxa"/>
              <w:right w:w="120" w:type="dxa"/>
            </w:tcMar>
            <w:vAlign w:val="center"/>
          </w:tcPr>
          <w:p w14:paraId="6ED0C3DC" w14:textId="77777777" w:rsidR="00A32801" w:rsidRPr="00D20835" w:rsidRDefault="00000000">
            <w:pPr>
              <w:pStyle w:val="MdTableCell"/>
              <w:rPr>
                <w:rFonts w:asciiTheme="majorBidi" w:hAnsiTheme="majorBidi" w:cstheme="majorBidi"/>
                <w:sz w:val="21"/>
                <w:szCs w:val="21"/>
              </w:rPr>
            </w:pPr>
            <w:r w:rsidRPr="00D20835">
              <w:rPr>
                <w:rFonts w:asciiTheme="majorBidi" w:hAnsiTheme="majorBidi" w:cstheme="majorBidi"/>
                <w:sz w:val="21"/>
                <w:szCs w:val="21"/>
              </w:rPr>
              <w:t xml:space="preserve">The Government Accountability Office (GAO) estimates that over </w:t>
            </w:r>
            <w:r w:rsidRPr="00D20835">
              <w:rPr>
                <w:rStyle w:val="MdStrong"/>
                <w:rFonts w:asciiTheme="majorBidi" w:hAnsiTheme="majorBidi" w:cstheme="majorBidi"/>
                <w:sz w:val="21"/>
                <w:szCs w:val="21"/>
              </w:rPr>
              <w:t>200,000 suppliers</w:t>
            </w:r>
            <w:r w:rsidRPr="00D20835">
              <w:rPr>
                <w:rFonts w:asciiTheme="majorBidi" w:hAnsiTheme="majorBidi" w:cstheme="majorBidi"/>
                <w:sz w:val="21"/>
                <w:szCs w:val="21"/>
              </w:rPr>
              <w:t xml:space="preserve"> are required to produce advanced weapon systems and noncombat goods for the DoD [8].</w:t>
            </w:r>
          </w:p>
        </w:tc>
      </w:tr>
    </w:tbl>
    <w:p w14:paraId="6A5E286D" w14:textId="77777777" w:rsidR="00A32801" w:rsidRPr="00D20835" w:rsidRDefault="00000000">
      <w:pPr>
        <w:pStyle w:val="MdHeading2"/>
        <w:rPr>
          <w:rFonts w:asciiTheme="majorBidi" w:hAnsiTheme="majorBidi" w:cstheme="majorBidi"/>
          <w:sz w:val="24"/>
          <w:szCs w:val="24"/>
        </w:rPr>
      </w:pPr>
      <w:r w:rsidRPr="00D20835">
        <w:rPr>
          <w:rFonts w:asciiTheme="majorBidi" w:hAnsiTheme="majorBidi" w:cstheme="majorBidi"/>
          <w:sz w:val="24"/>
          <w:szCs w:val="24"/>
        </w:rPr>
        <w:t>The Knowledge Problem: Why Centralized Coordination Fails</w:t>
      </w:r>
    </w:p>
    <w:p w14:paraId="2A046B67" w14:textId="7D6A25CC" w:rsidR="00A32801" w:rsidRPr="00D20835" w:rsidRDefault="00000000" w:rsidP="00D20835">
      <w:pPr>
        <w:pStyle w:val="MdParagraph"/>
        <w:rPr>
          <w:rFonts w:asciiTheme="majorBidi" w:hAnsiTheme="majorBidi" w:cstheme="majorBidi"/>
        </w:rPr>
      </w:pPr>
      <w:r w:rsidRPr="00D20835">
        <w:rPr>
          <w:rFonts w:asciiTheme="majorBidi" w:hAnsiTheme="majorBidi" w:cstheme="majorBidi"/>
        </w:rPr>
        <w:t xml:space="preserve">The second fallacy is the belief that modern supply chain bottlenecks can be resolved through centralized coordination, akin to the WWII War Production Board. In 1942, the industrial landscape was legible; leaders could convene the major industrial players in a single room to allocate priorities. </w:t>
      </w:r>
    </w:p>
    <w:p w14:paraId="3B097067" w14:textId="6C38F2FA" w:rsidR="00A32801" w:rsidRPr="00D20835" w:rsidRDefault="00000000" w:rsidP="00D20835">
      <w:pPr>
        <w:pStyle w:val="MdParagraph"/>
        <w:rPr>
          <w:rFonts w:asciiTheme="majorBidi" w:hAnsiTheme="majorBidi" w:cstheme="majorBidi"/>
        </w:rPr>
      </w:pPr>
      <w:r w:rsidRPr="00D20835">
        <w:rPr>
          <w:rFonts w:asciiTheme="majorBidi" w:hAnsiTheme="majorBidi" w:cstheme="majorBidi"/>
        </w:rPr>
        <w:t xml:space="preserve">Modern defense supply chains, however, are infinitely </w:t>
      </w:r>
      <w:proofErr w:type="gramStart"/>
      <w:r w:rsidRPr="00D20835">
        <w:rPr>
          <w:rFonts w:asciiTheme="majorBidi" w:hAnsiTheme="majorBidi" w:cstheme="majorBidi"/>
        </w:rPr>
        <w:t>more complex and opaque</w:t>
      </w:r>
      <w:proofErr w:type="gramEnd"/>
      <w:r w:rsidRPr="00D20835">
        <w:rPr>
          <w:rFonts w:asciiTheme="majorBidi" w:hAnsiTheme="majorBidi" w:cstheme="majorBidi"/>
        </w:rPr>
        <w:t xml:space="preserve">. They are not flat networks but deep, multi-tiered ecosystems that extend six to ten levels deep. While risks at the prime contractor level (Tier 1) are visible and actively managed, fragility accumulates in the lower tiers (Tiers 3 and below), where small, capital-constrained firms face single-source dependencies and capacity constraints [9]. </w:t>
      </w:r>
    </w:p>
    <w:p w14:paraId="7429E88C" w14:textId="77777777" w:rsidR="00A32801" w:rsidRPr="00D20835" w:rsidRDefault="00000000">
      <w:pPr>
        <w:pStyle w:val="MdParagraph"/>
        <w:rPr>
          <w:rFonts w:asciiTheme="majorBidi" w:hAnsiTheme="majorBidi" w:cstheme="majorBidi"/>
        </w:rPr>
      </w:pPr>
      <w:r w:rsidRPr="00D20835">
        <w:rPr>
          <w:rFonts w:asciiTheme="majorBidi" w:hAnsiTheme="majorBidi" w:cstheme="majorBidi"/>
        </w:rPr>
        <w:t xml:space="preserve">This opacity presents a classic Hayekian knowledge problem [10]. The information required to mobilize these distributed, specialized firms is tacit and decentralized. Consider that </w:t>
      </w:r>
      <w:r w:rsidRPr="00D20835">
        <w:rPr>
          <w:rStyle w:val="MdStrong"/>
          <w:rFonts w:asciiTheme="majorBidi" w:hAnsiTheme="majorBidi" w:cstheme="majorBidi"/>
        </w:rPr>
        <w:t>84 percent of prime contractors have no visibility beyond their Tier-1 suppliers</w:t>
      </w:r>
      <w:r w:rsidRPr="00D20835">
        <w:rPr>
          <w:rFonts w:asciiTheme="majorBidi" w:hAnsiTheme="majorBidi" w:cstheme="majorBidi"/>
        </w:rPr>
        <w:t xml:space="preserve"> [2], yet the Defense Business Board notes that </w:t>
      </w:r>
      <w:r w:rsidRPr="00D20835">
        <w:rPr>
          <w:rStyle w:val="MdStrong"/>
          <w:rFonts w:asciiTheme="majorBidi" w:hAnsiTheme="majorBidi" w:cstheme="majorBidi"/>
        </w:rPr>
        <w:t>80 percent of supply chain issues originate with sub-tier suppliers</w:t>
      </w:r>
      <w:r w:rsidRPr="00D20835">
        <w:rPr>
          <w:rFonts w:asciiTheme="majorBidi" w:hAnsiTheme="majorBidi" w:cstheme="majorBidi"/>
        </w:rPr>
        <w:t xml:space="preserve"> [11]. No centralized board, regardless of its staffing or authority, can aggregate the localized knowledge necessary to optimize production across 200,000 interconnected nodes. When the government attempts to direct production from the top down, it inevitably misallocates resources and fails to address the hidden constraints deep within the supply chain.</w:t>
      </w:r>
    </w:p>
    <w:p w14:paraId="06CB277E" w14:textId="77777777" w:rsidR="00A32801" w:rsidRPr="00D20835" w:rsidRDefault="00A32801">
      <w:pPr>
        <w:pStyle w:val="MdSpace"/>
        <w:spacing w:after="60"/>
        <w:rPr>
          <w:rFonts w:asciiTheme="majorBidi" w:hAnsiTheme="majorBidi" w:cstheme="majorBidi"/>
          <w:sz w:val="24"/>
          <w:szCs w:val="24"/>
        </w:rPr>
      </w:pPr>
    </w:p>
    <w:p w14:paraId="3AB6BE27" w14:textId="77777777" w:rsidR="00A32801" w:rsidRPr="00D20835" w:rsidRDefault="00000000">
      <w:pPr>
        <w:pStyle w:val="MdHeading2"/>
        <w:rPr>
          <w:rFonts w:asciiTheme="majorBidi" w:hAnsiTheme="majorBidi" w:cstheme="majorBidi"/>
          <w:sz w:val="24"/>
          <w:szCs w:val="24"/>
        </w:rPr>
      </w:pPr>
      <w:r w:rsidRPr="00D20835">
        <w:rPr>
          <w:rFonts w:asciiTheme="majorBidi" w:hAnsiTheme="majorBidi" w:cstheme="majorBidi"/>
          <w:sz w:val="24"/>
          <w:szCs w:val="24"/>
        </w:rPr>
        <w:t>The Policy Mismatch: Missing the Middle</w:t>
      </w:r>
    </w:p>
    <w:p w14:paraId="0FA9AC8C" w14:textId="77777777" w:rsidR="00A32801" w:rsidRPr="00D20835" w:rsidRDefault="00000000">
      <w:pPr>
        <w:pStyle w:val="MdParagraph"/>
        <w:rPr>
          <w:rFonts w:asciiTheme="majorBidi" w:hAnsiTheme="majorBidi" w:cstheme="majorBidi"/>
        </w:rPr>
      </w:pPr>
      <w:r w:rsidRPr="00D20835">
        <w:rPr>
          <w:rFonts w:asciiTheme="majorBidi" w:hAnsiTheme="majorBidi" w:cstheme="majorBidi"/>
        </w:rPr>
        <w:t>Recognizing the crisis, the government has launched numerous initiatives, but these efforts systematically miss the decisive variable: the mid-tier manufacturers. Current policies attack the problem from the extremes:</w:t>
      </w:r>
    </w:p>
    <w:p w14:paraId="7B4D2A2F" w14:textId="77777777" w:rsidR="00A32801" w:rsidRPr="00D20835" w:rsidRDefault="00A32801">
      <w:pPr>
        <w:pStyle w:val="MdSpace"/>
        <w:spacing w:after="60"/>
        <w:rPr>
          <w:rFonts w:asciiTheme="majorBidi" w:hAnsiTheme="majorBidi" w:cstheme="majorBidi"/>
          <w:sz w:val="24"/>
          <w:szCs w:val="24"/>
        </w:rPr>
      </w:pPr>
    </w:p>
    <w:tbl>
      <w:tblPr>
        <w:tblW w:w="5000" w:type="pct"/>
        <w:tblBorders>
          <w:top w:val="single" w:sz="4" w:space="0" w:color="E1E4E8"/>
          <w:bottom w:val="single" w:sz="4" w:space="0" w:color="E1E4E8"/>
          <w:insideH w:val="single" w:sz="2" w:space="0" w:color="E1E4E8"/>
          <w:insideV w:val="single" w:sz="2" w:space="0" w:color="F6F8FA"/>
        </w:tblBorders>
        <w:tblCellMar>
          <w:left w:w="10" w:type="dxa"/>
          <w:right w:w="10" w:type="dxa"/>
        </w:tblCellMar>
        <w:tblLook w:val="04A0" w:firstRow="1" w:lastRow="0" w:firstColumn="1" w:lastColumn="0" w:noHBand="0" w:noVBand="1"/>
      </w:tblPr>
      <w:tblGrid>
        <w:gridCol w:w="1607"/>
        <w:gridCol w:w="2911"/>
        <w:gridCol w:w="4508"/>
      </w:tblGrid>
      <w:tr w:rsidR="00D20835" w:rsidRPr="00D20835" w14:paraId="4EDACA2C" w14:textId="77777777">
        <w:tblPrEx>
          <w:tblCellMar>
            <w:top w:w="0" w:type="dxa"/>
            <w:bottom w:w="0" w:type="dxa"/>
          </w:tblCellMar>
        </w:tblPrEx>
        <w:trPr>
          <w:cantSplit/>
          <w:trHeight w:val="720"/>
          <w:tblHeader/>
        </w:trPr>
        <w:tc>
          <w:tcPr>
            <w:tcW w:w="0" w:type="auto"/>
            <w:tcMar>
              <w:top w:w="100" w:type="dxa"/>
              <w:left w:w="120" w:type="dxa"/>
              <w:bottom w:w="100" w:type="dxa"/>
              <w:right w:w="120" w:type="dxa"/>
            </w:tcMar>
            <w:vAlign w:val="center"/>
          </w:tcPr>
          <w:p w14:paraId="5A58372C" w14:textId="77777777" w:rsidR="00A32801" w:rsidRPr="00D20835" w:rsidRDefault="00000000">
            <w:pPr>
              <w:pStyle w:val="MdTableHeader"/>
              <w:rPr>
                <w:rFonts w:asciiTheme="majorBidi" w:hAnsiTheme="majorBidi" w:cstheme="majorBidi"/>
                <w:sz w:val="21"/>
                <w:szCs w:val="21"/>
              </w:rPr>
            </w:pPr>
            <w:r w:rsidRPr="00D20835">
              <w:rPr>
                <w:rFonts w:asciiTheme="majorBidi" w:hAnsiTheme="majorBidi" w:cstheme="majorBidi"/>
                <w:sz w:val="21"/>
                <w:szCs w:val="21"/>
              </w:rPr>
              <w:lastRenderedPageBreak/>
              <w:t>Target Tier</w:t>
            </w:r>
          </w:p>
        </w:tc>
        <w:tc>
          <w:tcPr>
            <w:tcW w:w="0" w:type="auto"/>
            <w:tcMar>
              <w:top w:w="100" w:type="dxa"/>
              <w:left w:w="120" w:type="dxa"/>
              <w:bottom w:w="100" w:type="dxa"/>
              <w:right w:w="120" w:type="dxa"/>
            </w:tcMar>
            <w:vAlign w:val="center"/>
          </w:tcPr>
          <w:p w14:paraId="0549749F" w14:textId="77777777" w:rsidR="00A32801" w:rsidRPr="00D20835" w:rsidRDefault="00000000">
            <w:pPr>
              <w:pStyle w:val="MdTableHeader"/>
              <w:rPr>
                <w:rFonts w:asciiTheme="majorBidi" w:hAnsiTheme="majorBidi" w:cstheme="majorBidi"/>
                <w:sz w:val="21"/>
                <w:szCs w:val="21"/>
              </w:rPr>
            </w:pPr>
            <w:r w:rsidRPr="00D20835">
              <w:rPr>
                <w:rFonts w:asciiTheme="majorBidi" w:hAnsiTheme="majorBidi" w:cstheme="majorBidi"/>
                <w:sz w:val="21"/>
                <w:szCs w:val="21"/>
              </w:rPr>
              <w:t>Current Initiatives</w:t>
            </w:r>
          </w:p>
        </w:tc>
        <w:tc>
          <w:tcPr>
            <w:tcW w:w="0" w:type="auto"/>
            <w:tcMar>
              <w:top w:w="100" w:type="dxa"/>
              <w:left w:w="120" w:type="dxa"/>
              <w:bottom w:w="100" w:type="dxa"/>
              <w:right w:w="120" w:type="dxa"/>
            </w:tcMar>
            <w:vAlign w:val="center"/>
          </w:tcPr>
          <w:p w14:paraId="6E0B9EDF" w14:textId="77777777" w:rsidR="00A32801" w:rsidRPr="00D20835" w:rsidRDefault="00000000">
            <w:pPr>
              <w:pStyle w:val="MdTableHeader"/>
              <w:rPr>
                <w:rFonts w:asciiTheme="majorBidi" w:hAnsiTheme="majorBidi" w:cstheme="majorBidi"/>
                <w:sz w:val="21"/>
                <w:szCs w:val="21"/>
              </w:rPr>
            </w:pPr>
            <w:r w:rsidRPr="00D20835">
              <w:rPr>
                <w:rFonts w:asciiTheme="majorBidi" w:hAnsiTheme="majorBidi" w:cstheme="majorBidi"/>
                <w:sz w:val="21"/>
                <w:szCs w:val="21"/>
              </w:rPr>
              <w:t>Structural Blind Spots</w:t>
            </w:r>
          </w:p>
        </w:tc>
      </w:tr>
      <w:tr w:rsidR="00D20835" w:rsidRPr="00D20835" w14:paraId="09C37932"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3A8AC8E2" w14:textId="60E5E80B" w:rsidR="00A32801" w:rsidRPr="00D20835" w:rsidRDefault="00000000">
            <w:pPr>
              <w:pStyle w:val="MdTableCell"/>
              <w:rPr>
                <w:rFonts w:asciiTheme="majorBidi" w:hAnsiTheme="majorBidi" w:cstheme="majorBidi"/>
                <w:sz w:val="21"/>
                <w:szCs w:val="21"/>
              </w:rPr>
            </w:pPr>
            <w:r w:rsidRPr="00D20835">
              <w:rPr>
                <w:rStyle w:val="MdStrong"/>
                <w:rFonts w:asciiTheme="majorBidi" w:hAnsiTheme="majorBidi" w:cstheme="majorBidi"/>
                <w:sz w:val="21"/>
                <w:szCs w:val="21"/>
              </w:rPr>
              <w:t>Top (Primes</w:t>
            </w:r>
            <w:r w:rsidR="00D20835">
              <w:rPr>
                <w:rStyle w:val="MdStrong"/>
                <w:sz w:val="21"/>
                <w:szCs w:val="21"/>
              </w:rPr>
              <w:t>)</w:t>
            </w:r>
          </w:p>
        </w:tc>
        <w:tc>
          <w:tcPr>
            <w:tcW w:w="0" w:type="auto"/>
            <w:tcMar>
              <w:top w:w="80" w:type="dxa"/>
              <w:left w:w="120" w:type="dxa"/>
              <w:bottom w:w="80" w:type="dxa"/>
              <w:right w:w="120" w:type="dxa"/>
            </w:tcMar>
            <w:vAlign w:val="center"/>
          </w:tcPr>
          <w:p w14:paraId="79496A34" w14:textId="77777777" w:rsidR="00A32801" w:rsidRPr="00D20835" w:rsidRDefault="00000000">
            <w:pPr>
              <w:pStyle w:val="MdTableCell"/>
              <w:rPr>
                <w:rFonts w:asciiTheme="majorBidi" w:hAnsiTheme="majorBidi" w:cstheme="majorBidi"/>
                <w:sz w:val="21"/>
                <w:szCs w:val="21"/>
              </w:rPr>
            </w:pPr>
            <w:r w:rsidRPr="00D20835">
              <w:rPr>
                <w:rFonts w:asciiTheme="majorBidi" w:hAnsiTheme="majorBidi" w:cstheme="majorBidi"/>
                <w:sz w:val="21"/>
                <w:szCs w:val="21"/>
              </w:rPr>
              <w:t>Executive Orders restricting buybacks, tying executive compensation to delivery, and streamlining acquisitions.</w:t>
            </w:r>
          </w:p>
        </w:tc>
        <w:tc>
          <w:tcPr>
            <w:tcW w:w="0" w:type="auto"/>
            <w:tcMar>
              <w:top w:w="80" w:type="dxa"/>
              <w:left w:w="120" w:type="dxa"/>
              <w:bottom w:w="80" w:type="dxa"/>
              <w:right w:w="120" w:type="dxa"/>
            </w:tcMar>
            <w:vAlign w:val="center"/>
          </w:tcPr>
          <w:p w14:paraId="107C4082" w14:textId="77777777" w:rsidR="00A32801" w:rsidRPr="00D20835" w:rsidRDefault="00000000">
            <w:pPr>
              <w:pStyle w:val="MdTableCell"/>
              <w:rPr>
                <w:rFonts w:asciiTheme="majorBidi" w:hAnsiTheme="majorBidi" w:cstheme="majorBidi"/>
                <w:sz w:val="21"/>
                <w:szCs w:val="21"/>
              </w:rPr>
            </w:pPr>
            <w:r w:rsidRPr="00D20835">
              <w:rPr>
                <w:rFonts w:asciiTheme="majorBidi" w:hAnsiTheme="majorBidi" w:cstheme="majorBidi"/>
                <w:sz w:val="21"/>
                <w:szCs w:val="21"/>
              </w:rPr>
              <w:t>Cannot create sub-tier depth that does not exist. Primes cannot optimize production if lower-tier suppliers lack capital and capacity.</w:t>
            </w:r>
          </w:p>
        </w:tc>
      </w:tr>
      <w:tr w:rsidR="00D20835" w:rsidRPr="00D20835" w14:paraId="6AE1E34F"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2B0D2EF5" w14:textId="2E2F1B6B" w:rsidR="00A32801" w:rsidRPr="00D20835" w:rsidRDefault="00000000">
            <w:pPr>
              <w:pStyle w:val="MdTableCell"/>
              <w:rPr>
                <w:rFonts w:asciiTheme="majorBidi" w:hAnsiTheme="majorBidi" w:cstheme="majorBidi"/>
                <w:sz w:val="21"/>
                <w:szCs w:val="21"/>
              </w:rPr>
            </w:pPr>
            <w:r w:rsidRPr="00D20835">
              <w:rPr>
                <w:rStyle w:val="MdStrong"/>
                <w:rFonts w:asciiTheme="majorBidi" w:hAnsiTheme="majorBidi" w:cstheme="majorBidi"/>
                <w:sz w:val="21"/>
                <w:szCs w:val="21"/>
              </w:rPr>
              <w:t>Bottom (Startups</w:t>
            </w:r>
            <w:r w:rsidR="00D20835">
              <w:rPr>
                <w:rStyle w:val="MdStrong"/>
                <w:rFonts w:asciiTheme="majorBidi" w:hAnsiTheme="majorBidi" w:cstheme="majorBidi"/>
                <w:sz w:val="21"/>
                <w:szCs w:val="21"/>
              </w:rPr>
              <w:t xml:space="preserve"> and </w:t>
            </w:r>
            <w:proofErr w:type="spellStart"/>
            <w:r w:rsidR="00D20835">
              <w:rPr>
                <w:rStyle w:val="MdStrong"/>
                <w:sz w:val="21"/>
                <w:szCs w:val="21"/>
              </w:rPr>
              <w:t>and</w:t>
            </w:r>
            <w:proofErr w:type="spellEnd"/>
            <w:r w:rsidR="00D20835">
              <w:rPr>
                <w:rStyle w:val="MdStrong"/>
                <w:sz w:val="21"/>
                <w:szCs w:val="21"/>
              </w:rPr>
              <w:t xml:space="preserve"> “new” Primes</w:t>
            </w:r>
            <w:r w:rsidRPr="00D20835">
              <w:rPr>
                <w:rStyle w:val="MdStrong"/>
                <w:rFonts w:asciiTheme="majorBidi" w:hAnsiTheme="majorBidi" w:cstheme="majorBidi"/>
                <w:sz w:val="21"/>
                <w:szCs w:val="21"/>
              </w:rPr>
              <w:t>)</w:t>
            </w:r>
          </w:p>
        </w:tc>
        <w:tc>
          <w:tcPr>
            <w:tcW w:w="0" w:type="auto"/>
            <w:tcMar>
              <w:top w:w="80" w:type="dxa"/>
              <w:left w:w="120" w:type="dxa"/>
              <w:bottom w:w="80" w:type="dxa"/>
              <w:right w:w="120" w:type="dxa"/>
            </w:tcMar>
            <w:vAlign w:val="center"/>
          </w:tcPr>
          <w:p w14:paraId="33CF44E5" w14:textId="77777777" w:rsidR="00A32801" w:rsidRPr="00D20835" w:rsidRDefault="00000000">
            <w:pPr>
              <w:pStyle w:val="MdTableCell"/>
              <w:rPr>
                <w:rFonts w:asciiTheme="majorBidi" w:hAnsiTheme="majorBidi" w:cstheme="majorBidi"/>
                <w:sz w:val="21"/>
                <w:szCs w:val="21"/>
              </w:rPr>
            </w:pPr>
            <w:r w:rsidRPr="00D20835">
              <w:rPr>
                <w:rFonts w:asciiTheme="majorBidi" w:hAnsiTheme="majorBidi" w:cstheme="majorBidi"/>
                <w:sz w:val="21"/>
                <w:szCs w:val="21"/>
              </w:rPr>
              <w:t>Replicator, AFWERX, DIU, and venture capital matching (OSC SBICCT).</w:t>
            </w:r>
          </w:p>
        </w:tc>
        <w:tc>
          <w:tcPr>
            <w:tcW w:w="0" w:type="auto"/>
            <w:tcMar>
              <w:top w:w="80" w:type="dxa"/>
              <w:left w:w="120" w:type="dxa"/>
              <w:bottom w:w="80" w:type="dxa"/>
              <w:right w:w="120" w:type="dxa"/>
            </w:tcMar>
            <w:vAlign w:val="center"/>
          </w:tcPr>
          <w:p w14:paraId="3192E181" w14:textId="0FDD8245" w:rsidR="00A32801" w:rsidRPr="00D20835" w:rsidRDefault="00000000">
            <w:pPr>
              <w:pStyle w:val="MdTableCell"/>
              <w:rPr>
                <w:rFonts w:asciiTheme="majorBidi" w:hAnsiTheme="majorBidi" w:cstheme="majorBidi"/>
                <w:sz w:val="21"/>
                <w:szCs w:val="21"/>
              </w:rPr>
            </w:pPr>
            <w:r w:rsidRPr="00D20835">
              <w:rPr>
                <w:rFonts w:asciiTheme="majorBidi" w:hAnsiTheme="majorBidi" w:cstheme="majorBidi"/>
                <w:sz w:val="21"/>
                <w:szCs w:val="21"/>
              </w:rPr>
              <w:t>Focuses on early-stage R&amp;D and frontier technology discovery. Fails to provide the massive capital required for scaling physical production processes.</w:t>
            </w:r>
            <w:r w:rsidR="00D20835">
              <w:rPr>
                <w:rFonts w:asciiTheme="majorBidi" w:hAnsiTheme="majorBidi" w:cstheme="majorBidi"/>
                <w:sz w:val="21"/>
                <w:szCs w:val="21"/>
              </w:rPr>
              <w:t xml:space="preserve"> </w:t>
            </w:r>
            <w:r w:rsidR="00D20835">
              <w:t>Funding vertical supply capability within “new” primes, as required.</w:t>
            </w:r>
          </w:p>
        </w:tc>
      </w:tr>
      <w:tr w:rsidR="00D20835" w:rsidRPr="00D20835" w14:paraId="12BFCF32" w14:textId="77777777">
        <w:tblPrEx>
          <w:tblCellMar>
            <w:top w:w="0" w:type="dxa"/>
            <w:bottom w:w="0" w:type="dxa"/>
          </w:tblCellMar>
        </w:tblPrEx>
        <w:trPr>
          <w:cantSplit/>
          <w:trHeight w:val="576"/>
        </w:trPr>
        <w:tc>
          <w:tcPr>
            <w:tcW w:w="0" w:type="auto"/>
            <w:tcBorders>
              <w:bottom w:val="single" w:sz="4" w:space="0" w:color="E1E4E8"/>
            </w:tcBorders>
            <w:tcMar>
              <w:top w:w="80" w:type="dxa"/>
              <w:left w:w="120" w:type="dxa"/>
              <w:bottom w:w="80" w:type="dxa"/>
              <w:right w:w="120" w:type="dxa"/>
            </w:tcMar>
            <w:vAlign w:val="center"/>
          </w:tcPr>
          <w:p w14:paraId="76DA388B" w14:textId="77777777" w:rsidR="00A32801" w:rsidRPr="00D20835" w:rsidRDefault="00000000">
            <w:pPr>
              <w:pStyle w:val="MdTableCell"/>
              <w:rPr>
                <w:rFonts w:asciiTheme="majorBidi" w:hAnsiTheme="majorBidi" w:cstheme="majorBidi"/>
                <w:sz w:val="21"/>
                <w:szCs w:val="21"/>
              </w:rPr>
            </w:pPr>
            <w:proofErr w:type="gramStart"/>
            <w:r w:rsidRPr="00D20835">
              <w:rPr>
                <w:rStyle w:val="MdStrong"/>
                <w:rFonts w:asciiTheme="majorBidi" w:hAnsiTheme="majorBidi" w:cstheme="majorBidi"/>
                <w:sz w:val="21"/>
                <w:szCs w:val="21"/>
              </w:rPr>
              <w:t>Near-Middle</w:t>
            </w:r>
            <w:proofErr w:type="gramEnd"/>
          </w:p>
        </w:tc>
        <w:tc>
          <w:tcPr>
            <w:tcW w:w="0" w:type="auto"/>
            <w:tcBorders>
              <w:bottom w:val="single" w:sz="4" w:space="0" w:color="E1E4E8"/>
            </w:tcBorders>
            <w:tcMar>
              <w:top w:w="80" w:type="dxa"/>
              <w:left w:w="120" w:type="dxa"/>
              <w:bottom w:w="80" w:type="dxa"/>
              <w:right w:w="120" w:type="dxa"/>
            </w:tcMar>
            <w:vAlign w:val="center"/>
          </w:tcPr>
          <w:p w14:paraId="2CB82D73" w14:textId="77777777" w:rsidR="00A32801" w:rsidRPr="00D20835" w:rsidRDefault="00000000">
            <w:pPr>
              <w:pStyle w:val="MdTableCell"/>
              <w:rPr>
                <w:rFonts w:asciiTheme="majorBidi" w:hAnsiTheme="majorBidi" w:cstheme="majorBidi"/>
                <w:sz w:val="21"/>
                <w:szCs w:val="21"/>
              </w:rPr>
            </w:pPr>
            <w:r w:rsidRPr="00D20835">
              <w:rPr>
                <w:rFonts w:asciiTheme="majorBidi" w:hAnsiTheme="majorBidi" w:cstheme="majorBidi"/>
                <w:sz w:val="21"/>
                <w:szCs w:val="21"/>
              </w:rPr>
              <w:t>Office of Strategic Capital (OSC) Direct Lending, DPPA Title III, LPO.</w:t>
            </w:r>
          </w:p>
        </w:tc>
        <w:tc>
          <w:tcPr>
            <w:tcW w:w="0" w:type="auto"/>
            <w:tcBorders>
              <w:bottom w:val="single" w:sz="4" w:space="0" w:color="E1E4E8"/>
            </w:tcBorders>
            <w:tcMar>
              <w:top w:w="80" w:type="dxa"/>
              <w:left w:w="120" w:type="dxa"/>
              <w:bottom w:w="80" w:type="dxa"/>
              <w:right w:w="120" w:type="dxa"/>
            </w:tcMar>
            <w:vAlign w:val="center"/>
          </w:tcPr>
          <w:p w14:paraId="30B45F7B" w14:textId="3E96213E" w:rsidR="00A32801" w:rsidRPr="00D20835" w:rsidRDefault="00000000">
            <w:pPr>
              <w:pStyle w:val="MdTableCell"/>
              <w:rPr>
                <w:rFonts w:asciiTheme="majorBidi" w:hAnsiTheme="majorBidi" w:cstheme="majorBidi"/>
                <w:sz w:val="21"/>
                <w:szCs w:val="21"/>
              </w:rPr>
            </w:pPr>
            <w:r w:rsidRPr="00D20835">
              <w:rPr>
                <w:rFonts w:asciiTheme="majorBidi" w:hAnsiTheme="majorBidi" w:cstheme="majorBidi"/>
                <w:sz w:val="21"/>
                <w:szCs w:val="21"/>
              </w:rPr>
              <w:t>Discretionary grants and loans require lengthy government selection (often 6 months to 3 years) and high compliance costs. Cannot scale to reach tens of thousands of Tier 2-n suppliers.</w:t>
            </w:r>
            <w:r w:rsidR="00D20835">
              <w:rPr>
                <w:rStyle w:val="FootnoteReference"/>
                <w:rFonts w:asciiTheme="majorBidi" w:hAnsiTheme="majorBidi" w:cstheme="majorBidi"/>
                <w:sz w:val="21"/>
                <w:szCs w:val="21"/>
              </w:rPr>
              <w:footnoteReference w:id="1"/>
            </w:r>
          </w:p>
        </w:tc>
      </w:tr>
    </w:tbl>
    <w:p w14:paraId="3A218BBA" w14:textId="3FDB3C00" w:rsidR="00A32801" w:rsidRPr="00D20835" w:rsidRDefault="00000000" w:rsidP="00D20835">
      <w:pPr>
        <w:pStyle w:val="MdParagraph"/>
        <w:rPr>
          <w:rFonts w:asciiTheme="majorBidi" w:hAnsiTheme="majorBidi" w:cstheme="majorBidi"/>
        </w:rPr>
      </w:pPr>
      <w:r w:rsidRPr="00D20835">
        <w:rPr>
          <w:rFonts w:asciiTheme="majorBidi" w:hAnsiTheme="majorBidi" w:cstheme="majorBidi"/>
        </w:rPr>
        <w:t>While funding flows to research labs and prime contractors, the mid-scale companies best positioned to turn prototypes into production are starved for capital. The American deep research innovation pipeline suffers from compounding failures, including a "valley of death" between research and production that is almost entirely unfunded compared to allied nations [12]. These mid-tier firms are often privately held, thinly capitalized, and operate on narrow margins. They cannot afford to pre-finance facility expansion based on erratic, short-term government demand signals.</w:t>
      </w:r>
    </w:p>
    <w:p w14:paraId="22559A2E" w14:textId="68DA1DB8" w:rsidR="00A32801" w:rsidRPr="00D20835" w:rsidRDefault="00000000" w:rsidP="00D20835">
      <w:pPr>
        <w:pStyle w:val="MdParagraph"/>
        <w:rPr>
          <w:rFonts w:asciiTheme="majorBidi" w:hAnsiTheme="majorBidi" w:cstheme="majorBidi"/>
        </w:rPr>
      </w:pPr>
      <w:r w:rsidRPr="00D20835">
        <w:rPr>
          <w:rFonts w:asciiTheme="majorBidi" w:hAnsiTheme="majorBidi" w:cstheme="majorBidi"/>
        </w:rPr>
        <w:t>Meanwhile, adversaries are accelerating. China's coordinated import substitution campaign has systematically reduced foreign market share across strategic sectors</w:t>
      </w:r>
      <w:r w:rsidR="00D20835">
        <w:rPr>
          <w:rFonts w:asciiTheme="majorBidi" w:hAnsiTheme="majorBidi" w:cstheme="majorBidi"/>
        </w:rPr>
        <w:t xml:space="preserve">, </w:t>
      </w:r>
      <w:r w:rsidRPr="00D20835">
        <w:rPr>
          <w:rFonts w:asciiTheme="majorBidi" w:hAnsiTheme="majorBidi" w:cstheme="majorBidi"/>
        </w:rPr>
        <w:t>such as carbon fiber and industrial robots</w:t>
      </w:r>
      <w:r w:rsidR="00D20835">
        <w:rPr>
          <w:rFonts w:asciiTheme="majorBidi" w:hAnsiTheme="majorBidi" w:cstheme="majorBidi"/>
        </w:rPr>
        <w:t xml:space="preserve">, </w:t>
      </w:r>
      <w:r w:rsidRPr="00D20835">
        <w:rPr>
          <w:rFonts w:asciiTheme="majorBidi" w:hAnsiTheme="majorBidi" w:cstheme="majorBidi"/>
        </w:rPr>
        <w:t>by an average of 21 percentage points since 2020 [13]. The U.S. is weakening precisely as its primary competitor is strengthening its own deep-tier manufacturing substrate.</w:t>
      </w:r>
    </w:p>
    <w:p w14:paraId="4908967A" w14:textId="77777777" w:rsidR="00A32801" w:rsidRPr="00D20835" w:rsidRDefault="00000000">
      <w:pPr>
        <w:pStyle w:val="MdHeading2"/>
        <w:rPr>
          <w:rFonts w:asciiTheme="majorBidi" w:hAnsiTheme="majorBidi" w:cstheme="majorBidi"/>
          <w:sz w:val="24"/>
          <w:szCs w:val="24"/>
        </w:rPr>
      </w:pPr>
      <w:r w:rsidRPr="00D20835">
        <w:rPr>
          <w:rFonts w:asciiTheme="majorBidi" w:hAnsiTheme="majorBidi" w:cstheme="majorBidi"/>
          <w:sz w:val="24"/>
          <w:szCs w:val="24"/>
        </w:rPr>
        <w:t>The True Lesson of Freedom's Forge: Pricing, Not Directing</w:t>
      </w:r>
    </w:p>
    <w:p w14:paraId="2A7A52A2" w14:textId="12B2F922" w:rsidR="00A32801" w:rsidRPr="00D20835" w:rsidRDefault="00000000" w:rsidP="00D20835">
      <w:pPr>
        <w:pStyle w:val="MdParagraph"/>
        <w:rPr>
          <w:rFonts w:asciiTheme="majorBidi" w:hAnsiTheme="majorBidi" w:cstheme="majorBidi"/>
        </w:rPr>
      </w:pPr>
      <w:r w:rsidRPr="00D20835">
        <w:rPr>
          <w:rFonts w:asciiTheme="majorBidi" w:hAnsiTheme="majorBidi" w:cstheme="majorBidi"/>
        </w:rPr>
        <w:t xml:space="preserve">The most critical misunderstanding of WWII mobilization is the belief that the government directed the economy. </w:t>
      </w:r>
      <w:proofErr w:type="gramStart"/>
      <w:r w:rsidRPr="00D20835">
        <w:rPr>
          <w:rFonts w:asciiTheme="majorBidi" w:hAnsiTheme="majorBidi" w:cstheme="majorBidi"/>
        </w:rPr>
        <w:t>In reality, the</w:t>
      </w:r>
      <w:proofErr w:type="gramEnd"/>
      <w:r w:rsidRPr="00D20835">
        <w:rPr>
          <w:rFonts w:asciiTheme="majorBidi" w:hAnsiTheme="majorBidi" w:cstheme="majorBidi"/>
        </w:rPr>
        <w:t xml:space="preserve"> government </w:t>
      </w:r>
      <w:r w:rsidRPr="00D20835">
        <w:rPr>
          <w:rStyle w:val="MdEm"/>
          <w:rFonts w:asciiTheme="majorBidi" w:hAnsiTheme="majorBidi" w:cstheme="majorBidi"/>
        </w:rPr>
        <w:t>priced</w:t>
      </w:r>
      <w:r w:rsidRPr="00D20835">
        <w:rPr>
          <w:rFonts w:asciiTheme="majorBidi" w:hAnsiTheme="majorBidi" w:cstheme="majorBidi"/>
        </w:rPr>
        <w:t xml:space="preserve"> it. </w:t>
      </w:r>
    </w:p>
    <w:p w14:paraId="4CF06866" w14:textId="53A93F8D" w:rsidR="00A32801" w:rsidRPr="00D20835" w:rsidRDefault="00000000" w:rsidP="00D20835">
      <w:pPr>
        <w:pStyle w:val="MdParagraph"/>
        <w:rPr>
          <w:rFonts w:asciiTheme="majorBidi" w:hAnsiTheme="majorBidi" w:cstheme="majorBidi"/>
        </w:rPr>
      </w:pPr>
      <w:r w:rsidRPr="00D20835">
        <w:rPr>
          <w:rFonts w:asciiTheme="majorBidi" w:hAnsiTheme="majorBidi" w:cstheme="majorBidi"/>
        </w:rPr>
        <w:t xml:space="preserve">The success of the WWII Defense Plant Corporation (DPC) demonstrates that patriotism alone was insufficient to drive industrial expansion. Initially, major firms like Curtiss-Wright refused government loans to build new factories, fearing that the capacity would become worthless once the war ended [14]. The breakthrough came when the DPC implemented a government-owned, contractor-operated (GOCO) leasing model. The government assumed the </w:t>
      </w:r>
      <w:r w:rsidRPr="00D20835">
        <w:rPr>
          <w:rStyle w:val="MdEm"/>
          <w:rFonts w:asciiTheme="majorBidi" w:hAnsiTheme="majorBidi" w:cstheme="majorBidi"/>
        </w:rPr>
        <w:t>asset risk</w:t>
      </w:r>
      <w:r w:rsidRPr="00D20835">
        <w:rPr>
          <w:rFonts w:asciiTheme="majorBidi" w:hAnsiTheme="majorBidi" w:cstheme="majorBidi"/>
        </w:rPr>
        <w:t xml:space="preserve"> by financing and retaining title to the facilities, while private firms assumed the </w:t>
      </w:r>
      <w:r w:rsidRPr="00D20835">
        <w:rPr>
          <w:rStyle w:val="MdEm"/>
          <w:rFonts w:asciiTheme="majorBidi" w:hAnsiTheme="majorBidi" w:cstheme="majorBidi"/>
        </w:rPr>
        <w:t>operational risk</w:t>
      </w:r>
      <w:r w:rsidRPr="00D20835">
        <w:rPr>
          <w:rFonts w:asciiTheme="majorBidi" w:hAnsiTheme="majorBidi" w:cstheme="majorBidi"/>
        </w:rPr>
        <w:t xml:space="preserve"> [14]. </w:t>
      </w:r>
    </w:p>
    <w:p w14:paraId="222AA044" w14:textId="1EF7E94E" w:rsidR="00A32801" w:rsidRPr="00D20835" w:rsidRDefault="00000000" w:rsidP="00D20835">
      <w:pPr>
        <w:pStyle w:val="MdParagraph"/>
        <w:rPr>
          <w:rFonts w:asciiTheme="majorBidi" w:hAnsiTheme="majorBidi" w:cstheme="majorBidi"/>
        </w:rPr>
      </w:pPr>
      <w:r w:rsidRPr="00D20835">
        <w:rPr>
          <w:rFonts w:asciiTheme="majorBidi" w:hAnsiTheme="majorBidi" w:cstheme="majorBidi"/>
        </w:rPr>
        <w:lastRenderedPageBreak/>
        <w:t>The DPC did not pick technologies or dictate production methods; it provided capital access against a clear demand signal, making defense production economically rational for private actors. It aligned strategic national interests with private profit maximization.</w:t>
      </w:r>
    </w:p>
    <w:p w14:paraId="58531ABB" w14:textId="77777777" w:rsidR="00A32801" w:rsidRPr="00D20835" w:rsidRDefault="00000000">
      <w:pPr>
        <w:pStyle w:val="MdHeading2"/>
        <w:rPr>
          <w:rFonts w:asciiTheme="majorBidi" w:hAnsiTheme="majorBidi" w:cstheme="majorBidi"/>
          <w:sz w:val="24"/>
          <w:szCs w:val="24"/>
        </w:rPr>
      </w:pPr>
      <w:r w:rsidRPr="00D20835">
        <w:rPr>
          <w:rFonts w:asciiTheme="majorBidi" w:hAnsiTheme="majorBidi" w:cstheme="majorBidi"/>
          <w:sz w:val="24"/>
          <w:szCs w:val="24"/>
        </w:rPr>
        <w:t>A Modern Framework for Industrial Reconstitution</w:t>
      </w:r>
    </w:p>
    <w:p w14:paraId="07356376" w14:textId="77777777" w:rsidR="00A32801" w:rsidRPr="00D20835" w:rsidRDefault="00000000">
      <w:pPr>
        <w:pStyle w:val="MdParagraph"/>
        <w:rPr>
          <w:rFonts w:asciiTheme="majorBidi" w:hAnsiTheme="majorBidi" w:cstheme="majorBidi"/>
        </w:rPr>
      </w:pPr>
      <w:r w:rsidRPr="00D20835">
        <w:rPr>
          <w:rFonts w:asciiTheme="majorBidi" w:hAnsiTheme="majorBidi" w:cstheme="majorBidi"/>
        </w:rPr>
        <w:t xml:space="preserve">To rebuild the missing middle, U.S. industrial policy must shift from implicit, top-down directives to explicit, broad-based market incentives. The solution is not a larger War Production Board, but a financing architecture that de-risks capital investment for the tens of thousands of mid-tier manufacturers that make up the defense substrate. </w:t>
      </w:r>
    </w:p>
    <w:p w14:paraId="26354C15" w14:textId="77777777" w:rsidR="00A32801" w:rsidRPr="00D20835" w:rsidRDefault="00A32801">
      <w:pPr>
        <w:pStyle w:val="MdSpace"/>
        <w:spacing w:after="60"/>
        <w:rPr>
          <w:rFonts w:asciiTheme="majorBidi" w:hAnsiTheme="majorBidi" w:cstheme="majorBidi"/>
          <w:sz w:val="24"/>
          <w:szCs w:val="24"/>
        </w:rPr>
      </w:pPr>
    </w:p>
    <w:p w14:paraId="65B48D87" w14:textId="6F0BFB8B" w:rsidR="00A32801" w:rsidRPr="00D20835" w:rsidRDefault="00000000">
      <w:pPr>
        <w:pStyle w:val="MdListItem"/>
        <w:numPr>
          <w:ilvl w:val="0"/>
          <w:numId w:val="2"/>
        </w:numPr>
        <w:rPr>
          <w:rFonts w:asciiTheme="majorBidi" w:hAnsiTheme="majorBidi" w:cstheme="majorBidi"/>
        </w:rPr>
      </w:pPr>
      <w:r w:rsidRPr="00D20835">
        <w:rPr>
          <w:rStyle w:val="MdStrong"/>
          <w:rFonts w:asciiTheme="majorBidi" w:hAnsiTheme="majorBidi" w:cstheme="majorBidi"/>
        </w:rPr>
        <w:t>Broad-Based Tax Incentives</w:t>
      </w:r>
      <w:r w:rsidR="003F7D6C">
        <w:rPr>
          <w:rStyle w:val="MdStrong"/>
          <w:rFonts w:asciiTheme="majorBidi" w:hAnsiTheme="majorBidi" w:cstheme="majorBidi"/>
        </w:rPr>
        <w:t xml:space="preserve"> with additional incentives for Critical Sectors</w:t>
      </w:r>
      <w:r w:rsidRPr="00D20835">
        <w:rPr>
          <w:rStyle w:val="MdStrong"/>
          <w:rFonts w:asciiTheme="majorBidi" w:hAnsiTheme="majorBidi" w:cstheme="majorBidi"/>
        </w:rPr>
        <w:t>:</w:t>
      </w:r>
      <w:r w:rsidRPr="00D20835">
        <w:rPr>
          <w:rFonts w:asciiTheme="majorBidi" w:hAnsiTheme="majorBidi" w:cstheme="majorBidi"/>
        </w:rPr>
        <w:t xml:space="preserve"> Prioritize free-market mechanisms such as transferable tax credits on Domestic Value Added (DVA) costs. Th</w:t>
      </w:r>
      <w:r w:rsidR="00D20835">
        <w:rPr>
          <w:rFonts w:asciiTheme="majorBidi" w:hAnsiTheme="majorBidi" w:cstheme="majorBidi"/>
        </w:rPr>
        <w:t xml:space="preserve">e One Big Beautiful Bill </w:t>
      </w:r>
      <w:r w:rsidRPr="00D20835">
        <w:rPr>
          <w:rFonts w:asciiTheme="majorBidi" w:hAnsiTheme="majorBidi" w:cstheme="majorBidi"/>
        </w:rPr>
        <w:t xml:space="preserve">allows firms to deduct capital purchases </w:t>
      </w:r>
      <w:r w:rsidR="003F7D6C">
        <w:rPr>
          <w:rFonts w:asciiTheme="majorBidi" w:hAnsiTheme="majorBidi" w:cstheme="majorBidi"/>
        </w:rPr>
        <w:t xml:space="preserve">and capitalized R&amp;D </w:t>
      </w:r>
      <w:r w:rsidRPr="00D20835">
        <w:rPr>
          <w:rFonts w:asciiTheme="majorBidi" w:hAnsiTheme="majorBidi" w:cstheme="majorBidi"/>
        </w:rPr>
        <w:t>quickly</w:t>
      </w:r>
      <w:r w:rsidR="003F7D6C">
        <w:rPr>
          <w:rFonts w:asciiTheme="majorBidi" w:hAnsiTheme="majorBidi" w:cstheme="majorBidi"/>
        </w:rPr>
        <w:t xml:space="preserve"> but barely touches the income statement</w:t>
      </w:r>
      <w:r w:rsidR="00D20835">
        <w:rPr>
          <w:rFonts w:asciiTheme="majorBidi" w:hAnsiTheme="majorBidi" w:cstheme="majorBidi"/>
        </w:rPr>
        <w:t>. A DVA tax credit improves the income statement</w:t>
      </w:r>
      <w:r w:rsidRPr="00D20835">
        <w:rPr>
          <w:rFonts w:asciiTheme="majorBidi" w:hAnsiTheme="majorBidi" w:cstheme="majorBidi"/>
        </w:rPr>
        <w:t>, lowering the barrier to capacity expansion</w:t>
      </w:r>
      <w:r w:rsidR="003F7D6C">
        <w:rPr>
          <w:rFonts w:asciiTheme="majorBidi" w:hAnsiTheme="majorBidi" w:cstheme="majorBidi"/>
        </w:rPr>
        <w:t>, advanced manufacturing/AI, import substitution and export</w:t>
      </w:r>
      <w:r w:rsidRPr="00D20835">
        <w:rPr>
          <w:rFonts w:asciiTheme="majorBidi" w:hAnsiTheme="majorBidi" w:cstheme="majorBidi"/>
        </w:rPr>
        <w:t xml:space="preserve"> </w:t>
      </w:r>
      <w:r w:rsidR="003F7D6C">
        <w:rPr>
          <w:rFonts w:asciiTheme="majorBidi" w:hAnsiTheme="majorBidi" w:cstheme="majorBidi"/>
        </w:rPr>
        <w:t xml:space="preserve">because manufacturing becomes more profitable. </w:t>
      </w:r>
    </w:p>
    <w:p w14:paraId="5AA67452" w14:textId="56913026" w:rsidR="00A32801" w:rsidRPr="00D20835" w:rsidRDefault="00000000">
      <w:pPr>
        <w:pStyle w:val="MdListItem"/>
        <w:numPr>
          <w:ilvl w:val="0"/>
          <w:numId w:val="2"/>
        </w:numPr>
        <w:rPr>
          <w:rFonts w:asciiTheme="majorBidi" w:hAnsiTheme="majorBidi" w:cstheme="majorBidi"/>
        </w:rPr>
      </w:pPr>
      <w:r w:rsidRPr="00D20835">
        <w:rPr>
          <w:rStyle w:val="MdStrong"/>
          <w:rFonts w:asciiTheme="majorBidi" w:hAnsiTheme="majorBidi" w:cstheme="majorBidi"/>
        </w:rPr>
        <w:t>Government-Sponsored Enterprise (GSE) Lending:</w:t>
      </w:r>
      <w:r w:rsidRPr="00D20835">
        <w:rPr>
          <w:rFonts w:asciiTheme="majorBidi" w:hAnsiTheme="majorBidi" w:cstheme="majorBidi"/>
        </w:rPr>
        <w:t xml:space="preserve"> Establish a GSE loan program specifically for mid-tier manufacturing to lower the cost of capital. Unlike current OSC loans that require dual-use commercial viability, this program </w:t>
      </w:r>
      <w:r w:rsidR="003F7D6C">
        <w:rPr>
          <w:rFonts w:asciiTheme="majorBidi" w:hAnsiTheme="majorBidi" w:cstheme="majorBidi"/>
        </w:rPr>
        <w:t xml:space="preserve">targets all manufacturers in all tiers </w:t>
      </w:r>
      <w:r w:rsidR="003F7D6C" w:rsidRPr="00D20835">
        <w:rPr>
          <w:rFonts w:asciiTheme="majorBidi" w:hAnsiTheme="majorBidi" w:cstheme="majorBidi"/>
        </w:rPr>
        <w:t xml:space="preserve">without requiring </w:t>
      </w:r>
      <w:r w:rsidR="003F7D6C">
        <w:rPr>
          <w:rFonts w:asciiTheme="majorBidi" w:hAnsiTheme="majorBidi" w:cstheme="majorBidi"/>
        </w:rPr>
        <w:t xml:space="preserve">firms </w:t>
      </w:r>
      <w:r w:rsidR="003F7D6C" w:rsidRPr="00D20835">
        <w:rPr>
          <w:rFonts w:asciiTheme="majorBidi" w:hAnsiTheme="majorBidi" w:cstheme="majorBidi"/>
        </w:rPr>
        <w:t xml:space="preserve">navigate a bureaucratic grant </w:t>
      </w:r>
      <w:r w:rsidR="003F7D6C">
        <w:rPr>
          <w:rFonts w:asciiTheme="majorBidi" w:hAnsiTheme="majorBidi" w:cstheme="majorBidi"/>
        </w:rPr>
        <w:t xml:space="preserve">or loan </w:t>
      </w:r>
      <w:r w:rsidR="003F7D6C" w:rsidRPr="00D20835">
        <w:rPr>
          <w:rFonts w:asciiTheme="majorBidi" w:hAnsiTheme="majorBidi" w:cstheme="majorBidi"/>
        </w:rPr>
        <w:t>process that cannot scale to 200,000 suppliers.</w:t>
      </w:r>
    </w:p>
    <w:p w14:paraId="4A9FBF3B" w14:textId="245BEE9A" w:rsidR="00A32801" w:rsidRPr="003F7D6C" w:rsidRDefault="00000000" w:rsidP="003F7D6C">
      <w:pPr>
        <w:pStyle w:val="MdListItem"/>
        <w:numPr>
          <w:ilvl w:val="0"/>
          <w:numId w:val="2"/>
        </w:numPr>
        <w:rPr>
          <w:rFonts w:asciiTheme="majorBidi" w:hAnsiTheme="majorBidi" w:cstheme="majorBidi"/>
        </w:rPr>
      </w:pPr>
      <w:r w:rsidRPr="00D20835">
        <w:rPr>
          <w:rStyle w:val="MdStrong"/>
          <w:rFonts w:asciiTheme="majorBidi" w:hAnsiTheme="majorBidi" w:cstheme="majorBidi"/>
        </w:rPr>
        <w:t>Sustained Demand Signals:</w:t>
      </w:r>
      <w:r w:rsidRPr="00D20835">
        <w:rPr>
          <w:rFonts w:asciiTheme="majorBidi" w:hAnsiTheme="majorBidi" w:cstheme="majorBidi"/>
        </w:rPr>
        <w:t xml:space="preserve"> Shift from erratic, program-by-program procurement to multi-year contracts and milestone-based funding. Predictable cash flow is the only mechanism that allows sub-tier suppliers to justify long-term capital investments and workforce training.</w:t>
      </w:r>
      <w:r w:rsidR="003F7D6C">
        <w:rPr>
          <w:rFonts w:asciiTheme="majorBidi" w:hAnsiTheme="majorBidi" w:cstheme="majorBidi"/>
        </w:rPr>
        <w:t xml:space="preserve"> The DoD is well on the way to this.</w:t>
      </w:r>
    </w:p>
    <w:p w14:paraId="5857528D" w14:textId="52EC4FEB" w:rsidR="00A32801" w:rsidRPr="00D20835" w:rsidRDefault="00000000" w:rsidP="003F7D6C">
      <w:pPr>
        <w:pStyle w:val="MdParagraph"/>
        <w:rPr>
          <w:rFonts w:asciiTheme="majorBidi" w:hAnsiTheme="majorBidi" w:cstheme="majorBidi"/>
        </w:rPr>
      </w:pPr>
      <w:r w:rsidRPr="00D20835">
        <w:rPr>
          <w:rFonts w:asciiTheme="majorBidi" w:hAnsiTheme="majorBidi" w:cstheme="majorBidi"/>
        </w:rPr>
        <w:t>The time to build the forge is before it is needed. The only entity with the scale, speed, and distributed decision-making capacity to rebuild America's industrial substrate is the private sector—provided it is properly incentivized, adequately financed, and freed from bureaucratic micromanagement.</w:t>
      </w:r>
    </w:p>
    <w:p w14:paraId="2906D480" w14:textId="77777777" w:rsidR="00A32801" w:rsidRPr="003F7D6C" w:rsidRDefault="00000000">
      <w:pPr>
        <w:pStyle w:val="MdHeading3"/>
        <w:rPr>
          <w:rFonts w:asciiTheme="majorBidi" w:hAnsiTheme="majorBidi" w:cstheme="majorBidi"/>
          <w:sz w:val="20"/>
          <w:szCs w:val="20"/>
        </w:rPr>
      </w:pPr>
      <w:r w:rsidRPr="003F7D6C">
        <w:rPr>
          <w:rFonts w:asciiTheme="majorBidi" w:hAnsiTheme="majorBidi" w:cstheme="majorBidi"/>
          <w:sz w:val="20"/>
          <w:szCs w:val="20"/>
        </w:rPr>
        <w:t>References</w:t>
      </w:r>
    </w:p>
    <w:p w14:paraId="0612EDD9" w14:textId="5A0FB141" w:rsidR="00A32801" w:rsidRPr="003F7D6C" w:rsidRDefault="00000000">
      <w:pPr>
        <w:pStyle w:val="MdParagraph"/>
        <w:rPr>
          <w:rFonts w:asciiTheme="majorBidi" w:hAnsiTheme="majorBidi" w:cstheme="majorBidi"/>
          <w:sz w:val="20"/>
          <w:szCs w:val="20"/>
        </w:rPr>
      </w:pPr>
      <w:r w:rsidRPr="003F7D6C">
        <w:rPr>
          <w:rFonts w:asciiTheme="majorBidi" w:hAnsiTheme="majorBidi" w:cstheme="majorBidi"/>
          <w:sz w:val="20"/>
          <w:szCs w:val="20"/>
        </w:rPr>
        <w:t xml:space="preserve">[1] Herman, A. (2012). </w:t>
      </w:r>
      <w:r w:rsidRPr="003F7D6C">
        <w:rPr>
          <w:rStyle w:val="MdEm"/>
          <w:rFonts w:asciiTheme="majorBidi" w:hAnsiTheme="majorBidi" w:cstheme="majorBidi"/>
          <w:sz w:val="20"/>
          <w:szCs w:val="20"/>
        </w:rPr>
        <w:t>Freedom's Forge: How American Business Produced Victory in World War II</w:t>
      </w:r>
      <w:r w:rsidRPr="003F7D6C">
        <w:rPr>
          <w:rFonts w:asciiTheme="majorBidi" w:hAnsiTheme="majorBidi" w:cstheme="majorBidi"/>
          <w:sz w:val="20"/>
          <w:szCs w:val="20"/>
        </w:rPr>
        <w:t>. Random House.</w:t>
      </w:r>
      <w:r w:rsidRPr="003F7D6C">
        <w:rPr>
          <w:rFonts w:asciiTheme="majorBidi" w:hAnsiTheme="majorBidi" w:cstheme="majorBidi"/>
          <w:sz w:val="20"/>
          <w:szCs w:val="20"/>
        </w:rPr>
        <w:br/>
        <w:t xml:space="preserve">[2] Shalom, M. (2026). "The Primes Aren't the Real Bottleneck in U.S. Weapons </w:t>
      </w:r>
      <w:proofErr w:type="spellStart"/>
      <w:r w:rsidRPr="003F7D6C">
        <w:rPr>
          <w:rFonts w:asciiTheme="majorBidi" w:hAnsiTheme="majorBidi" w:cstheme="majorBidi"/>
          <w:sz w:val="20"/>
          <w:szCs w:val="20"/>
        </w:rPr>
        <w:t>Production."</w:t>
      </w:r>
      <w:r w:rsidRPr="003F7D6C">
        <w:rPr>
          <w:rStyle w:val="MdEm"/>
          <w:rFonts w:asciiTheme="majorBidi" w:hAnsiTheme="majorBidi" w:cstheme="majorBidi"/>
          <w:sz w:val="20"/>
          <w:szCs w:val="20"/>
        </w:rPr>
        <w:t>War</w:t>
      </w:r>
      <w:proofErr w:type="spellEnd"/>
      <w:r w:rsidRPr="003F7D6C">
        <w:rPr>
          <w:rStyle w:val="MdEm"/>
          <w:rFonts w:asciiTheme="majorBidi" w:hAnsiTheme="majorBidi" w:cstheme="majorBidi"/>
          <w:sz w:val="20"/>
          <w:szCs w:val="20"/>
        </w:rPr>
        <w:t xml:space="preserve"> on the Rocks</w:t>
      </w:r>
      <w:r w:rsidRPr="003F7D6C">
        <w:rPr>
          <w:rFonts w:asciiTheme="majorBidi" w:hAnsiTheme="majorBidi" w:cstheme="majorBidi"/>
          <w:sz w:val="20"/>
          <w:szCs w:val="20"/>
        </w:rPr>
        <w:t>.</w:t>
      </w:r>
      <w:r w:rsidRPr="003F7D6C">
        <w:rPr>
          <w:rFonts w:asciiTheme="majorBidi" w:hAnsiTheme="majorBidi" w:cstheme="majorBidi"/>
          <w:sz w:val="20"/>
          <w:szCs w:val="20"/>
        </w:rPr>
        <w:br/>
        <w:t xml:space="preserve">[3] Rationalwave. (2026). "Supporting the Defense Industrial </w:t>
      </w:r>
      <w:proofErr w:type="spellStart"/>
      <w:r w:rsidRPr="003F7D6C">
        <w:rPr>
          <w:rFonts w:asciiTheme="majorBidi" w:hAnsiTheme="majorBidi" w:cstheme="majorBidi"/>
          <w:sz w:val="20"/>
          <w:szCs w:val="20"/>
        </w:rPr>
        <w:t>Base."</w:t>
      </w:r>
      <w:r w:rsidRPr="003F7D6C">
        <w:rPr>
          <w:rStyle w:val="MdEm"/>
          <w:rFonts w:asciiTheme="majorBidi" w:hAnsiTheme="majorBidi" w:cstheme="majorBidi"/>
          <w:sz w:val="20"/>
          <w:szCs w:val="20"/>
        </w:rPr>
        <w:t>Manufacturing</w:t>
      </w:r>
      <w:proofErr w:type="spellEnd"/>
      <w:r w:rsidRPr="003F7D6C">
        <w:rPr>
          <w:rStyle w:val="MdEm"/>
          <w:rFonts w:asciiTheme="majorBidi" w:hAnsiTheme="majorBidi" w:cstheme="majorBidi"/>
          <w:sz w:val="20"/>
          <w:szCs w:val="20"/>
        </w:rPr>
        <w:t xml:space="preserve"> Renaissance</w:t>
      </w:r>
      <w:r w:rsidRPr="003F7D6C">
        <w:rPr>
          <w:rFonts w:asciiTheme="majorBidi" w:hAnsiTheme="majorBidi" w:cstheme="majorBidi"/>
          <w:sz w:val="20"/>
          <w:szCs w:val="20"/>
        </w:rPr>
        <w:t xml:space="preserve">. </w:t>
      </w:r>
      <w:hyperlink r:id="rId7" w:history="1">
        <w:r w:rsidRPr="003F7D6C">
          <w:rPr>
            <w:rStyle w:val="MdLink"/>
            <w:rFonts w:asciiTheme="majorBidi" w:hAnsiTheme="majorBidi" w:cstheme="majorBidi"/>
            <w:sz w:val="20"/>
            <w:szCs w:val="20"/>
          </w:rPr>
          <w:t>https://rebuildingmanufacturing.com/defense</w:t>
        </w:r>
      </w:hyperlink>
      <w:r w:rsidRPr="003F7D6C">
        <w:rPr>
          <w:rFonts w:asciiTheme="majorBidi" w:hAnsiTheme="majorBidi" w:cstheme="majorBidi"/>
          <w:sz w:val="20"/>
          <w:szCs w:val="20"/>
        </w:rPr>
        <w:t>[4] Defense News. (2022). "Pentagon suspends F-35 deliveries over Chinese alloy in magnet."</w:t>
      </w:r>
      <w:r w:rsidRPr="003F7D6C">
        <w:rPr>
          <w:rFonts w:asciiTheme="majorBidi" w:hAnsiTheme="majorBidi" w:cstheme="majorBidi"/>
          <w:sz w:val="20"/>
          <w:szCs w:val="20"/>
        </w:rPr>
        <w:br/>
        <w:t>[5] AMFG. (2024). "The Staggering Scale of the F-35 Supply Chain."</w:t>
      </w:r>
      <w:hyperlink r:id="rId8" w:history="1">
        <w:r w:rsidRPr="003F7D6C">
          <w:rPr>
            <w:rStyle w:val="MdLink"/>
            <w:rFonts w:asciiTheme="majorBidi" w:hAnsiTheme="majorBidi" w:cstheme="majorBidi"/>
            <w:sz w:val="20"/>
            <w:szCs w:val="20"/>
          </w:rPr>
          <w:t>https://www.amfg.ai/post/the-staggering-scale-of-the-f-35-supply-chain</w:t>
        </w:r>
      </w:hyperlink>
      <w:r w:rsidRPr="003F7D6C">
        <w:rPr>
          <w:rFonts w:asciiTheme="majorBidi" w:hAnsiTheme="majorBidi" w:cstheme="majorBidi"/>
          <w:sz w:val="20"/>
          <w:szCs w:val="20"/>
        </w:rPr>
        <w:t>[6] National Defense Magazine. (2021). "Columbia Submarine Program Challenges Supply Chains."</w:t>
      </w:r>
      <w:r w:rsidRPr="003F7D6C">
        <w:rPr>
          <w:rFonts w:asciiTheme="majorBidi" w:hAnsiTheme="majorBidi" w:cstheme="majorBidi"/>
          <w:sz w:val="20"/>
          <w:szCs w:val="20"/>
        </w:rPr>
        <w:br/>
        <w:t>[7] U.S. Navy / HII. (2024). "Virginia-Class Submarine Program Updates."</w:t>
      </w:r>
      <w:r w:rsidRPr="003F7D6C">
        <w:rPr>
          <w:rFonts w:asciiTheme="majorBidi" w:hAnsiTheme="majorBidi" w:cstheme="majorBidi"/>
          <w:sz w:val="20"/>
          <w:szCs w:val="20"/>
        </w:rPr>
        <w:br/>
        <w:t>[8] U.S. Government Accountability Office (GAO). (2025). "Defense Industrial Base: Actions Needed to Address Risks Posed by Dependence on Foreign Suppliers." GAO-25-107283.</w:t>
      </w:r>
      <w:hyperlink r:id="rId9" w:history="1">
        <w:r w:rsidRPr="003F7D6C">
          <w:rPr>
            <w:rStyle w:val="MdLink"/>
            <w:rFonts w:asciiTheme="majorBidi" w:hAnsiTheme="majorBidi" w:cstheme="majorBidi"/>
            <w:sz w:val="20"/>
            <w:szCs w:val="20"/>
          </w:rPr>
          <w:t>https://www.gao.gov/products/gao-25-107283</w:t>
        </w:r>
      </w:hyperlink>
      <w:r w:rsidRPr="003F7D6C">
        <w:rPr>
          <w:rFonts w:asciiTheme="majorBidi" w:hAnsiTheme="majorBidi" w:cstheme="majorBidi"/>
          <w:sz w:val="20"/>
          <w:szCs w:val="20"/>
        </w:rPr>
        <w:t xml:space="preserve"> [9] War on the Rocks. (2026). "At a Glance: the U.S. Defense Industrial Base." </w:t>
      </w:r>
      <w:hyperlink r:id="rId10" w:history="1">
        <w:r w:rsidRPr="003F7D6C">
          <w:rPr>
            <w:rStyle w:val="MdLink"/>
            <w:rFonts w:asciiTheme="majorBidi" w:hAnsiTheme="majorBidi" w:cstheme="majorBidi"/>
            <w:sz w:val="20"/>
            <w:szCs w:val="20"/>
          </w:rPr>
          <w:t>https://warontherocks.com/2026/01/at-a-glance-the-u-s-defense-industrial-base/</w:t>
        </w:r>
      </w:hyperlink>
      <w:r w:rsidRPr="003F7D6C">
        <w:rPr>
          <w:rFonts w:asciiTheme="majorBidi" w:hAnsiTheme="majorBidi" w:cstheme="majorBidi"/>
          <w:sz w:val="20"/>
          <w:szCs w:val="20"/>
        </w:rPr>
        <w:t xml:space="preserve"> [10] Hayek, F. A. (1945). "The Use of Knowledge in Society." </w:t>
      </w:r>
      <w:r w:rsidRPr="003F7D6C">
        <w:rPr>
          <w:rStyle w:val="MdEm"/>
          <w:rFonts w:asciiTheme="majorBidi" w:hAnsiTheme="majorBidi" w:cstheme="majorBidi"/>
          <w:sz w:val="20"/>
          <w:szCs w:val="20"/>
        </w:rPr>
        <w:t>The American Economic Review</w:t>
      </w:r>
      <w:r w:rsidRPr="003F7D6C">
        <w:rPr>
          <w:rFonts w:asciiTheme="majorBidi" w:hAnsiTheme="majorBidi" w:cstheme="majorBidi"/>
          <w:sz w:val="20"/>
          <w:szCs w:val="20"/>
        </w:rPr>
        <w:t>, 35(4), 519-530.</w:t>
      </w:r>
      <w:r w:rsidRPr="003F7D6C">
        <w:rPr>
          <w:rFonts w:asciiTheme="majorBidi" w:hAnsiTheme="majorBidi" w:cstheme="majorBidi"/>
          <w:sz w:val="20"/>
          <w:szCs w:val="20"/>
        </w:rPr>
        <w:br/>
        <w:t>[11] Defense Business Board. (2025). "Supply Chain Illumination in the Department of Defense." DBB FY25-02.</w:t>
      </w:r>
      <w:r w:rsidRPr="003F7D6C">
        <w:rPr>
          <w:rFonts w:asciiTheme="majorBidi" w:hAnsiTheme="majorBidi" w:cstheme="majorBidi"/>
          <w:sz w:val="20"/>
          <w:szCs w:val="20"/>
        </w:rPr>
        <w:br/>
        <w:t xml:space="preserve">[12] </w:t>
      </w:r>
      <w:r w:rsidR="003F7D6C" w:rsidRPr="003F7D6C">
        <w:rPr>
          <w:rFonts w:asciiTheme="majorBidi" w:hAnsiTheme="majorBidi" w:cstheme="majorBidi"/>
          <w:sz w:val="20"/>
          <w:szCs w:val="20"/>
        </w:rPr>
        <w:t>Rosenblatt</w:t>
      </w:r>
      <w:r w:rsidRPr="003F7D6C">
        <w:rPr>
          <w:rFonts w:asciiTheme="majorBidi" w:hAnsiTheme="majorBidi" w:cstheme="majorBidi"/>
          <w:sz w:val="20"/>
          <w:szCs w:val="20"/>
        </w:rPr>
        <w:t xml:space="preserve"> (2026). "The Deep Research Innovation Pipeline </w:t>
      </w:r>
      <w:proofErr w:type="spellStart"/>
      <w:r w:rsidRPr="003F7D6C">
        <w:rPr>
          <w:rFonts w:asciiTheme="majorBidi" w:hAnsiTheme="majorBidi" w:cstheme="majorBidi"/>
          <w:sz w:val="20"/>
          <w:szCs w:val="20"/>
        </w:rPr>
        <w:t>Crisis."</w:t>
      </w:r>
      <w:r w:rsidRPr="003F7D6C">
        <w:rPr>
          <w:rStyle w:val="MdEm"/>
          <w:rFonts w:asciiTheme="majorBidi" w:hAnsiTheme="majorBidi" w:cstheme="majorBidi"/>
          <w:sz w:val="20"/>
          <w:szCs w:val="20"/>
        </w:rPr>
        <w:t>Manufacturing</w:t>
      </w:r>
      <w:proofErr w:type="spellEnd"/>
      <w:r w:rsidRPr="003F7D6C">
        <w:rPr>
          <w:rStyle w:val="MdEm"/>
          <w:rFonts w:asciiTheme="majorBidi" w:hAnsiTheme="majorBidi" w:cstheme="majorBidi"/>
          <w:sz w:val="20"/>
          <w:szCs w:val="20"/>
        </w:rPr>
        <w:t xml:space="preserve"> Renaissance</w:t>
      </w:r>
      <w:r w:rsidRPr="003F7D6C">
        <w:rPr>
          <w:rFonts w:asciiTheme="majorBidi" w:hAnsiTheme="majorBidi" w:cstheme="majorBidi"/>
          <w:sz w:val="20"/>
          <w:szCs w:val="20"/>
        </w:rPr>
        <w:t xml:space="preserve">. </w:t>
      </w:r>
      <w:hyperlink r:id="rId11" w:history="1">
        <w:r w:rsidRPr="003F7D6C">
          <w:rPr>
            <w:rStyle w:val="MdLink"/>
            <w:rFonts w:asciiTheme="majorBidi" w:hAnsiTheme="majorBidi" w:cstheme="majorBidi"/>
            <w:sz w:val="20"/>
            <w:szCs w:val="20"/>
          </w:rPr>
          <w:t>https://rebuildingmanufacturing.com/additional-documents/deep-research-pipeline</w:t>
        </w:r>
      </w:hyperlink>
      <w:r w:rsidRPr="003F7D6C">
        <w:rPr>
          <w:rFonts w:asciiTheme="majorBidi" w:hAnsiTheme="majorBidi" w:cstheme="majorBidi"/>
          <w:sz w:val="20"/>
          <w:szCs w:val="20"/>
        </w:rPr>
        <w:t xml:space="preserve"> [13] R</w:t>
      </w:r>
      <w:r w:rsidR="003F7D6C" w:rsidRPr="003F7D6C">
        <w:rPr>
          <w:rFonts w:asciiTheme="majorBidi" w:hAnsiTheme="majorBidi" w:cstheme="majorBidi"/>
          <w:sz w:val="20"/>
          <w:szCs w:val="20"/>
        </w:rPr>
        <w:t>osenblatt</w:t>
      </w:r>
      <w:r w:rsidRPr="003F7D6C">
        <w:rPr>
          <w:rFonts w:asciiTheme="majorBidi" w:hAnsiTheme="majorBidi" w:cstheme="majorBidi"/>
          <w:sz w:val="20"/>
          <w:szCs w:val="20"/>
        </w:rPr>
        <w:t xml:space="preserve">. (2026). "China's Import Wall Is Coming Down." </w:t>
      </w:r>
      <w:r w:rsidRPr="003F7D6C">
        <w:rPr>
          <w:rStyle w:val="MdEm"/>
          <w:rFonts w:asciiTheme="majorBidi" w:hAnsiTheme="majorBidi" w:cstheme="majorBidi"/>
          <w:sz w:val="20"/>
          <w:szCs w:val="20"/>
        </w:rPr>
        <w:t>Manufacturing Renaissance</w:t>
      </w:r>
      <w:r w:rsidRPr="003F7D6C">
        <w:rPr>
          <w:rFonts w:asciiTheme="majorBidi" w:hAnsiTheme="majorBidi" w:cstheme="majorBidi"/>
          <w:sz w:val="20"/>
          <w:szCs w:val="20"/>
        </w:rPr>
        <w:t xml:space="preserve">. </w:t>
      </w:r>
      <w:hyperlink r:id="rId12" w:history="1">
        <w:r w:rsidRPr="003F7D6C">
          <w:rPr>
            <w:rStyle w:val="MdLink"/>
            <w:rFonts w:asciiTheme="majorBidi" w:hAnsiTheme="majorBidi" w:cstheme="majorBidi"/>
            <w:sz w:val="20"/>
            <w:szCs w:val="20"/>
          </w:rPr>
          <w:t>https://rebuildingmanufa</w:t>
        </w:r>
        <w:r w:rsidRPr="003F7D6C">
          <w:rPr>
            <w:rStyle w:val="MdLink"/>
            <w:rFonts w:asciiTheme="majorBidi" w:hAnsiTheme="majorBidi" w:cstheme="majorBidi"/>
            <w:sz w:val="20"/>
            <w:szCs w:val="20"/>
          </w:rPr>
          <w:t>c</w:t>
        </w:r>
        <w:r w:rsidRPr="003F7D6C">
          <w:rPr>
            <w:rStyle w:val="MdLink"/>
            <w:rFonts w:asciiTheme="majorBidi" w:hAnsiTheme="majorBidi" w:cstheme="majorBidi"/>
            <w:sz w:val="20"/>
            <w:szCs w:val="20"/>
          </w:rPr>
          <w:t>turing.com/additional-documents/china-import-substitution</w:t>
        </w:r>
      </w:hyperlink>
      <w:r w:rsidRPr="003F7D6C">
        <w:rPr>
          <w:rFonts w:asciiTheme="majorBidi" w:hAnsiTheme="majorBidi" w:cstheme="majorBidi"/>
          <w:sz w:val="20"/>
          <w:szCs w:val="20"/>
        </w:rPr>
        <w:t xml:space="preserve"> [14] Helwig, B. (2026). "When the Government Owned Factories: The Defense Plant Corporation and Its Lessons for Today." </w:t>
      </w:r>
      <w:r w:rsidRPr="003F7D6C">
        <w:rPr>
          <w:rStyle w:val="MdEm"/>
          <w:rFonts w:asciiTheme="majorBidi" w:hAnsiTheme="majorBidi" w:cstheme="majorBidi"/>
          <w:sz w:val="20"/>
          <w:szCs w:val="20"/>
        </w:rPr>
        <w:t>American Affairs Journal</w:t>
      </w:r>
      <w:r w:rsidRPr="003F7D6C">
        <w:rPr>
          <w:rFonts w:asciiTheme="majorBidi" w:hAnsiTheme="majorBidi" w:cstheme="majorBidi"/>
          <w:sz w:val="20"/>
          <w:szCs w:val="20"/>
        </w:rPr>
        <w:t>.</w:t>
      </w:r>
    </w:p>
    <w:sectPr w:rsidR="00A32801" w:rsidRPr="003F7D6C">
      <w:headerReference w:type="default" r:id="rId13"/>
      <w:pgSz w:w="11906" w:h="16838"/>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43DE9F" w14:textId="77777777" w:rsidR="00D71EDA" w:rsidRDefault="00D71EDA" w:rsidP="00D20835">
      <w:r>
        <w:separator/>
      </w:r>
    </w:p>
  </w:endnote>
  <w:endnote w:type="continuationSeparator" w:id="0">
    <w:p w14:paraId="1F68AE3F" w14:textId="77777777" w:rsidR="00D71EDA" w:rsidRDefault="00D71EDA" w:rsidP="00D208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Aptos Display">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823BC7" w14:textId="77777777" w:rsidR="00D71EDA" w:rsidRDefault="00D71EDA" w:rsidP="00D20835">
      <w:r>
        <w:separator/>
      </w:r>
    </w:p>
  </w:footnote>
  <w:footnote w:type="continuationSeparator" w:id="0">
    <w:p w14:paraId="0A8AB1C9" w14:textId="77777777" w:rsidR="00D71EDA" w:rsidRDefault="00D71EDA" w:rsidP="00D20835">
      <w:r>
        <w:continuationSeparator/>
      </w:r>
    </w:p>
  </w:footnote>
  <w:footnote w:id="1">
    <w:p w14:paraId="2086245D" w14:textId="0BDCC0FE" w:rsidR="00D20835" w:rsidRDefault="00D20835" w:rsidP="00D20835">
      <w:pPr>
        <w:pStyle w:val="FootnoteText"/>
      </w:pPr>
      <w:r w:rsidRPr="00D20835">
        <w:rPr>
          <w:rStyle w:val="FootnoteReference"/>
          <w:sz w:val="18"/>
          <w:szCs w:val="18"/>
        </w:rPr>
        <w:footnoteRef/>
      </w:r>
      <w:r w:rsidRPr="00D20835">
        <w:rPr>
          <w:sz w:val="18"/>
          <w:szCs w:val="18"/>
        </w:rPr>
        <w:t xml:space="preserve"> </w:t>
      </w:r>
      <w:r w:rsidRPr="00D20835">
        <w:rPr>
          <w:sz w:val="18"/>
          <w:szCs w:val="18"/>
        </w:rPr>
        <w:t>OSC will, by design, need to concentrate on flagship transactions with an implied average deal size of $278M–$556M.</w:t>
      </w:r>
      <w:r w:rsidRPr="00D20835">
        <w:rPr>
          <w:sz w:val="18"/>
          <w:szCs w:val="18"/>
        </w:rPr>
        <w:t xml:space="preserve"> </w:t>
      </w:r>
      <w:r w:rsidRPr="00D20835">
        <w:rPr>
          <w:sz w:val="18"/>
          <w:szCs w:val="18"/>
        </w:rPr>
        <w:t>Calculation: OSC’s Economic Defense Unit targets 30 bankers; scaled to 60 for generosity. Assuming 2–4 closings per banker per year, consistent with a 3–</w:t>
      </w:r>
      <w:proofErr w:type="gramStart"/>
      <w:r w:rsidRPr="00D20835">
        <w:rPr>
          <w:sz w:val="18"/>
          <w:szCs w:val="18"/>
        </w:rPr>
        <w:t>6 month</w:t>
      </w:r>
      <w:proofErr w:type="gramEnd"/>
      <w:r w:rsidRPr="00D20835">
        <w:rPr>
          <w:sz w:val="18"/>
          <w:szCs w:val="18"/>
        </w:rPr>
        <w:t xml:space="preserve"> average deal timeline typical of bespoke infrastructure lending the portfolio is 360–720 transactions over three years. $200B ÷ 360–720 = $278M–$556M average deal size—nearly 3× OSC’s largest loan under its original $984M authority. The 230,000+ mid-tier manufacturers needing $10M–$250M instruments will barely appear in OSC’s deal pipeline regardless of banker capacity.</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99F0DA" w14:textId="59C6A2C5" w:rsidR="0073657D" w:rsidRPr="0073657D" w:rsidRDefault="0073657D">
    <w:pPr>
      <w:pStyle w:val="Header"/>
      <w:rPr>
        <w:sz w:val="20"/>
        <w:szCs w:val="20"/>
      </w:rPr>
    </w:pPr>
    <w:r w:rsidRPr="0073657D">
      <w:rPr>
        <w:sz w:val="20"/>
        <w:szCs w:val="20"/>
      </w:rPr>
      <w:t>March 30, 2026</w:t>
    </w:r>
  </w:p>
  <w:p w14:paraId="4338A751" w14:textId="6F77A8B6" w:rsidR="0073657D" w:rsidRPr="0073657D" w:rsidRDefault="0073657D" w:rsidP="0073657D">
    <w:pPr>
      <w:pStyle w:val="Header"/>
      <w:rPr>
        <w:sz w:val="20"/>
        <w:szCs w:val="20"/>
      </w:rPr>
    </w:pPr>
    <w:r w:rsidRPr="0073657D">
      <w:rPr>
        <w:b/>
        <w:bCs/>
        <w:sz w:val="20"/>
        <w:szCs w:val="20"/>
      </w:rPr>
      <w:t>Authors:</w:t>
    </w:r>
    <w:r w:rsidRPr="0073657D">
      <w:rPr>
        <w:sz w:val="20"/>
        <w:szCs w:val="20"/>
      </w:rPr>
      <w:t xml:space="preserve"> Mark Rosenblatt, Manus AI and Claude Sonnet 4.6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86C93"/>
    <w:multiLevelType w:val="hybridMultilevel"/>
    <w:tmpl w:val="2CBEBE7E"/>
    <w:lvl w:ilvl="0" w:tplc="6276BE74">
      <w:start w:val="1"/>
      <w:numFmt w:val="bullet"/>
      <w:lvlText w:val="●"/>
      <w:lvlJc w:val="left"/>
      <w:pPr>
        <w:ind w:left="720" w:hanging="360"/>
      </w:pPr>
    </w:lvl>
    <w:lvl w:ilvl="1" w:tplc="DB5E2BCA">
      <w:start w:val="1"/>
      <w:numFmt w:val="bullet"/>
      <w:lvlText w:val="○"/>
      <w:lvlJc w:val="left"/>
      <w:pPr>
        <w:ind w:left="1440" w:hanging="360"/>
      </w:pPr>
    </w:lvl>
    <w:lvl w:ilvl="2" w:tplc="3FFAB50C">
      <w:start w:val="1"/>
      <w:numFmt w:val="bullet"/>
      <w:lvlText w:val="■"/>
      <w:lvlJc w:val="left"/>
      <w:pPr>
        <w:ind w:left="2160" w:hanging="360"/>
      </w:pPr>
    </w:lvl>
    <w:lvl w:ilvl="3" w:tplc="21867CE0">
      <w:start w:val="1"/>
      <w:numFmt w:val="bullet"/>
      <w:lvlText w:val="●"/>
      <w:lvlJc w:val="left"/>
      <w:pPr>
        <w:ind w:left="2880" w:hanging="360"/>
      </w:pPr>
    </w:lvl>
    <w:lvl w:ilvl="4" w:tplc="0804D970">
      <w:start w:val="1"/>
      <w:numFmt w:val="bullet"/>
      <w:lvlText w:val="○"/>
      <w:lvlJc w:val="left"/>
      <w:pPr>
        <w:ind w:left="3600" w:hanging="360"/>
      </w:pPr>
    </w:lvl>
    <w:lvl w:ilvl="5" w:tplc="49524DF0">
      <w:start w:val="1"/>
      <w:numFmt w:val="bullet"/>
      <w:lvlText w:val="■"/>
      <w:lvlJc w:val="left"/>
      <w:pPr>
        <w:ind w:left="4320" w:hanging="360"/>
      </w:pPr>
    </w:lvl>
    <w:lvl w:ilvl="6" w:tplc="67361FFE">
      <w:start w:val="1"/>
      <w:numFmt w:val="bullet"/>
      <w:lvlText w:val="●"/>
      <w:lvlJc w:val="left"/>
      <w:pPr>
        <w:ind w:left="5040" w:hanging="360"/>
      </w:pPr>
    </w:lvl>
    <w:lvl w:ilvl="7" w:tplc="946217A4">
      <w:start w:val="1"/>
      <w:numFmt w:val="bullet"/>
      <w:lvlText w:val="●"/>
      <w:lvlJc w:val="left"/>
      <w:pPr>
        <w:ind w:left="5760" w:hanging="360"/>
      </w:pPr>
    </w:lvl>
    <w:lvl w:ilvl="8" w:tplc="64EAD1B4">
      <w:start w:val="1"/>
      <w:numFmt w:val="bullet"/>
      <w:lvlText w:val="●"/>
      <w:lvlJc w:val="left"/>
      <w:pPr>
        <w:ind w:left="6480" w:hanging="360"/>
      </w:pPr>
    </w:lvl>
  </w:abstractNum>
  <w:abstractNum w:abstractNumId="1" w15:restartNumberingAfterBreak="0">
    <w:nsid w:val="21F141D5"/>
    <w:multiLevelType w:val="hybridMultilevel"/>
    <w:tmpl w:val="A7E23918"/>
    <w:lvl w:ilvl="0" w:tplc="B29CBA14">
      <w:start w:val="1"/>
      <w:numFmt w:val="bullet"/>
      <w:lvlText w:val="•"/>
      <w:lvlJc w:val="left"/>
      <w:pPr>
        <w:ind w:left="720" w:hanging="360"/>
      </w:pPr>
    </w:lvl>
    <w:lvl w:ilvl="1" w:tplc="3C342974">
      <w:start w:val="1"/>
      <w:numFmt w:val="bullet"/>
      <w:lvlText w:val="◦"/>
      <w:lvlJc w:val="left"/>
      <w:pPr>
        <w:ind w:left="1440" w:hanging="360"/>
      </w:pPr>
    </w:lvl>
    <w:lvl w:ilvl="2" w:tplc="AEF2F076">
      <w:start w:val="1"/>
      <w:numFmt w:val="bullet"/>
      <w:lvlText w:val="•"/>
      <w:lvlJc w:val="left"/>
      <w:pPr>
        <w:ind w:left="2160" w:hanging="360"/>
      </w:pPr>
    </w:lvl>
    <w:lvl w:ilvl="3" w:tplc="887CA86E">
      <w:start w:val="1"/>
      <w:numFmt w:val="bullet"/>
      <w:lvlText w:val="◦"/>
      <w:lvlJc w:val="left"/>
      <w:pPr>
        <w:ind w:left="2880" w:hanging="360"/>
      </w:pPr>
    </w:lvl>
    <w:lvl w:ilvl="4" w:tplc="1C7897CC">
      <w:start w:val="1"/>
      <w:numFmt w:val="bullet"/>
      <w:lvlText w:val="•"/>
      <w:lvlJc w:val="left"/>
      <w:pPr>
        <w:ind w:left="3600" w:hanging="360"/>
      </w:pPr>
    </w:lvl>
    <w:lvl w:ilvl="5" w:tplc="0676583E">
      <w:start w:val="1"/>
      <w:numFmt w:val="bullet"/>
      <w:lvlText w:val="◦"/>
      <w:lvlJc w:val="left"/>
      <w:pPr>
        <w:ind w:left="4320" w:hanging="360"/>
      </w:pPr>
    </w:lvl>
    <w:lvl w:ilvl="6" w:tplc="96280308">
      <w:start w:val="1"/>
      <w:numFmt w:val="bullet"/>
      <w:lvlText w:val="•"/>
      <w:lvlJc w:val="left"/>
      <w:pPr>
        <w:ind w:left="5040" w:hanging="360"/>
      </w:pPr>
    </w:lvl>
    <w:lvl w:ilvl="7" w:tplc="BA1077DE">
      <w:numFmt w:val="decimal"/>
      <w:lvlText w:val=""/>
      <w:lvlJc w:val="left"/>
    </w:lvl>
    <w:lvl w:ilvl="8" w:tplc="08748BCA">
      <w:numFmt w:val="decimal"/>
      <w:lvlText w:val=""/>
      <w:lvlJc w:val="left"/>
    </w:lvl>
  </w:abstractNum>
  <w:abstractNum w:abstractNumId="2" w15:restartNumberingAfterBreak="0">
    <w:nsid w:val="699A7AF3"/>
    <w:multiLevelType w:val="multilevel"/>
    <w:tmpl w:val="ED00BDFE"/>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 w16cid:durableId="697707237">
    <w:abstractNumId w:val="0"/>
    <w:lvlOverride w:ilvl="0">
      <w:startOverride w:val="1"/>
    </w:lvlOverride>
  </w:num>
  <w:num w:numId="2" w16cid:durableId="2085297033">
    <w:abstractNumId w:val="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2"/>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32801"/>
    <w:rsid w:val="0001017A"/>
    <w:rsid w:val="0002121F"/>
    <w:rsid w:val="003F7D6C"/>
    <w:rsid w:val="004F411E"/>
    <w:rsid w:val="0052307E"/>
    <w:rsid w:val="0073657D"/>
    <w:rsid w:val="00A32801"/>
    <w:rsid w:val="00B91CC2"/>
    <w:rsid w:val="00D20835"/>
    <w:rsid w:val="00D71ED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81FB8C"/>
  <w15:docId w15:val="{D94BEF24-9CF3-DF4B-90D9-1013D603F2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unhideWhenUsed/>
    <w:qFormat/>
    <w:pPr>
      <w:outlineLvl w:val="1"/>
    </w:pPr>
    <w:rPr>
      <w:color w:val="2E74B5"/>
      <w:sz w:val="26"/>
      <w:szCs w:val="26"/>
    </w:rPr>
  </w:style>
  <w:style w:type="paragraph" w:styleId="Heading3">
    <w:name w:val="heading 3"/>
    <w:uiPriority w:val="9"/>
    <w:unhideWhenUsed/>
    <w:qFormat/>
    <w:pPr>
      <w:outlineLvl w:val="2"/>
    </w:pPr>
    <w:rPr>
      <w:color w:val="1F4D78"/>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color="0563C1"/>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paragraph" w:customStyle="1" w:styleId="MdSpace">
    <w:name w:val="MdSpace"/>
    <w:qFormat/>
    <w:rPr>
      <w:sz w:val="12"/>
      <w:szCs w:val="12"/>
    </w:rPr>
  </w:style>
  <w:style w:type="paragraph" w:customStyle="1" w:styleId="MdCode">
    <w:name w:val="MdCode"/>
    <w:qFormat/>
    <w:pPr>
      <w:pBdr>
        <w:top w:val="single" w:sz="1" w:space="8" w:color="A5A5A5"/>
        <w:left w:val="single" w:sz="1" w:space="8" w:color="A5A5A5"/>
        <w:bottom w:val="single" w:sz="1" w:space="8" w:color="A5A5A5"/>
        <w:right w:val="single" w:sz="1" w:space="8" w:color="A5A5A5"/>
      </w:pBdr>
      <w:spacing w:before="200" w:after="200"/>
    </w:pPr>
    <w:rPr>
      <w:rFonts w:ascii="Courier New" w:eastAsia="Courier New" w:hAnsi="Courier New" w:cs="Courier New"/>
      <w:color w:val="70AD47"/>
      <w:sz w:val="22"/>
      <w:szCs w:val="22"/>
    </w:rPr>
  </w:style>
  <w:style w:type="paragraph" w:customStyle="1" w:styleId="MdHr">
    <w:name w:val="MdHr"/>
    <w:qFormat/>
    <w:pPr>
      <w:pBdr>
        <w:bottom w:val="single" w:sz="1" w:space="1" w:color="A5A5A5"/>
      </w:pBdr>
      <w:spacing w:before="240" w:after="240"/>
    </w:pPr>
  </w:style>
  <w:style w:type="paragraph" w:customStyle="1" w:styleId="MdBlockquote">
    <w:name w:val="MdBlockquote"/>
    <w:qFormat/>
    <w:pPr>
      <w:pBdr>
        <w:left w:val="single" w:sz="20" w:space="12" w:color="A5A5A5"/>
      </w:pBdr>
      <w:spacing w:before="200" w:after="200"/>
      <w:ind w:left="360"/>
    </w:pPr>
    <w:rPr>
      <w:i/>
      <w:iCs/>
      <w:color w:val="666666"/>
    </w:rPr>
  </w:style>
  <w:style w:type="paragraph" w:customStyle="1" w:styleId="MdHtml">
    <w:name w:val="MdHtml"/>
    <w:qFormat/>
    <w:rPr>
      <w:rFonts w:ascii="Courier New" w:eastAsia="Courier New" w:hAnsi="Courier New" w:cs="Courier New"/>
      <w:color w:val="ED7D31"/>
    </w:rPr>
  </w:style>
  <w:style w:type="paragraph" w:customStyle="1" w:styleId="MdDef">
    <w:name w:val="MdDef"/>
    <w:qFormat/>
    <w:pPr>
      <w:ind w:left="720" w:hanging="360"/>
    </w:pPr>
  </w:style>
  <w:style w:type="paragraph" w:customStyle="1" w:styleId="MdParagraph">
    <w:name w:val="MdParagraph"/>
    <w:qFormat/>
    <w:pPr>
      <w:spacing w:before="120" w:after="120"/>
    </w:pPr>
  </w:style>
  <w:style w:type="paragraph" w:customStyle="1" w:styleId="MdText">
    <w:name w:val="MdText"/>
    <w:qFormat/>
  </w:style>
  <w:style w:type="paragraph" w:customStyle="1" w:styleId="MdFootnote">
    <w:name w:val="MdFootnote"/>
    <w:qFormat/>
    <w:rPr>
      <w:vertAlign w:val="superscript"/>
    </w:rPr>
  </w:style>
  <w:style w:type="paragraph" w:customStyle="1" w:styleId="MdListItem">
    <w:name w:val="MdListItem"/>
    <w:qFormat/>
    <w:pPr>
      <w:spacing w:before="60" w:after="60"/>
      <w:ind w:left="720" w:hanging="360"/>
    </w:pPr>
  </w:style>
  <w:style w:type="paragraph" w:customStyle="1" w:styleId="MdTable">
    <w:name w:val="MdTable"/>
    <w:qFormat/>
    <w:pPr>
      <w:spacing w:before="60" w:after="60"/>
    </w:pPr>
  </w:style>
  <w:style w:type="paragraph" w:customStyle="1" w:styleId="MdTableHeader">
    <w:name w:val="MdTableHeader"/>
    <w:qFormat/>
    <w:pPr>
      <w:spacing w:before="60" w:after="60"/>
    </w:pPr>
    <w:rPr>
      <w:b/>
      <w:bCs/>
      <w:sz w:val="22"/>
      <w:szCs w:val="22"/>
    </w:rPr>
  </w:style>
  <w:style w:type="paragraph" w:customStyle="1" w:styleId="MdTableCell">
    <w:name w:val="MdTableCell"/>
    <w:qFormat/>
    <w:pPr>
      <w:spacing w:before="40" w:after="40"/>
    </w:pPr>
    <w:rPr>
      <w:sz w:val="20"/>
      <w:szCs w:val="20"/>
    </w:rPr>
  </w:style>
  <w:style w:type="paragraph" w:customStyle="1" w:styleId="MdHeading1">
    <w:name w:val="MdHeading1"/>
    <w:qFormat/>
    <w:pPr>
      <w:keepNext/>
      <w:spacing w:before="480" w:after="240"/>
      <w:outlineLvl w:val="0"/>
    </w:pPr>
    <w:rPr>
      <w:b/>
      <w:bCs/>
      <w:sz w:val="36"/>
      <w:szCs w:val="36"/>
    </w:rPr>
  </w:style>
  <w:style w:type="paragraph" w:customStyle="1" w:styleId="MdHeading2">
    <w:name w:val="MdHeading2"/>
    <w:qFormat/>
    <w:pPr>
      <w:keepNext/>
      <w:spacing w:before="400" w:after="200"/>
      <w:outlineLvl w:val="1"/>
    </w:pPr>
    <w:rPr>
      <w:b/>
      <w:bCs/>
      <w:sz w:val="32"/>
      <w:szCs w:val="32"/>
    </w:rPr>
  </w:style>
  <w:style w:type="paragraph" w:customStyle="1" w:styleId="MdHeading3">
    <w:name w:val="MdHeading3"/>
    <w:qFormat/>
    <w:pPr>
      <w:keepNext/>
      <w:spacing w:before="320" w:after="160"/>
      <w:outlineLvl w:val="2"/>
    </w:pPr>
    <w:rPr>
      <w:b/>
      <w:bCs/>
      <w:sz w:val="28"/>
      <w:szCs w:val="28"/>
    </w:rPr>
  </w:style>
  <w:style w:type="paragraph" w:customStyle="1" w:styleId="MdHeading4">
    <w:name w:val="MdHeading4"/>
    <w:qFormat/>
    <w:pPr>
      <w:keepNext/>
      <w:spacing w:before="280" w:after="140"/>
      <w:outlineLvl w:val="3"/>
    </w:pPr>
    <w:rPr>
      <w:b/>
      <w:bCs/>
      <w:sz w:val="26"/>
      <w:szCs w:val="26"/>
    </w:rPr>
  </w:style>
  <w:style w:type="paragraph" w:customStyle="1" w:styleId="MdHeading5">
    <w:name w:val="MdHeading5"/>
    <w:qFormat/>
    <w:pPr>
      <w:keepNext/>
      <w:spacing w:before="240" w:after="120"/>
      <w:outlineLvl w:val="4"/>
    </w:pPr>
    <w:rPr>
      <w:b/>
      <w:bCs/>
      <w:i/>
      <w:iCs/>
    </w:rPr>
  </w:style>
  <w:style w:type="paragraph" w:customStyle="1" w:styleId="MdHeading6">
    <w:name w:val="MdHeading6"/>
    <w:qFormat/>
    <w:pPr>
      <w:keepNext/>
      <w:spacing w:before="240" w:after="120"/>
      <w:outlineLvl w:val="5"/>
    </w:pPr>
    <w:rPr>
      <w:i/>
      <w:iCs/>
    </w:rPr>
  </w:style>
  <w:style w:type="character" w:customStyle="1" w:styleId="MdTag">
    <w:name w:val="MdTag"/>
    <w:uiPriority w:val="99"/>
    <w:unhideWhenUsed/>
    <w:qFormat/>
    <w:rPr>
      <w:rFonts w:ascii="Courier New" w:eastAsia="Courier New" w:hAnsi="Courier New" w:cs="Courier New"/>
      <w:color w:val="ED7D31"/>
    </w:rPr>
  </w:style>
  <w:style w:type="character" w:customStyle="1" w:styleId="MdLink">
    <w:name w:val="MdLink"/>
    <w:uiPriority w:val="99"/>
    <w:unhideWhenUsed/>
    <w:qFormat/>
    <w:rPr>
      <w:color w:val="0563C1"/>
      <w:u w:val="single"/>
    </w:rPr>
  </w:style>
  <w:style w:type="character" w:customStyle="1" w:styleId="MdStrong">
    <w:name w:val="MdStrong"/>
    <w:uiPriority w:val="99"/>
    <w:unhideWhenUsed/>
    <w:qFormat/>
    <w:rPr>
      <w:b/>
      <w:bCs/>
    </w:rPr>
  </w:style>
  <w:style w:type="character" w:customStyle="1" w:styleId="MdEm">
    <w:name w:val="MdEm"/>
    <w:uiPriority w:val="99"/>
    <w:unhideWhenUsed/>
    <w:qFormat/>
    <w:rPr>
      <w:i/>
      <w:iCs/>
    </w:rPr>
  </w:style>
  <w:style w:type="character" w:customStyle="1" w:styleId="MdCodespan">
    <w:name w:val="MdCodespan"/>
    <w:uiPriority w:val="99"/>
    <w:unhideWhenUsed/>
    <w:qFormat/>
    <w:rPr>
      <w:rFonts w:ascii="Courier New" w:eastAsia="Courier New" w:hAnsi="Courier New" w:cs="Courier New"/>
      <w:color w:val="70AD47"/>
    </w:rPr>
  </w:style>
  <w:style w:type="character" w:customStyle="1" w:styleId="MdDel">
    <w:name w:val="MdDel"/>
    <w:uiPriority w:val="99"/>
    <w:unhideWhenUsed/>
    <w:qFormat/>
    <w:rPr>
      <w:strike/>
    </w:rPr>
  </w:style>
  <w:style w:type="character" w:customStyle="1" w:styleId="MdBr">
    <w:name w:val="MdBr"/>
    <w:uiPriority w:val="99"/>
    <w:unhideWhenUsed/>
    <w:qFormat/>
  </w:style>
  <w:style w:type="paragraph" w:styleId="Header">
    <w:name w:val="header"/>
    <w:basedOn w:val="Normal"/>
    <w:link w:val="HeaderChar"/>
    <w:uiPriority w:val="99"/>
    <w:unhideWhenUsed/>
    <w:rsid w:val="0073657D"/>
    <w:pPr>
      <w:tabs>
        <w:tab w:val="center" w:pos="4680"/>
        <w:tab w:val="right" w:pos="9360"/>
      </w:tabs>
    </w:pPr>
  </w:style>
  <w:style w:type="character" w:customStyle="1" w:styleId="HeaderChar">
    <w:name w:val="Header Char"/>
    <w:basedOn w:val="DefaultParagraphFont"/>
    <w:link w:val="Header"/>
    <w:uiPriority w:val="99"/>
    <w:rsid w:val="0073657D"/>
  </w:style>
  <w:style w:type="paragraph" w:styleId="Footer">
    <w:name w:val="footer"/>
    <w:basedOn w:val="Normal"/>
    <w:link w:val="FooterChar"/>
    <w:uiPriority w:val="99"/>
    <w:unhideWhenUsed/>
    <w:rsid w:val="0073657D"/>
    <w:pPr>
      <w:tabs>
        <w:tab w:val="center" w:pos="4680"/>
        <w:tab w:val="right" w:pos="9360"/>
      </w:tabs>
    </w:pPr>
  </w:style>
  <w:style w:type="character" w:customStyle="1" w:styleId="FooterChar">
    <w:name w:val="Footer Char"/>
    <w:basedOn w:val="DefaultParagraphFont"/>
    <w:link w:val="Footer"/>
    <w:uiPriority w:val="99"/>
    <w:rsid w:val="007365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amfg.ai/post/the-staggering-scale-of-the-f-35-supply-chain"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rebuildingmanufacturing.com/defense" TargetMode="External"/><Relationship Id="rId12" Type="http://schemas.openxmlformats.org/officeDocument/2006/relationships/hyperlink" Target="https://rebuildingmanufacturing.com/additional-documents/china-import-substitutio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rebuildingmanufacturing.com/additional-documents/deep-research-pipeline"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warontherocks.com/2026/01/at-a-glance-the-u-s-defense-industrial-base/" TargetMode="External"/><Relationship Id="rId4" Type="http://schemas.openxmlformats.org/officeDocument/2006/relationships/webSettings" Target="webSettings.xml"/><Relationship Id="rId9" Type="http://schemas.openxmlformats.org/officeDocument/2006/relationships/hyperlink" Target="https://www.gao.gov/products/gao-25-107283"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1672</Words>
  <Characters>11223</Characters>
  <Application>Microsoft Office Word</Application>
  <DocSecurity>0</DocSecurity>
  <Lines>215</Lines>
  <Paragraphs>148</Paragraphs>
  <ScaleCrop>false</ScaleCrop>
  <HeadingPairs>
    <vt:vector size="2" baseType="variant">
      <vt:variant>
        <vt:lpstr>Title</vt:lpstr>
      </vt:variant>
      <vt:variant>
        <vt:i4>1</vt:i4>
      </vt:variant>
    </vt:vector>
  </HeadingPairs>
  <TitlesOfParts>
    <vt:vector size="1" baseType="lpstr">
      <vt:lpstr>Converted Document</vt:lpstr>
    </vt:vector>
  </TitlesOfParts>
  <Company/>
  <LinksUpToDate>false</LinksUpToDate>
  <CharactersWithSpaces>12747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Converted Document</dc:title>
  <dc:creator>md2docx converter</dc:creator>
  <dc:description>Converted from Markdown</dc:description>
  <cp:lastModifiedBy>Mark Rosenblatt</cp:lastModifiedBy>
  <cp:revision>3</cp:revision>
  <dcterms:created xsi:type="dcterms:W3CDTF">2026-03-30T17:15:00Z</dcterms:created>
  <dcterms:modified xsi:type="dcterms:W3CDTF">2026-03-30T17:15:00Z</dcterms:modified>
</cp:coreProperties>
</file>