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Rapporto ESG – Tenuta Renda</w:t>
      </w:r>
    </w:p>
    <w:p>
      <w:pPr>
        <w:jc w:val="center"/>
      </w:pPr>
      <w:r>
        <w:rPr>
          <w:i/>
          <w:sz w:val="24"/>
        </w:rPr>
        <w:t>Località Carfizzi – Provincia di Crotone</w:t>
      </w:r>
    </w:p>
    <w:p/>
    <w:p>
      <w:pPr>
        <w:pStyle w:val="Heading1"/>
      </w:pPr>
      <w:r>
        <w:t>1. Executive Summary</w:t>
      </w:r>
    </w:p>
    <w:p>
      <w:r>
        <w:t>Il profilo ESG della Tenuta Renda mostra punti di forza nella tutela del paesaggio, nell’economia circolare dei sottoprodotti e nel forte radicamento socio‑culturale. Restano margini di miglioramento sull’energia (assenza di rinnovabili), sulla gestione strutturata delle risorse umane e sull’aggiornamento della governance strategica. Il punteggio medio RISE (3,3/5) evidenzia una sostenibilità intermedia con ampio potenziale di crescita.</w:t>
      </w:r>
    </w:p>
    <w:p>
      <w:pPr>
        <w:pStyle w:val="Heading1"/>
      </w:pPr>
      <w:r>
        <w:t>2. Pillar Ambientale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Tema</w:t>
            </w:r>
          </w:p>
        </w:tc>
        <w:tc>
          <w:tcPr>
            <w:tcW w:type="dxa" w:w="2160"/>
          </w:tcPr>
          <w:p>
            <w:r>
              <w:t>Evidenze chiave</w:t>
            </w:r>
          </w:p>
        </w:tc>
        <w:tc>
          <w:tcPr>
            <w:tcW w:type="dxa" w:w="2160"/>
          </w:tcPr>
          <w:p>
            <w:r>
              <w:t>Valutazione</w:t>
            </w:r>
          </w:p>
        </w:tc>
        <w:tc>
          <w:tcPr>
            <w:tcW w:type="dxa" w:w="2160"/>
          </w:tcPr>
          <w:p>
            <w:r>
              <w:t>Azioni prioritarie</w:t>
            </w:r>
          </w:p>
        </w:tc>
      </w:tr>
      <w:tr>
        <w:tc>
          <w:tcPr>
            <w:tcW w:type="dxa" w:w="2160"/>
          </w:tcPr>
          <w:p>
            <w:r>
              <w:t>Energia &amp; Clima</w:t>
            </w:r>
          </w:p>
        </w:tc>
        <w:tc>
          <w:tcPr>
            <w:tcW w:type="dxa" w:w="2160"/>
          </w:tcPr>
          <w:p>
            <w:r>
              <w:t>2 000 kWh elettricità/anno – 6 000 l gasolio/anno, 0 % da fonti rinnovabili.</w:t>
            </w:r>
          </w:p>
        </w:tc>
        <w:tc>
          <w:tcPr>
            <w:tcW w:type="dxa" w:w="2160"/>
          </w:tcPr>
          <w:p>
            <w:r>
              <w:t>◔ (medio‑basso)</w:t>
            </w:r>
          </w:p>
        </w:tc>
        <w:tc>
          <w:tcPr>
            <w:tcW w:type="dxa" w:w="2160"/>
          </w:tcPr>
          <w:p>
            <w:r>
              <w:t>Installare 15–20 kWp FV su tetto cantina; sostituire trattore diesel con modello bifuel/elettrico.</w:t>
            </w:r>
          </w:p>
        </w:tc>
      </w:tr>
      <w:tr>
        <w:tc>
          <w:tcPr>
            <w:tcW w:type="dxa" w:w="2160"/>
          </w:tcPr>
          <w:p>
            <w:r>
              <w:t>Suolo</w:t>
            </w:r>
          </w:p>
        </w:tc>
        <w:tc>
          <w:tcPr>
            <w:tcW w:type="dxa" w:w="2160"/>
          </w:tcPr>
          <w:p>
            <w:r>
              <w:t>SOM 20 %, pratiche di sovescio e compost autoprodotto.</w:t>
            </w:r>
          </w:p>
        </w:tc>
        <w:tc>
          <w:tcPr>
            <w:tcW w:type="dxa" w:w="2160"/>
          </w:tcPr>
          <w:p>
            <w:r>
              <w:t>◑ (buono)</w:t>
            </w:r>
          </w:p>
        </w:tc>
        <w:tc>
          <w:tcPr>
            <w:tcW w:type="dxa" w:w="2160"/>
          </w:tcPr>
          <w:p>
            <w:r>
              <w:t>Introdurre analisi C/N annuali e piani di rotazione/inerbimento.</w:t>
            </w:r>
          </w:p>
        </w:tc>
      </w:tr>
      <w:tr>
        <w:tc>
          <w:tcPr>
            <w:tcW w:type="dxa" w:w="2160"/>
          </w:tcPr>
          <w:p>
            <w:r>
              <w:t>Acqua</w:t>
            </w:r>
          </w:p>
        </w:tc>
        <w:tc>
          <w:tcPr>
            <w:tcW w:type="dxa" w:w="2160"/>
          </w:tcPr>
          <w:p>
            <w:r>
              <w:t>Produzione “in asciutto”; spesa 600 €/anno; micro‑irrigazione 0 %.</w:t>
            </w:r>
          </w:p>
        </w:tc>
        <w:tc>
          <w:tcPr>
            <w:tcW w:type="dxa" w:w="2160"/>
          </w:tcPr>
          <w:p>
            <w:r>
              <w:t>● (alto)</w:t>
            </w:r>
          </w:p>
        </w:tc>
        <w:tc>
          <w:tcPr>
            <w:tcW w:type="dxa" w:w="2160"/>
          </w:tcPr>
          <w:p>
            <w:r>
              <w:t>Valutare micro‑irrigazione a goccia nei nuovi impianti viticoli.</w:t>
            </w:r>
          </w:p>
        </w:tc>
      </w:tr>
      <w:tr>
        <w:tc>
          <w:tcPr>
            <w:tcW w:type="dxa" w:w="2160"/>
          </w:tcPr>
          <w:p>
            <w:r>
              <w:t>Biodiversità</w:t>
            </w:r>
          </w:p>
        </w:tc>
        <w:tc>
          <w:tcPr>
            <w:tcW w:type="dxa" w:w="2160"/>
          </w:tcPr>
          <w:p>
            <w:r>
              <w:t>5 cultivar viticole; assenza siepi/pollinator‑monitoring.</w:t>
            </w:r>
          </w:p>
        </w:tc>
        <w:tc>
          <w:tcPr>
            <w:tcW w:type="dxa" w:w="2160"/>
          </w:tcPr>
          <w:p>
            <w:r>
              <w:t>◔ (medio‑basso)</w:t>
            </w:r>
          </w:p>
        </w:tc>
        <w:tc>
          <w:tcPr>
            <w:tcW w:type="dxa" w:w="2160"/>
          </w:tcPr>
          <w:p>
            <w:r>
              <w:t>Ripristino siepi, nidi impollinatori, monitoraggio entomofauna.</w:t>
            </w:r>
          </w:p>
        </w:tc>
      </w:tr>
      <w:tr>
        <w:tc>
          <w:tcPr>
            <w:tcW w:type="dxa" w:w="2160"/>
          </w:tcPr>
          <w:p>
            <w:r>
              <w:t>Rifiuti &amp; Circolarità</w:t>
            </w:r>
          </w:p>
        </w:tc>
        <w:tc>
          <w:tcPr>
            <w:tcW w:type="dxa" w:w="2160"/>
          </w:tcPr>
          <w:p>
            <w:r>
              <w:t>60 t/anno rifiuti, 90 % riciclato; sansa riutilizzata come ammendante.</w:t>
            </w:r>
          </w:p>
        </w:tc>
        <w:tc>
          <w:tcPr>
            <w:tcW w:type="dxa" w:w="2160"/>
          </w:tcPr>
          <w:p>
            <w:r>
              <w:t>◑ (buono)</w:t>
            </w:r>
          </w:p>
        </w:tc>
        <w:tc>
          <w:tcPr>
            <w:tcW w:type="dxa" w:w="2160"/>
          </w:tcPr>
          <w:p>
            <w:r>
              <w:t>Introdurre KPI riduzione absolute kg rifiuti (‑10 %/anno).</w:t>
            </w:r>
          </w:p>
        </w:tc>
      </w:tr>
      <w:tr>
        <w:tc>
          <w:tcPr>
            <w:tcW w:type="dxa" w:w="2160"/>
          </w:tcPr>
          <w:p>
            <w:r>
              <w:t>Paesaggio</w:t>
            </w:r>
          </w:p>
        </w:tc>
        <w:tc>
          <w:tcPr>
            <w:tcW w:type="dxa" w:w="2160"/>
          </w:tcPr>
          <w:p>
            <w:r>
              <w:t>10 000 €/a investiti; valutazione estetica 4/5; progetto paesaggistico 70 000 €.</w:t>
            </w:r>
          </w:p>
        </w:tc>
        <w:tc>
          <w:tcPr>
            <w:tcW w:type="dxa" w:w="2160"/>
          </w:tcPr>
          <w:p>
            <w:r>
              <w:t>● (alto)</w:t>
            </w:r>
          </w:p>
        </w:tc>
        <w:tc>
          <w:tcPr>
            <w:tcW w:type="dxa" w:w="2160"/>
          </w:tcPr>
          <w:p>
            <w:r>
              <w:t>Rendicontare i co‑benefici ecosistemici ai visitatori.</w:t>
            </w:r>
          </w:p>
        </w:tc>
      </w:tr>
    </w:tbl>
    <w:p/>
    <w:p>
      <w:pPr>
        <w:pStyle w:val="Heading1"/>
      </w:pPr>
      <w:r>
        <w:t>3. Pillar Sociale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Tema</w:t>
            </w:r>
          </w:p>
        </w:tc>
        <w:tc>
          <w:tcPr>
            <w:tcW w:type="dxa" w:w="2160"/>
          </w:tcPr>
          <w:p>
            <w:r>
              <w:t>Evidenze chiave</w:t>
            </w:r>
          </w:p>
        </w:tc>
        <w:tc>
          <w:tcPr>
            <w:tcW w:type="dxa" w:w="2160"/>
          </w:tcPr>
          <w:p>
            <w:r>
              <w:t>Valutazione</w:t>
            </w:r>
          </w:p>
        </w:tc>
        <w:tc>
          <w:tcPr>
            <w:tcW w:type="dxa" w:w="2160"/>
          </w:tcPr>
          <w:p>
            <w:r>
              <w:t>Azioni prioritarie</w:t>
            </w:r>
          </w:p>
        </w:tc>
      </w:tr>
      <w:tr>
        <w:tc>
          <w:tcPr>
            <w:tcW w:type="dxa" w:w="2160"/>
          </w:tcPr>
          <w:p>
            <w:r>
              <w:t>Occupazione &amp; parità</w:t>
            </w:r>
          </w:p>
        </w:tc>
        <w:tc>
          <w:tcPr>
            <w:tcW w:type="dxa" w:w="2160"/>
          </w:tcPr>
          <w:p>
            <w:r>
              <w:t>1 FTE familiare + ~10 operai stagionali; 100 % forza lavoro locale; 50 % &lt; 35 anni/donne.</w:t>
            </w:r>
          </w:p>
        </w:tc>
        <w:tc>
          <w:tcPr>
            <w:tcW w:type="dxa" w:w="2160"/>
          </w:tcPr>
          <w:p>
            <w:r>
              <w:t>◑</w:t>
            </w:r>
          </w:p>
        </w:tc>
        <w:tc>
          <w:tcPr>
            <w:tcW w:type="dxa" w:w="2160"/>
          </w:tcPr>
          <w:p>
            <w:r>
              <w:t>Formalizzare piani di stabilizzazione e apprendistato per giovani.</w:t>
            </w:r>
          </w:p>
        </w:tc>
      </w:tr>
      <w:tr>
        <w:tc>
          <w:tcPr>
            <w:tcW w:type="dxa" w:w="2160"/>
          </w:tcPr>
          <w:p>
            <w:r>
              <w:t>Condizioni di lavoro</w:t>
            </w:r>
          </w:p>
        </w:tc>
        <w:tc>
          <w:tcPr>
            <w:tcW w:type="dxa" w:w="2160"/>
          </w:tcPr>
          <w:p>
            <w:r>
              <w:t>0 ore formazione safety; 0 infortuni; nessun contratto a tempo indeterminato.</w:t>
            </w:r>
          </w:p>
        </w:tc>
        <w:tc>
          <w:tcPr>
            <w:tcW w:type="dxa" w:w="2160"/>
          </w:tcPr>
          <w:p>
            <w:r>
              <w:t>◔</w:t>
            </w:r>
          </w:p>
        </w:tc>
        <w:tc>
          <w:tcPr>
            <w:tcW w:type="dxa" w:w="2160"/>
          </w:tcPr>
          <w:p>
            <w:r>
              <w:t>Implementare 8 h formazione H&amp;S/anno, registro near‑miss.</w:t>
            </w:r>
          </w:p>
        </w:tc>
      </w:tr>
      <w:tr>
        <w:tc>
          <w:tcPr>
            <w:tcW w:type="dxa" w:w="2160"/>
          </w:tcPr>
          <w:p>
            <w:r>
              <w:t>Coinvolgimento comunità</w:t>
            </w:r>
          </w:p>
        </w:tc>
        <w:tc>
          <w:tcPr>
            <w:tcW w:type="dxa" w:w="2160"/>
          </w:tcPr>
          <w:p>
            <w:r>
              <w:t>10 eventi culturali/anno; 250 visitatori; ricavi turismo 4 000 €.</w:t>
            </w:r>
          </w:p>
        </w:tc>
        <w:tc>
          <w:tcPr>
            <w:tcW w:type="dxa" w:w="2160"/>
          </w:tcPr>
          <w:p>
            <w:r>
              <w:t>●</w:t>
            </w:r>
          </w:p>
        </w:tc>
        <w:tc>
          <w:tcPr>
            <w:tcW w:type="dxa" w:w="2160"/>
          </w:tcPr>
          <w:p>
            <w:r>
              <w:t>Rafforzare pacchetti enoturistici integrando percorsi naturalistici.</w:t>
            </w:r>
          </w:p>
        </w:tc>
      </w:tr>
    </w:tbl>
    <w:p/>
    <w:p>
      <w:pPr>
        <w:pStyle w:val="Heading1"/>
      </w:pPr>
      <w:r>
        <w:t>4. Pillar Governance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Tema</w:t>
            </w:r>
          </w:p>
        </w:tc>
        <w:tc>
          <w:tcPr>
            <w:tcW w:type="dxa" w:w="2160"/>
          </w:tcPr>
          <w:p>
            <w:r>
              <w:t>Evidenze chiave</w:t>
            </w:r>
          </w:p>
        </w:tc>
        <w:tc>
          <w:tcPr>
            <w:tcW w:type="dxa" w:w="2160"/>
          </w:tcPr>
          <w:p>
            <w:r>
              <w:t>Valutazione</w:t>
            </w:r>
          </w:p>
        </w:tc>
        <w:tc>
          <w:tcPr>
            <w:tcW w:type="dxa" w:w="2160"/>
          </w:tcPr>
          <w:p>
            <w:r>
              <w:t>Azioni prioritarie</w:t>
            </w:r>
          </w:p>
        </w:tc>
      </w:tr>
      <w:tr>
        <w:tc>
          <w:tcPr>
            <w:tcW w:type="dxa" w:w="2160"/>
          </w:tcPr>
          <w:p>
            <w:r>
              <w:t>Strategia &amp; Pianificazione</w:t>
            </w:r>
          </w:p>
        </w:tc>
        <w:tc>
          <w:tcPr>
            <w:tcW w:type="dxa" w:w="2160"/>
          </w:tcPr>
          <w:p>
            <w:r>
              <w:t>Business plan aggiornato al 2020; punteggio RISE 3,3; margine operativo “N/D”.</w:t>
            </w:r>
          </w:p>
        </w:tc>
        <w:tc>
          <w:tcPr>
            <w:tcW w:type="dxa" w:w="2160"/>
          </w:tcPr>
          <w:p>
            <w:r>
              <w:t>◔</w:t>
            </w:r>
          </w:p>
        </w:tc>
        <w:tc>
          <w:tcPr>
            <w:tcW w:type="dxa" w:w="2160"/>
          </w:tcPr>
          <w:p>
            <w:r>
              <w:t>Redigere piano industriale 2025‑2030 con target ESG annuali.</w:t>
            </w:r>
          </w:p>
        </w:tc>
      </w:tr>
      <w:tr>
        <w:tc>
          <w:tcPr>
            <w:tcW w:type="dxa" w:w="2160"/>
          </w:tcPr>
          <w:p>
            <w:r>
              <w:t>Processi decisionali</w:t>
            </w:r>
          </w:p>
        </w:tc>
        <w:tc>
          <w:tcPr>
            <w:tcW w:type="dxa" w:w="2160"/>
          </w:tcPr>
          <w:p>
            <w:r>
              <w:t>2 riunioni familiari formalizzate/anno; governance partecipativa ma informale.</w:t>
            </w:r>
          </w:p>
        </w:tc>
        <w:tc>
          <w:tcPr>
            <w:tcW w:type="dxa" w:w="2160"/>
          </w:tcPr>
          <w:p>
            <w:r>
              <w:t>◑</w:t>
            </w:r>
          </w:p>
        </w:tc>
        <w:tc>
          <w:tcPr>
            <w:tcW w:type="dxa" w:w="2160"/>
          </w:tcPr>
          <w:p>
            <w:r>
              <w:t>Istituire verbali con KPI e policy di successione generazionale.</w:t>
            </w:r>
          </w:p>
        </w:tc>
      </w:tr>
      <w:tr>
        <w:tc>
          <w:tcPr>
            <w:tcW w:type="dxa" w:w="2160"/>
          </w:tcPr>
          <w:p>
            <w:r>
              <w:t>Trasparenza &amp; Filiera</w:t>
            </w:r>
          </w:p>
        </w:tc>
        <w:tc>
          <w:tcPr>
            <w:tcW w:type="dxa" w:w="2160"/>
          </w:tcPr>
          <w:p>
            <w:r>
              <w:t>Adesione a Consorzio Melissa‑Cirò; 40 % vendite dirette vino, 20 % olio.</w:t>
            </w:r>
          </w:p>
        </w:tc>
        <w:tc>
          <w:tcPr>
            <w:tcW w:type="dxa" w:w="2160"/>
          </w:tcPr>
          <w:p>
            <w:r>
              <w:t>◑</w:t>
            </w:r>
          </w:p>
        </w:tc>
        <w:tc>
          <w:tcPr>
            <w:tcW w:type="dxa" w:w="2160"/>
          </w:tcPr>
          <w:p>
            <w:r>
              <w:t>Pubblicare report di sostenibilità e tracciare LCA dei prodotti.</w:t>
            </w:r>
          </w:p>
        </w:tc>
      </w:tr>
    </w:tbl>
    <w:p/>
    <w:p>
      <w:pPr>
        <w:pStyle w:val="Heading1"/>
      </w:pPr>
      <w:r>
        <w:t>5. Mappa di materialità (qualitativa)</w:t>
      </w:r>
    </w:p>
    <w:p>
      <w:r>
        <w:t>La mappa di materialità colloca “Energia”, “Governance” e “Condizioni di lavoro” nel quadrante ad alto impatto sul business e alta rilevanza per gli stakeholder, mentre “Biodiversità” si posiziona a media rilevanza. Questa lettura guida la priorità degli interventi nei prossimi 24 mesi.</w:t>
      </w:r>
    </w:p>
    <w:p>
      <w:pPr>
        <w:pStyle w:val="Heading1"/>
      </w:pPr>
      <w:r>
        <w:t>6. Raccomandazioni prioritarie (12‑24 mesi)</w:t>
      </w:r>
    </w:p>
    <w:p>
      <w:pPr>
        <w:pStyle w:val="ListNumber"/>
      </w:pPr>
      <w:r>
        <w:t>Piano energetico verde: installare 15–20 kWp di fotovoltaico, coprendo il 30 % del fabbisogno elettrico.</w:t>
      </w:r>
    </w:p>
    <w:p>
      <w:pPr>
        <w:pStyle w:val="ListNumber"/>
      </w:pPr>
      <w:r>
        <w:t>Sistema di formazione e sicurezza: modulo annuale di 8 ore e registrazione near‑miss per tutti gli stagionali.</w:t>
      </w:r>
    </w:p>
    <w:p>
      <w:pPr>
        <w:pStyle w:val="ListNumber"/>
      </w:pPr>
      <w:r>
        <w:t>Aggiornamento del business plan: definire target ESG misurabili, es. riduzione CO₂ di 8 t/anno.</w:t>
      </w:r>
    </w:p>
    <w:p>
      <w:pPr>
        <w:pStyle w:val="ListNumber"/>
      </w:pPr>
      <w:r>
        <w:t>Programma biodiversità: monitoraggio impollinatori e fasce tampone vegetate attorno ai vigneti.</w:t>
      </w:r>
    </w:p>
    <w:p>
      <w:pPr>
        <w:pStyle w:val="ListNumber"/>
      </w:pPr>
      <w:r>
        <w:t>Report di sostenibilità divulgativo: pubblicazione annuale di un bilancio semplificato.</w:t>
      </w:r>
    </w:p>
    <w:p>
      <w:pPr>
        <w:pStyle w:val="Heading1"/>
      </w:pPr>
      <w:r>
        <w:t>7. Conclusione</w:t>
      </w:r>
    </w:p>
    <w:p>
      <w:r>
        <w:t>La storia della Tenuta Renda dimostra che la sostenibilità non è soltanto una somma di indicatori, ma un percorso culturale che intreccia famiglia, paesaggio e comunità. Con alcuni interventi mirati – dall’energia rinnovabile alla governance documentata – l’azienda potrà trasformare i punti critici in leve di competitività, elevando il proprio profilo ESG e rafforzando il ruolo di modello rurale innovativo nel territorio crotonese.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