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B98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0" w:afterAutospacing="0" w:line="28" w:lineRule="atLeast"/>
        <w:ind w:left="0" w:right="0"/>
        <w:rPr>
          <w:sz w:val="44"/>
          <w:szCs w:val="44"/>
        </w:rPr>
      </w:pPr>
      <w:bookmarkStart w:id="0" w:name="_GoBack"/>
      <w:r>
        <w:rPr>
          <w:i w:val="0"/>
          <w:iCs w:val="0"/>
          <w:caps w:val="0"/>
          <w:spacing w:val="11"/>
          <w:sz w:val="44"/>
          <w:szCs w:val="44"/>
          <w:bdr w:val="none" w:color="auto" w:sz="0" w:space="0"/>
        </w:rPr>
        <w:t>冒用“通义千问”大模型案｜判决书</w:t>
      </w:r>
    </w:p>
    <w:bookmarkEnd w:id="0"/>
    <w:p w14:paraId="33ED50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80" w:afterAutospacing="0"/>
        <w:ind w:left="0" w:right="0"/>
        <w:jc w:val="both"/>
      </w:pP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被告注册“</w:t>
      </w: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通义千问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大模型”微信公众号后变更为“</w:t>
      </w: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通义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ai”，公众号简介中使用“</w:t>
      </w: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通义千问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”字样，被告注册微信小程序“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通意千问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ai” 等字样；用户询问“通意千问 ai”小程序身份时回答为“我是Qwen，由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阿里云开发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的一个大型语言模型”...被告同时注册有“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豆苞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ai”微信服务号、“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斗包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ai”等微信小程序，在简介中使用“</w:t>
      </w: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豆包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”字样。</w:t>
      </w:r>
    </w:p>
    <w:p w14:paraId="0DF4D55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80" w:afterAutospacing="0"/>
        <w:ind w:left="0" w:right="0"/>
        <w:jc w:val="both"/>
      </w:pP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阿里云公司经授权使用“通义”“通义千问”等商标，并有权以自己的名义针对侵犯商标专用权的行为提起诉讼。阿里云认为被告的行为构成商标侵权及不正当竞争。</w:t>
      </w:r>
    </w:p>
    <w:p w14:paraId="4B46D9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80" w:afterAutospacing="0"/>
        <w:ind w:left="0" w:right="0"/>
        <w:jc w:val="both"/>
      </w:pP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法院审理认为，被告提供的小程序等服务与原告涉案第42类商标核定使用的软件即服务相同，与原告涉案的第9类商标核定使用的商品计算机软件类似。被告使用上述标识时，易使相关公众误认为小程序等服务直接来源于原告。因此，被告的上述行为，</w:t>
      </w: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侵害了原告的涉案注册商标专用权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。</w:t>
      </w:r>
    </w:p>
    <w:p w14:paraId="7FCF573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80" w:afterAutospacing="0"/>
        <w:ind w:left="0" w:right="0"/>
        <w:jc w:val="both"/>
      </w:pP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被告经营的“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豆苞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ai” 等微信小程序，声称通用全能ai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深度求索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，通过调用</w:t>
      </w: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豆包、deepseek深度求索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color w:val="7B0C00"/>
          <w:spacing w:val="7"/>
          <w:sz w:val="34"/>
          <w:szCs w:val="34"/>
          <w:bdr w:val="none" w:color="auto" w:sz="0" w:space="0"/>
        </w:rPr>
        <w:t>等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api提供智能问答服务，而被告</w:t>
      </w: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实际调用的是阿里云公司的大模型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，该宣传行为与事实不符，因此，被告的行为</w:t>
      </w: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构成不正当竞争</w:t>
      </w: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。</w:t>
      </w:r>
    </w:p>
    <w:p w14:paraId="188F30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80" w:afterAutospacing="0"/>
        <w:ind w:left="0" w:right="0"/>
        <w:jc w:val="both"/>
      </w:pPr>
      <w:r>
        <w:rPr>
          <w:rFonts w:hint="eastAsia" w:ascii="PingFang SC" w:hAnsi="PingFang SC" w:eastAsia="PingFang SC" w:cs="PingFang SC"/>
          <w:b w:val="0"/>
          <w:bCs w:val="0"/>
          <w:i w:val="0"/>
          <w:iCs w:val="0"/>
          <w:caps w:val="0"/>
          <w:spacing w:val="7"/>
          <w:sz w:val="34"/>
          <w:szCs w:val="34"/>
          <w:bdr w:val="none" w:color="auto" w:sz="0" w:space="0"/>
        </w:rPr>
        <w:t>附判决书：📃</w:t>
      </w:r>
    </w:p>
    <w:p w14:paraId="208B16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1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2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30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2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1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2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10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25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8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32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20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31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28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17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11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10287000" cy="14544675"/>
            <wp:effectExtent l="0" t="0" r="0" b="9525"/>
            <wp:docPr id="34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54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CAFC85"/>
    <w:rsid w:val="EECAF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1</TotalTime>
  <ScaleCrop>false</ScaleCrop>
  <LinksUpToDate>false</LinksUpToDate>
  <CharactersWithSpaces>0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2025-11-19T14:33:00Z</dcterms:created>
  <dc:creator>阿来律师</dc:creator>
  <cp:lastModifiedBy>阿来律师</cp:lastModifiedBy>
  <dcterms:modified xsi:type="dcterms:W3CDTF">2025-11-19T14:34:38Z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7A3AF98161A374ABA2641D699B003F70_41</vt:lpwstr>
  </property>
</Properties>
</file>