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200" w:after="80" w:line="276"/>
        <w:jc w:val="left"/>
      </w:pPr>
      <w:r>
        <w:rPr>
          <w:rFonts w:ascii="Arial" w:cs="Arial" w:eastAsia="Arial" w:hAnsi="Arial"/>
          <w:b w:val="false"/>
          <w:bCs w:val="false"/>
          <w:i w:val="false"/>
          <w:iCs w:val="false"/>
          <w:color w:val="1A1A2E"/>
          <w:sz w:val="22"/>
          <w:szCs w:val="22"/>
        </w:rPr>
        <w:t xml:space="preserve"/>
      </w:r>
    </w:p>
    <w:p>
      <w:pPr>
        <w:spacing w:before="0" w:after="200"/>
        <w:jc w:val="center"/>
      </w:pPr>
      <w:r>
        <w:rPr>
          <w:rFonts w:ascii="Arial" w:cs="Arial" w:eastAsia="Arial" w:hAnsi="Arial"/>
          <w:b/>
          <w:bCs/>
          <w:color w:val="1B2A4A"/>
          <w:sz w:val="64"/>
          <w:szCs w:val="64"/>
        </w:rPr>
        <w:t xml:space="preserve">THE MUSIC UNION 512</w:t>
      </w:r>
    </w:p>
    <w:p>
      <w:pPr>
        <w:pBdr>
          <w:bottom w:val="single" w:color="C9A84C" w:sz="12" w:space="6"/>
        </w:pBdr>
        <w:spacing w:before="0" w:after="80"/>
        <w:jc w:val="center"/>
      </w:pPr>
      <w:r>
        <w:rPr>
          <w:rFonts w:ascii="Arial" w:cs="Arial" w:eastAsia="Arial" w:hAnsi="Arial"/>
          <w:color w:val="555555"/>
          <w:sz w:val="28"/>
          <w:szCs w:val="28"/>
        </w:rPr>
        <w:t xml:space="preserve">4405 Springdale Road  ·  Austin, Texas 78723</w:t>
      </w:r>
    </w:p>
    <w:p>
      <w:pPr>
        <w:spacing w:before="120" w:after="120" w:line="276"/>
        <w:jc w:val="left"/>
      </w:pPr>
      <w:r>
        <w:rPr>
          <w:rFonts w:ascii="Arial" w:cs="Arial" w:eastAsia="Arial" w:hAnsi="Arial"/>
          <w:b w:val="false"/>
          <w:bCs w:val="false"/>
          <w:i w:val="false"/>
          <w:iCs w:val="false"/>
          <w:color w:val="1A1A2E"/>
          <w:sz w:val="22"/>
          <w:szCs w:val="22"/>
        </w:rPr>
        <w:t xml:space="preserve"/>
      </w:r>
    </w:p>
    <w:p>
      <w:pPr>
        <w:spacing w:before="60" w:after="60"/>
        <w:jc w:val="center"/>
      </w:pPr>
      <w:r>
        <w:rPr>
          <w:rFonts w:ascii="Arial" w:cs="Arial" w:eastAsia="Arial" w:hAnsi="Arial"/>
          <w:b/>
          <w:bCs/>
          <w:color w:val="1B2A4A"/>
          <w:sz w:val="40"/>
          <w:szCs w:val="40"/>
        </w:rPr>
        <w:t xml:space="preserve">BUSINESS PLAN</w:t>
      </w:r>
    </w:p>
    <w:p>
      <w:pPr>
        <w:spacing w:before="40" w:after="40"/>
        <w:jc w:val="center"/>
      </w:pPr>
      <w:r>
        <w:rPr>
          <w:rFonts w:ascii="Arial" w:cs="Arial" w:eastAsia="Arial" w:hAnsi="Arial"/>
          <w:color w:val="777777"/>
          <w:sz w:val="24"/>
          <w:szCs w:val="24"/>
        </w:rPr>
        <w:t xml:space="preserve">Confidential — March 2026</w:t>
      </w:r>
    </w:p>
    <w:p>
      <w:pPr>
        <w:spacing w:before="800" w:after="80" w:line="276"/>
        <w:jc w:val="left"/>
      </w:pPr>
      <w:r>
        <w:rPr>
          <w:rFonts w:ascii="Arial" w:cs="Arial" w:eastAsia="Arial" w:hAnsi="Arial"/>
          <w:b w:val="false"/>
          <w:bCs w:val="false"/>
          <w:i w:val="false"/>
          <w:iCs w:val="false"/>
          <w:color w:val="1A1A2E"/>
          <w:sz w:val="22"/>
          <w:szCs w:val="22"/>
        </w:rPr>
        <w:t xml:space="preserve"/>
      </w:r>
    </w:p>
    <w:p>
      <w:pPr>
        <w:jc w:val="center"/>
      </w:pPr>
      <w:r>
        <w:rPr>
          <w:rFonts w:ascii="Arial" w:cs="Arial" w:eastAsia="Arial" w:hAnsi="Arial"/>
          <w:color w:val="555555"/>
          <w:sz w:val="22"/>
          <w:szCs w:val="22"/>
        </w:rPr>
        <w:t xml:space="preserve">Prepared by The Music Union 512 LLC</w:t>
      </w:r>
    </w:p>
    <w:p>
      <w:pPr>
        <w:jc w:val="center"/>
      </w:pPr>
      <w:r>
        <w:rPr>
          <w:rFonts w:ascii="Arial" w:cs="Arial" w:eastAsia="Arial" w:hAnsi="Arial"/>
          <w:color w:val="555555"/>
          <w:sz w:val="22"/>
          <w:szCs w:val="22"/>
        </w:rPr>
        <w:t xml:space="preserve">Austin, Texas</w:t>
      </w:r>
    </w:p>
    <w:p>
      <w:r>
        <w:br w:type="page"/>
      </w:r>
    </w:p>
    <w:p>
      <w:pPr>
        <w:pStyle w:val="Heading1"/>
        <w:pBdr>
          <w:bottom w:val="single" w:color="C9A84C" w:sz="8" w:space="4"/>
        </w:pBdr>
        <w:spacing w:before="360" w:after="160"/>
      </w:pPr>
      <w:r>
        <w:rPr>
          <w:rFonts w:ascii="Arial" w:cs="Arial" w:eastAsia="Arial" w:hAnsi="Arial"/>
          <w:b/>
          <w:bCs/>
          <w:color w:val="1B2A4A"/>
          <w:sz w:val="36"/>
          <w:szCs w:val="36"/>
        </w:rPr>
        <w:t xml:space="preserve">1.  Executive Summary</w:t>
      </w:r>
    </w:p>
    <w:p>
      <w:pPr>
        <w:spacing w:before="80" w:after="160"/>
      </w:pPr>
      <w:r>
        <w:rPr>
          <w:rFonts w:ascii="Arial" w:cs="Arial" w:eastAsia="Arial" w:hAnsi="Arial"/>
          <w:i/>
          <w:iCs/>
          <w:color w:val="444444"/>
          <w:sz w:val="22"/>
          <w:szCs w:val="22"/>
        </w:rPr>
        <w:t xml:space="preserve">This document presents a comprehensive business plan for the acquisition, development, and operation of The Music Union 512 — a vertically integrated live music and creative industry hub in Austin, Texas.</w:t>
      </w:r>
    </w:p>
    <w:p>
      <w:pPr>
        <w:pStyle w:val="Heading2"/>
        <w:spacing w:before="260" w:after="100"/>
      </w:pPr>
      <w:r>
        <w:rPr>
          <w:rFonts w:ascii="Arial" w:cs="Arial" w:eastAsia="Arial" w:hAnsi="Arial"/>
          <w:b/>
          <w:bCs/>
          <w:color w:val="1B2A4A"/>
          <w:sz w:val="28"/>
          <w:szCs w:val="28"/>
        </w:rPr>
        <w:t xml:space="preserve">The Opportunity</w:t>
      </w:r>
    </w:p>
    <w:p>
      <w:pPr>
        <w:spacing w:before="80" w:after="80" w:line="276"/>
        <w:jc w:val="left"/>
      </w:pPr>
      <w:r>
        <w:rPr>
          <w:rFonts w:ascii="Arial" w:cs="Arial" w:eastAsia="Arial" w:hAnsi="Arial"/>
          <w:b w:val="false"/>
          <w:bCs w:val="false"/>
          <w:i w:val="false"/>
          <w:iCs w:val="false"/>
          <w:color w:val="1A1A2E"/>
          <w:sz w:val="22"/>
          <w:szCs w:val="22"/>
        </w:rPr>
        <w:t xml:space="preserve">Austin is the Live Music Capital of the World and one of the fastest-growing cities in the United States. Despite this, the metro area lacks a purpose-built, institutional-quality music campus that integrates rehearsal, recording, content creation, retail, co-tenancy, and live performance under one roof. The Music Union 512 will fill that gap.</w:t>
      </w:r>
    </w:p>
    <w:p>
      <w:pPr>
        <w:spacing w:before="80" w:after="80" w:line="276"/>
        <w:jc w:val="left"/>
      </w:pPr>
      <w:r>
        <w:rPr>
          <w:rFonts w:ascii="Arial" w:cs="Arial" w:eastAsia="Arial" w:hAnsi="Arial"/>
          <w:b w:val="false"/>
          <w:bCs w:val="false"/>
          <w:i w:val="false"/>
          <w:iCs w:val="false"/>
          <w:color w:val="1A1A2E"/>
          <w:sz w:val="22"/>
          <w:szCs w:val="22"/>
        </w:rPr>
        <w:t xml:space="preserve">The acquisition target — 4405 Springdale Road — is a 44,528 SF Class B flex building on 3.01 acres in East Austin, currently occupied by the Texas Workforce Commission (TWC) on a lease expiring August 31, 2026. The property will be acquired vacant, giving the new entity full control to execute a comprehensive adaptive reuse plan.</w:t>
      </w:r>
    </w:p>
    <w:p>
      <w:pPr>
        <w:pStyle w:val="Heading2"/>
        <w:spacing w:before="260" w:after="100"/>
      </w:pPr>
      <w:r>
        <w:rPr>
          <w:rFonts w:ascii="Arial" w:cs="Arial" w:eastAsia="Arial" w:hAnsi="Arial"/>
          <w:b/>
          <w:bCs/>
          <w:color w:val="1B2A4A"/>
          <w:sz w:val="28"/>
          <w:szCs w:val="28"/>
        </w:rPr>
        <w:t xml:space="preserve">Business Model at a Glance</w:t>
      </w:r>
    </w:p>
    <w:tbl>
      <w:tblPr>
        <w:tblW w:type="dxa" w:w="7680"/>
        <w:tblBorders>
          <w:top w:val="single" w:color="auto" w:sz="4"/>
          <w:left w:val="single" w:color="auto" w:sz="4"/>
          <w:bottom w:val="single" w:color="auto" w:sz="4"/>
          <w:right w:val="single" w:color="auto" w:sz="4"/>
          <w:insideH w:val="single" w:color="auto" w:sz="4"/>
          <w:insideV w:val="single" w:color="auto" w:sz="4"/>
        </w:tblBorders>
      </w:tblPr>
      <w:tblGrid>
        <w:gridCol w:w="2600"/>
        <w:gridCol w:w="2200"/>
        <w:gridCol w:w="1000"/>
        <w:gridCol w:w="1880"/>
      </w:tblGrid>
      <w:tr>
        <w:trPr>
          <w:tblHeader/>
        </w:trPr>
        <w:tc>
          <w:tcPr>
            <w:tcW w:type="dxa" w:w="26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Revenue Zone</w:t>
            </w:r>
          </w:p>
        </w:tc>
        <w:tc>
          <w:tcPr>
            <w:tcW w:type="dxa" w:w="22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Format</w:t>
            </w:r>
          </w:p>
        </w:tc>
        <w:tc>
          <w:tcPr>
            <w:tcW w:type="dxa" w:w="10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SF</w:t>
            </w:r>
          </w:p>
        </w:tc>
        <w:tc>
          <w:tcPr>
            <w:tcW w:type="dxa" w:w="188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Target Revenue (Stabilized Y1)</w:t>
            </w:r>
          </w:p>
        </w:tc>
      </w:tr>
      <w:tr>
        <w:tc>
          <w:tcPr>
            <w:tcW w:type="dxa" w:w="2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A — Rehearsal Complex</w:t>
            </w:r>
          </w:p>
        </w:tc>
        <w:tc>
          <w:tcPr>
            <w:tcW w:type="dxa" w:w="2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Hourly room rental (25 rooms)</w:t>
            </w:r>
          </w:p>
        </w:tc>
        <w:tc>
          <w:tcPr>
            <w:tcW w:type="dxa" w:w="1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13,000</w:t>
            </w:r>
          </w:p>
        </w:tc>
        <w:tc>
          <w:tcPr>
            <w:tcW w:type="dxa" w:w="188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~$1,814,000/yr</w:t>
            </w:r>
          </w:p>
        </w:tc>
      </w:tr>
      <w:tr>
        <w:tc>
          <w:tcPr>
            <w:tcW w:type="dxa" w:w="2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B — Production Suites</w:t>
            </w:r>
          </w:p>
        </w:tc>
        <w:tc>
          <w:tcPr>
            <w:tcW w:type="dxa" w:w="2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Hourly professional studios (3)</w:t>
            </w:r>
          </w:p>
        </w:tc>
        <w:tc>
          <w:tcPr>
            <w:tcW w:type="dxa" w:w="1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~6,000</w:t>
            </w:r>
          </w:p>
        </w:tc>
        <w:tc>
          <w:tcPr>
            <w:tcW w:type="dxa" w:w="188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~$626,000/yr</w:t>
            </w:r>
          </w:p>
        </w:tc>
      </w:tr>
      <w:tr>
        <w:tc>
          <w:tcPr>
            <w:tcW w:type="dxa" w:w="2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C — Creator / Podcast</w:t>
            </w:r>
          </w:p>
        </w:tc>
        <w:tc>
          <w:tcPr>
            <w:tcW w:type="dxa" w:w="2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Hourly content studios (5)</w:t>
            </w:r>
          </w:p>
        </w:tc>
        <w:tc>
          <w:tcPr>
            <w:tcW w:type="dxa" w:w="1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3,500</w:t>
            </w:r>
          </w:p>
        </w:tc>
        <w:tc>
          <w:tcPr>
            <w:tcW w:type="dxa" w:w="188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~$329,000/yr</w:t>
            </w:r>
          </w:p>
        </w:tc>
      </w:tr>
      <w:tr>
        <w:tc>
          <w:tcPr>
            <w:tcW w:type="dxa" w:w="2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D — Retail Anchor</w:t>
            </w:r>
          </w:p>
        </w:tc>
        <w:tc>
          <w:tcPr>
            <w:tcW w:type="dxa" w:w="2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Coffee · Bar · Stage · NNN</w:t>
            </w:r>
          </w:p>
        </w:tc>
        <w:tc>
          <w:tcPr>
            <w:tcW w:type="dxa" w:w="1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3,000</w:t>
            </w:r>
          </w:p>
        </w:tc>
        <w:tc>
          <w:tcPr>
            <w:tcW w:type="dxa" w:w="188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~$82,500/yr</w:t>
            </w:r>
          </w:p>
        </w:tc>
      </w:tr>
      <w:tr>
        <w:tc>
          <w:tcPr>
            <w:tcW w:type="dxa" w:w="2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E — Music Industry Coworking Buildout</w:t>
            </w:r>
          </w:p>
        </w:tc>
        <w:tc>
          <w:tcPr>
            <w:tcW w:type="dxa" w:w="2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Direct-operated coworking suites</w:t>
            </w:r>
          </w:p>
        </w:tc>
        <w:tc>
          <w:tcPr>
            <w:tcW w:type="dxa" w:w="1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~10,000</w:t>
            </w:r>
          </w:p>
        </w:tc>
        <w:tc>
          <w:tcPr>
            <w:tcW w:type="dxa" w:w="188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~$304,000/yr</w:t>
            </w:r>
          </w:p>
        </w:tc>
      </w:tr>
      <w:tr>
        <w:tc>
          <w:tcPr>
            <w:tcW w:type="dxa" w:w="2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F — Live Venue &amp; Bar</w:t>
            </w:r>
          </w:p>
        </w:tc>
        <w:tc>
          <w:tcPr>
            <w:tcW w:type="dxa" w:w="2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Ticketed events + bar revenue</w:t>
            </w:r>
          </w:p>
        </w:tc>
        <w:tc>
          <w:tcPr>
            <w:tcW w:type="dxa" w:w="1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7,500</w:t>
            </w:r>
          </w:p>
        </w:tc>
        <w:tc>
          <w:tcPr>
            <w:tcW w:type="dxa" w:w="188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~$769,000/yr</w:t>
            </w:r>
          </w:p>
        </w:tc>
      </w:tr>
      <w:tr>
        <w:tc>
          <w:p>
            <w:r>
              <w:rPr>
                <w:rFonts w:ascii="Arial" w:cs="Arial"/>
                <w:sz w:val="20"/>
              </w:rPr>
              <w:t xml:space="preserve">Zone G — Union Locker (Gear Storage · Consignment · Rental)</w:t>
            </w:r>
          </w:p>
          <w:p>
            <w:r>
              <w:rPr>
                <w:rFonts w:ascii="Arial" w:cs="Arial"/>
                <w:sz w:val="24"/>
              </w:rPr>
              <w:t xml:space="preserve">~1,500 SF in the SE corner. Three interlocking revenue streams: (1) 20 climate-controlled storage units ($150–$350/mo) for bands and working musicians to store backline, instruments, and touring gear; (2) short-term gear rental library — backline, microphones, stands, DI boxes, and accessories available by the hour or day for members and non-members; (3) instrument and gear consignment — The Music Union takes 35% of the sale price on consigned instruments, vintage gear, and equipment listed by members. Zero inventory risk. The pipeline runs itself: a member storing a vintage amplifier decides to part with it, converts to consignment, and sells to another member on their way out of rehearsal. The Union Locker is the gear economy of the campus.</w:t>
            </w:r>
          </w:p>
        </w:tc>
        <w:tc>
          <w:p>
            <w:r>
              <w:rPr>
                <w:rFonts w:ascii="Arial" w:cs="Arial"/>
                <w:sz w:val="20"/>
              </w:rPr>
              <w:t xml:space="preserve">Gear storage · short-term rental · instrument consignment</w:t>
            </w:r>
          </w:p>
        </w:tc>
        <w:tc>
          <w:p>
            <w:r>
              <w:rPr>
                <w:rFonts w:ascii="Arial" w:cs="Arial"/>
                <w:sz w:val="20"/>
              </w:rPr>
              <w:t>1,500</w:t>
            </w:r>
          </w:p>
        </w:tc>
        <w:tc>
          <w:p>
            <w:r>
              <w:rPr>
                <w:rFonts w:ascii="Arial" w:cs="Arial"/>
                <w:sz w:val="20"/>
              </w:rPr>
              <w:t>~$78,000/yr</w:t>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pStyle w:val="Heading2"/>
        <w:spacing w:before="260" w:after="100"/>
      </w:pPr>
      <w:r>
        <w:rPr>
          <w:rFonts w:ascii="Arial" w:cs="Arial" w:eastAsia="Arial" w:hAnsi="Arial"/>
          <w:b/>
          <w:bCs/>
          <w:color w:val="1B2A4A"/>
          <w:sz w:val="28"/>
          <w:szCs w:val="28"/>
        </w:rPr>
        <w:t xml:space="preserve">Key Investment Metrics</w:t>
      </w:r>
    </w:p>
    <w:p>
      <w:pPr>
        <w:spacing w:before="60" w:after="60"/>
      </w:pPr>
      <w:r>
        <w:rPr>
          <w:rFonts w:ascii="Arial" w:cs="Arial" w:eastAsia="Arial" w:hAnsi="Arial"/>
          <w:b/>
          <w:bCs/>
          <w:color w:val="1B2A4A"/>
          <w:sz w:val="22"/>
          <w:szCs w:val="22"/>
        </w:rPr>
        <w:t xml:space="preserve">Target Acquisition Price: </w:t>
      </w:r>
      <w:r>
        <w:rPr>
          <w:rFonts w:ascii="Arial" w:cs="Arial" w:eastAsia="Arial" w:hAnsi="Arial"/>
          <w:b/>
          <w:bCs/>
          <w:color w:val="C9A84C"/>
          <w:sz w:val="22"/>
          <w:szCs w:val="22"/>
        </w:rPr>
        <w:t xml:space="preserve">$8,250,000</w:t>
      </w:r>
      <w:r>
        <w:rPr>
          <w:rFonts w:ascii="Arial" w:cs="Arial" w:eastAsia="Arial" w:hAnsi="Arial"/>
          <w:color w:val="555555"/>
          <w:sz w:val="20"/>
          <w:szCs w:val="20"/>
        </w:rPr>
        <w:t xml:space="preserve">  ($188/SF — 21% below seller ask)</w:t>
      </w:r>
    </w:p>
    <w:p>
      <w:pPr>
        <w:spacing w:before="60" w:after="60"/>
      </w:pPr>
      <w:r>
        <w:rPr>
          <w:rFonts w:ascii="Arial" w:cs="Arial" w:eastAsia="Arial" w:hAnsi="Arial"/>
          <w:b/>
          <w:bCs/>
          <w:color w:val="1B2A4A"/>
          <w:sz w:val="22"/>
          <w:szCs w:val="22"/>
        </w:rPr>
        <w:t xml:space="preserve">Total Project Cost (Debt + Equity): </w:t>
      </w:r>
      <w:r>
        <w:rPr>
          <w:rFonts w:ascii="Arial" w:cs="Arial" w:eastAsia="Arial" w:hAnsi="Arial"/>
          <w:b/>
          <w:bCs/>
          <w:color w:val="C9A84C"/>
          <w:sz w:val="22"/>
          <w:szCs w:val="22"/>
        </w:rPr>
        <w:t xml:space="preserve">$13,065,000</w:t>
      </w:r>
      <w:r>
        <w:rPr>
          <w:rFonts w:ascii="Arial" w:cs="Arial" w:eastAsia="Arial" w:hAnsi="Arial"/>
          <w:color w:val="555555"/>
          <w:sz w:val="20"/>
          <w:szCs w:val="20"/>
        </w:rPr>
        <w:t xml:space="preserve">  (acquisition + all buildout + reserves) | Equity Raise: $4,573,000 (35%) | Mortgage: $8,492,000 (65%)</w:t>
      </w:r>
    </w:p>
    <w:p>
      <w:pPr>
        <w:spacing w:before="60" w:after="60"/>
      </w:pPr>
      <w:r>
        <w:rPr>
          <w:rFonts w:ascii="Arial" w:cs="Arial" w:eastAsia="Arial" w:hAnsi="Arial"/>
          <w:b/>
          <w:bCs/>
          <w:color w:val="1B2A4A"/>
          <w:sz w:val="22"/>
          <w:szCs w:val="22"/>
        </w:rPr>
        <w:t xml:space="preserve">Year 1 NOI (Base Case): </w:t>
      </w:r>
      <w:r>
        <w:rPr>
          <w:rFonts w:ascii="Arial" w:cs="Arial" w:eastAsia="Arial" w:hAnsi="Arial"/>
          <w:b/>
          <w:bCs/>
          <w:color w:val="C9A84C"/>
          <w:sz w:val="22"/>
          <w:szCs w:val="22"/>
        </w:rPr>
        <w:t xml:space="preserve">~$1,215,000</w:t>
      </w:r>
      <w:r>
        <w:rPr>
          <w:rFonts w:ascii="Arial" w:cs="Arial" w:eastAsia="Arial" w:hAnsi="Arial"/>
          <w:color w:val="555555"/>
          <w:sz w:val="20"/>
          <w:szCs w:val="20"/>
        </w:rPr>
        <w:t xml:space="preserve">  (team-adjusted model; booking platform $0)</w:t>
      </w:r>
    </w:p>
    <w:p>
      <w:pPr>
        <w:spacing w:before="60" w:after="60"/>
      </w:pPr>
      <w:r>
        <w:rPr>
          <w:rFonts w:ascii="Arial" w:cs="Arial" w:eastAsia="Arial" w:hAnsi="Arial"/>
          <w:b/>
          <w:bCs/>
          <w:color w:val="1B2A4A"/>
          <w:sz w:val="22"/>
          <w:szCs w:val="22"/>
        </w:rPr>
        <w:t xml:space="preserve">Year 3 NOI (Base Case): </w:t>
      </w:r>
      <w:r>
        <w:rPr>
          <w:rFonts w:ascii="Arial" w:cs="Arial" w:eastAsia="Arial" w:hAnsi="Arial"/>
          <w:b/>
          <w:bCs/>
          <w:color w:val="C9A84C"/>
          <w:sz w:val="22"/>
          <w:szCs w:val="22"/>
        </w:rPr>
        <w:t xml:space="preserve">~$3,133,000</w:t>
      </w:r>
      <w:r>
        <w:rPr>
          <w:rFonts w:ascii="Arial" w:cs="Arial" w:eastAsia="Arial" w:hAnsi="Arial"/>
          <w:color w:val="555555"/>
          <w:sz w:val="20"/>
          <w:szCs w:val="20"/>
        </w:rPr>
        <w:t xml:space="preserve">  (team-adjusted model; booking platform $0)</w:t>
      </w:r>
    </w:p>
    <w:p>
      <w:pPr>
        <w:spacing w:before="60" w:after="60"/>
      </w:pPr>
      <w:r>
        <w:rPr>
          <w:rFonts w:ascii="Arial" w:cs="Arial" w:eastAsia="Arial" w:hAnsi="Arial"/>
          <w:b/>
          <w:bCs/>
          <w:color w:val="1B2A4A"/>
          <w:sz w:val="22"/>
          <w:szCs w:val="22"/>
        </w:rPr>
        <w:t xml:space="preserve">Implied Asset Value Y7 / Equity Multiple: </w:t>
      </w:r>
      <w:r>
        <w:rPr>
          <w:rFonts w:ascii="Arial" w:cs="Arial" w:eastAsia="Arial" w:hAnsi="Arial"/>
          <w:b/>
          <w:bCs/>
          <w:color w:val="C9A84C"/>
          <w:sz w:val="22"/>
          <w:szCs w:val="22"/>
        </w:rPr>
        <w:t xml:space="preserve">~$58.6M</w:t>
      </w:r>
      <w:r>
        <w:rPr>
          <w:rFonts w:ascii="Arial" w:cs="Arial" w:eastAsia="Arial" w:hAnsi="Arial"/>
          <w:color w:val="555555"/>
          <w:sz w:val="20"/>
          <w:szCs w:val="20"/>
        </w:rPr>
        <w:t xml:space="preserve">  (@ 6.5% cap rate) | Less $7.3M loan = $51.3M net equity | 15.0x equity multiple</w:t>
      </w:r>
    </w:p>
    <w:p>
      <w:pPr>
        <w:spacing w:before="60" w:after="60"/>
      </w:pPr>
      <w:r>
        <w:rPr>
          <w:rFonts w:ascii="Arial" w:cs="Arial" w:eastAsia="Arial" w:hAnsi="Arial"/>
          <w:b/>
          <w:bCs/>
          <w:color w:val="1B2A4A"/>
          <w:sz w:val="22"/>
          <w:szCs w:val="22"/>
        </w:rPr>
        <w:t xml:space="preserve">Break-Even Occupancy: </w:t>
      </w:r>
      <w:r>
        <w:rPr>
          <w:rFonts w:ascii="Arial" w:cs="Arial" w:eastAsia="Arial" w:hAnsi="Arial"/>
          <w:b/>
          <w:bCs/>
          <w:color w:val="C9A84C"/>
          <w:sz w:val="22"/>
          <w:szCs w:val="22"/>
        </w:rPr>
        <w:t xml:space="preserve">~23%</w:t>
      </w:r>
      <w:r>
        <w:rPr>
          <w:rFonts w:ascii="Arial" w:cs="Arial" w:eastAsia="Arial" w:hAnsi="Arial"/>
          <w:color w:val="555555"/>
          <w:sz w:val="20"/>
          <w:szCs w:val="20"/>
        </w:rPr>
        <w:t xml:space="preserve">  (of total hourly room capacity — ~16% with NNN base revenue)</w:t>
      </w:r>
    </w:p>
    <w:p>
      <w:pPr>
        <w:spacing w:before="60" w:after="60"/>
      </w:pPr>
      <w:r>
        <w:rPr>
          <w:rFonts w:ascii="Arial" w:cs="Arial" w:eastAsia="Arial" w:hAnsi="Arial"/>
          <w:b/>
          <w:bCs/>
          <w:color w:val="1B2A4A"/>
          <w:sz w:val="22"/>
          <w:szCs w:val="22"/>
        </w:rPr>
        <w:t xml:space="preserve">FEMA Flood Zone: </w:t>
      </w:r>
      <w:r>
        <w:rPr>
          <w:rFonts w:ascii="Arial" w:cs="Arial" w:eastAsia="Arial" w:hAnsi="Arial"/>
          <w:b/>
          <w:bCs/>
          <w:color w:val="C9A84C"/>
          <w:sz w:val="22"/>
          <w:szCs w:val="22"/>
        </w:rPr>
        <w:t xml:space="preserve">Zone X — Minimal Hazard</w:t>
      </w:r>
      <w:r>
        <w:rPr>
          <w:rFonts w:ascii="Arial" w:cs="Arial" w:eastAsia="Arial" w:hAnsi="Arial"/>
          <w:color w:val="555555"/>
          <w:sz w:val="20"/>
          <w:szCs w:val="20"/>
        </w:rPr>
        <w:t xml:space="preserve">  (confirmed via NFHL; no mandatory flood insurance)</w:t>
      </w:r>
    </w:p>
    <w:p>
      <w:pPr>
        <w:spacing w:before="60" w:after="60"/>
      </w:pPr>
      <w:r>
        <w:rPr>
          <w:rFonts w:ascii="Arial" w:cs="Arial" w:eastAsia="Arial" w:hAnsi="Arial"/>
          <w:b/>
          <w:bCs/>
          <w:color w:val="1B2A4A"/>
          <w:sz w:val="22"/>
          <w:szCs w:val="22"/>
        </w:rPr>
        <w:t xml:space="preserve">Exit Strategy: </w:t>
      </w:r>
      <w:r>
        <w:rPr>
          <w:rFonts w:ascii="Arial" w:cs="Arial" w:eastAsia="Arial" w:hAnsi="Arial"/>
          <w:b/>
          <w:bCs/>
          <w:color w:val="C9A84C"/>
          <w:sz w:val="22"/>
          <w:szCs w:val="22"/>
        </w:rPr>
        <w:t xml:space="preserve">Long-term hold</w:t>
      </w:r>
      <w:r>
        <w:rPr>
          <w:rFonts w:ascii="Arial" w:cs="Arial" w:eastAsia="Arial" w:hAnsi="Arial"/>
          <w:color w:val="555555"/>
          <w:sz w:val="20"/>
          <w:szCs w:val="20"/>
        </w:rPr>
        <w:t xml:space="preserve">  (cash-flowing real estate asset)</w:t>
      </w:r>
    </w:p>
    <w:p>
      <w:pPr>
        <w:spacing w:before="80" w:after="80" w:line="276"/>
        <w:jc w:val="left"/>
      </w:pPr>
      <w:r>
        <w:rPr>
          <w:rFonts w:ascii="Arial" w:cs="Arial" w:eastAsia="Arial" w:hAnsi="Arial"/>
          <w:b w:val="false"/>
          <w:bCs w:val="false"/>
          <w:i w:val="false"/>
          <w:iCs w:val="false"/>
          <w:color w:val="1A1A2E"/>
          <w:sz w:val="22"/>
          <w:szCs w:val="22"/>
        </w:rPr>
        <w:t xml:space="preserve"/>
      </w:r>
    </w:p>
    <w:p>
      <w:pPr>
        <w:spacing w:before="80" w:after="80" w:line="276"/>
        <w:jc w:val="left"/>
      </w:pPr>
      <w:r>
        <w:rPr>
          <w:rFonts w:ascii="Arial" w:cs="Arial" w:eastAsia="Arial" w:hAnsi="Arial"/>
          <w:b w:val="false"/>
          <w:bCs w:val="false"/>
          <w:i w:val="false"/>
          <w:iCs w:val="false"/>
          <w:color w:val="1A1A2E"/>
          <w:sz w:val="22"/>
          <w:szCs w:val="22"/>
        </w:rPr>
        <w:t xml:space="preserve">The Music Union 512 is positioned as a mid-market to professional-grade creative campus — accessible enough to drive high utilization from Austin's broad music community, premium enough to command professional rates and attract serious co-tenants. The venue and bar component transforms The Music Union 512 from a real estate play into a cultural anchor, dramatically enhancing brand, demand generation, and revenue diversification.</w:t>
      </w:r>
    </w:p>
    <w:p>
      <w:pPr>
        <w:pStyle w:val="Heading1"/>
        <w:pageBreakBefore/>
        <w:pBdr>
          <w:bottom w:val="single" w:color="C9A84C" w:sz="8" w:space="4"/>
        </w:pBdr>
        <w:spacing w:before="360" w:after="160"/>
      </w:pPr>
      <w:r>
        <w:rPr>
          <w:rFonts w:ascii="Arial" w:cs="Arial" w:eastAsia="Arial" w:hAnsi="Arial"/>
          <w:b/>
          <w:bCs/>
          <w:color w:val="1B2A4A"/>
          <w:sz w:val="36"/>
          <w:szCs w:val="36"/>
        </w:rPr>
        <w:t xml:space="preserve">2.  Company Overview</w:t>
      </w:r>
    </w:p>
    <w:p>
      <w:pPr>
        <w:pStyle w:val="Heading2"/>
        <w:spacing w:before="260" w:after="100"/>
      </w:pPr>
      <w:r>
        <w:rPr>
          <w:rFonts w:ascii="Arial" w:cs="Arial" w:eastAsia="Arial" w:hAnsi="Arial"/>
          <w:b/>
          <w:bCs/>
          <w:color w:val="1B2A4A"/>
          <w:sz w:val="28"/>
          <w:szCs w:val="28"/>
        </w:rPr>
        <w:t xml:space="preserve">Legal Entity</w:t>
      </w:r>
    </w:p>
    <w:p>
      <w:pPr>
        <w:spacing w:before="80" w:after="80" w:line="276"/>
        <w:jc w:val="left"/>
      </w:pPr>
      <w:r>
        <w:rPr>
          <w:rFonts w:ascii="Arial" w:cs="Arial" w:eastAsia="Arial" w:hAnsi="Arial"/>
          <w:b w:val="false"/>
          <w:bCs w:val="false"/>
          <w:i w:val="false"/>
          <w:iCs w:val="false"/>
          <w:color w:val="1A1A2E"/>
          <w:sz w:val="22"/>
          <w:szCs w:val="22"/>
        </w:rPr>
        <w:t xml:space="preserve">The Music Union 512 LLC is a newly formed Texas limited liability company created specifically to acquire, develop, and operate the The Music Union 512 at 4405 Springdale Road, Austin, TX 78723. The entity is structured to hold both the real property and operating business under a single roof, consistent with a long-term hold strategy.</w:t>
      </w:r>
    </w:p>
    <w:p>
      <w:pPr>
        <w:pStyle w:val="Heading2"/>
        <w:spacing w:before="260" w:after="100"/>
      </w:pPr>
      <w:r>
        <w:rPr>
          <w:rFonts w:ascii="Arial" w:cs="Arial" w:eastAsia="Arial" w:hAnsi="Arial"/>
          <w:b/>
          <w:bCs/>
          <w:color w:val="1B2A4A"/>
          <w:sz w:val="28"/>
          <w:szCs w:val="28"/>
        </w:rPr>
        <w:t xml:space="preserve">Mission Statement</w:t>
      </w:r>
    </w:p>
    <w:p>
      <w:pPr>
        <w:pBdr>
          <w:left w:val="single" w:color="C9A84C" w:sz="24" w:space="8"/>
        </w:pBdr>
        <w:shd w:fill="F2F4F7" w:val="clear"/>
        <w:spacing w:before="160" w:after="160"/>
        <w:ind w:left="480" w:right="480"/>
        <w:jc w:val="center"/>
      </w:pPr>
      <w:r>
        <w:rPr>
          <w:rFonts w:ascii="Arial" w:cs="Arial" w:eastAsia="Arial" w:hAnsi="Arial"/>
          <w:i/>
          <w:iCs/>
          <w:color w:val="1B2A4A"/>
          <w:sz w:val="24"/>
          <w:szCs w:val="24"/>
        </w:rPr>
        <w:t xml:space="preserve">To build Austin's premier music and creative campus — a place where musicians rehearse, record, collaborate, and perform; where creators launch podcasts and content; and where the community gathers for unforgettable live experiences.</w:t>
      </w:r>
    </w:p>
    <w:p>
      <w:pPr>
        <w:pStyle w:val="Heading2"/>
        <w:spacing w:before="260" w:after="100"/>
      </w:pPr>
      <w:r>
        <w:rPr>
          <w:rFonts w:ascii="Arial" w:cs="Arial" w:eastAsia="Arial" w:hAnsi="Arial"/>
          <w:b/>
          <w:bCs/>
          <w:color w:val="1B2A4A"/>
          <w:sz w:val="28"/>
          <w:szCs w:val="28"/>
        </w:rPr>
        <w:t xml:space="preserve">Business Concept</w:t>
      </w:r>
    </w:p>
    <w:p>
      <w:pPr>
        <w:spacing w:before="80" w:after="80" w:line="276"/>
        <w:jc w:val="left"/>
      </w:pPr>
      <w:r>
        <w:rPr>
          <w:rFonts w:ascii="Arial" w:cs="Arial" w:eastAsia="Arial" w:hAnsi="Arial"/>
          <w:b w:val="false"/>
          <w:bCs w:val="false"/>
          <w:i w:val="false"/>
          <w:iCs w:val="false"/>
          <w:color w:val="1A1A2E"/>
          <w:sz w:val="22"/>
          <w:szCs w:val="22"/>
        </w:rPr>
        <w:t xml:space="preserve">The Music Union 512 is conceived as a vertically integrated creative ecosystem that generates revenue from seven distinct but synergistic streams:</w:t>
      </w:r>
    </w:p>
    <w:p>
      <w:pPr>
        <w:pStyle w:val="ListParagraph"/>
        <w:numPr>
          <w:ilvl w:val="0"/>
          <w:numId w:val="2"/>
        </w:numPr>
        <w:spacing w:before="60" w:after="60" w:line="276"/>
      </w:pPr>
      <w:r>
        <w:rPr>
          <w:rFonts w:ascii="Arial" w:cs="Arial" w:eastAsia="Arial" w:hAnsi="Arial"/>
          <w:color w:val="1A1A2E"/>
          <w:sz w:val="22"/>
          <w:szCs w:val="22"/>
        </w:rPr>
        <w:t xml:space="preserve">Hourly rehearsal room rental for bands, orchestras, and individual musicians</w:t>
      </w:r>
    </w:p>
    <w:p>
      <w:pPr>
        <w:pStyle w:val="ListParagraph"/>
        <w:numPr>
          <w:ilvl w:val="0"/>
          <w:numId w:val="2"/>
        </w:numPr>
        <w:spacing w:before="60" w:after="60" w:line="276"/>
      </w:pPr>
      <w:r>
        <w:rPr>
          <w:rFonts w:ascii="Arial" w:cs="Arial" w:eastAsia="Arial" w:hAnsi="Arial"/>
          <w:color w:val="1A1A2E"/>
          <w:sz w:val="22"/>
          <w:szCs w:val="22"/>
        </w:rPr>
        <w:t xml:space="preserve">Professional recording and production suite access</w:t>
      </w:r>
    </w:p>
    <w:p>
      <w:pPr>
        <w:pStyle w:val="ListParagraph"/>
        <w:numPr>
          <w:ilvl w:val="0"/>
          <w:numId w:val="2"/>
        </w:numPr>
        <w:spacing w:before="60" w:after="60" w:line="276"/>
      </w:pPr>
      <w:r>
        <w:rPr>
          <w:rFonts w:ascii="Arial" w:cs="Arial" w:eastAsia="Arial" w:hAnsi="Arial"/>
          <w:color w:val="1A1A2E"/>
          <w:sz w:val="22"/>
          <w:szCs w:val="22"/>
        </w:rPr>
        <w:t xml:space="preserve">Creator-economy studio rentals for podcasters, YouTubers, and content producers</w:t>
      </w:r>
    </w:p>
    <w:p>
      <w:pPr>
        <w:pStyle w:val="ListParagraph"/>
        <w:numPr>
          <w:ilvl w:val="0"/>
          <w:numId w:val="2"/>
        </w:numPr>
        <w:spacing w:before="60" w:after="60" w:line="276"/>
      </w:pPr>
      <w:r>
        <w:rPr>
          <w:rFonts w:ascii="Arial" w:cs="Arial" w:eastAsia="Arial" w:hAnsi="Arial"/>
          <w:color w:val="1A1A2E"/>
          <w:sz w:val="22"/>
          <w:szCs w:val="22"/>
        </w:rPr>
        <w:t xml:space="preserve">NNN retail lease to an instrument or music gear anchor tenant</w:t>
      </w:r>
    </w:p>
    <w:p>
      <w:pPr>
        <w:pStyle w:val="ListParagraph"/>
        <w:numPr>
          <w:ilvl w:val="0"/>
          <w:numId w:val="2"/>
        </w:numPr>
        <w:spacing w:before="60" w:after="60" w:line="276"/>
      </w:pPr>
      <w:r>
        <w:rPr>
          <w:rFonts w:ascii="Arial" w:cs="Arial" w:eastAsia="Arial" w:hAnsi="Arial"/>
          <w:color w:val="1A1A2E"/>
          <w:sz w:val="22"/>
          <w:szCs w:val="22"/>
        </w:rPr>
        <w:t xml:space="preserve">NNN co-tenant commercial leases to complementary creative businesses</w:t>
      </w:r>
    </w:p>
    <w:p>
      <w:pPr>
        <w:pStyle w:val="ListParagraph"/>
        <w:numPr>
          <w:ilvl w:val="0"/>
          <w:numId w:val="2"/>
        </w:numPr>
        <w:spacing w:before="60" w:after="60" w:line="276"/>
      </w:pPr>
      <w:r>
        <w:rPr>
          <w:rFonts w:ascii="Arial" w:cs="Arial" w:eastAsia="Arial" w:hAnsi="Arial"/>
          <w:color w:val="1A1A2E"/>
          <w:sz w:val="22"/>
          <w:szCs w:val="22"/>
        </w:rPr>
        <w:t xml:space="preserve">A dedicated live music venue and full-service bar generating ticket, bar, and private event revenue</w:t>
      </w:r>
    </w:p>
    <w:p>
      <w:pPr>
        <w:spacing w:before="80" w:after="80" w:line="276"/>
        <w:jc w:val="left"/>
      </w:pPr>
      <w:r>
        <w:rPr>
          <w:rFonts w:ascii="Arial" w:cs="Arial" w:eastAsia="Arial" w:hAnsi="Arial"/>
          <w:b w:val="false"/>
          <w:bCs w:val="false"/>
          <w:i w:val="false"/>
          <w:iCs w:val="false"/>
          <w:color w:val="1A1A2E"/>
          <w:sz w:val="22"/>
          <w:szCs w:val="22"/>
        </w:rPr>
        <w:t xml:space="preserve"/>
      </w:r>
    </w:p>
    <w:p>
      <w:pPr>
        <w:spacing w:before="80" w:after="80" w:line="276"/>
        <w:jc w:val="left"/>
      </w:pPr>
      <w:r>
        <w:rPr>
          <w:rFonts w:ascii="Arial" w:cs="Arial" w:eastAsia="Arial" w:hAnsi="Arial"/>
          <w:b w:val="false"/>
          <w:bCs w:val="false"/>
          <w:i w:val="false"/>
          <w:iCs w:val="false"/>
          <w:color w:val="1A1A2E"/>
          <w:sz w:val="22"/>
          <w:szCs w:val="22"/>
        </w:rPr>
        <w:t xml:space="preserve">This integrated model is designed to be self-reinforcing: rehearsal clients become venue performers; venue audiences become repeat room customers; co-tenants cross-refer clients; and the bar creates an economic engine that operates independently of hourly bookings.</w:t>
      </w:r>
    </w:p>
    <w:p>
      <w:pPr>
        <w:pStyle w:val="Heading2"/>
        <w:spacing w:before="260" w:after="100"/>
      </w:pPr>
      <w:r>
        <w:rPr>
          <w:rFonts w:ascii="Arial" w:cs="Arial" w:eastAsia="Arial" w:hAnsi="Arial"/>
          <w:b/>
          <w:bCs/>
          <w:color w:val="1B2A4A"/>
          <w:sz w:val="28"/>
          <w:szCs w:val="28"/>
        </w:rPr>
        <w:t xml:space="preserve">Geographic Advantage</w:t>
      </w:r>
    </w:p>
    <w:p>
      <w:pPr>
        <w:spacing w:before="80" w:after="80" w:line="276"/>
        <w:jc w:val="left"/>
      </w:pPr>
      <w:r>
        <w:rPr>
          <w:rFonts w:ascii="Arial" w:cs="Arial" w:eastAsia="Arial" w:hAnsi="Arial"/>
          <w:b w:val="false"/>
          <w:bCs w:val="false"/>
          <w:i w:val="false"/>
          <w:iCs w:val="false"/>
          <w:color w:val="1A1A2E"/>
          <w:sz w:val="22"/>
          <w:szCs w:val="22"/>
        </w:rPr>
        <w:t xml:space="preserve">4405 Springdale Road sits at the intersection of E. Martin Luther King Jr. Blvd and Springdale Road — a rapidly transforming East Austin corridor that has seen substantial investment in recent years. The property offers:</w:t>
      </w:r>
    </w:p>
    <w:p>
      <w:pPr>
        <w:pStyle w:val="ListParagraph"/>
        <w:numPr>
          <w:ilvl w:val="0"/>
          <w:numId w:val="2"/>
        </w:numPr>
        <w:spacing w:before="60" w:after="60" w:line="276"/>
      </w:pPr>
      <w:r>
        <w:rPr>
          <w:rFonts w:ascii="Arial" w:cs="Arial" w:eastAsia="Arial" w:hAnsi="Arial"/>
          <w:color w:val="1A1A2E"/>
          <w:sz w:val="22"/>
          <w:szCs w:val="22"/>
        </w:rPr>
        <w:t xml:space="preserve">Direct access to Austin's densest concentration of working musicians and creatives</w:t>
      </w:r>
    </w:p>
    <w:p>
      <w:pPr>
        <w:pStyle w:val="ListParagraph"/>
        <w:numPr>
          <w:ilvl w:val="0"/>
          <w:numId w:val="2"/>
        </w:numPr>
        <w:spacing w:before="60" w:after="60" w:line="276"/>
      </w:pPr>
      <w:r>
        <w:rPr>
          <w:rFonts w:ascii="Arial" w:cs="Arial" w:eastAsia="Arial" w:hAnsi="Arial"/>
          <w:color w:val="1A1A2E"/>
          <w:sz w:val="22"/>
          <w:szCs w:val="22"/>
        </w:rPr>
        <w:t xml:space="preserve">Proximity to the Govalle, Windsor Park, and Mueller neighborhoods</w:t>
      </w:r>
    </w:p>
    <w:p>
      <w:pPr>
        <w:pStyle w:val="ListParagraph"/>
        <w:numPr>
          <w:ilvl w:val="0"/>
          <w:numId w:val="2"/>
        </w:numPr>
        <w:spacing w:before="60" w:after="60" w:line="276"/>
      </w:pPr>
      <w:r>
        <w:rPr>
          <w:rFonts w:ascii="Arial" w:cs="Arial" w:eastAsia="Arial" w:hAnsi="Arial"/>
          <w:color w:val="1A1A2E"/>
          <w:sz w:val="22"/>
          <w:szCs w:val="22"/>
        </w:rPr>
        <w:t xml:space="preserve">Corner lot visibility on two high-traffic arterials</w:t>
      </w:r>
    </w:p>
    <w:p>
      <w:pPr>
        <w:pStyle w:val="ListParagraph"/>
        <w:numPr>
          <w:ilvl w:val="0"/>
          <w:numId w:val="2"/>
        </w:numPr>
        <w:spacing w:before="60" w:after="60" w:line="276"/>
      </w:pPr>
      <w:r>
        <w:rPr>
          <w:rFonts w:ascii="Arial" w:cs="Arial" w:eastAsia="Arial" w:hAnsi="Arial"/>
          <w:color w:val="1A1A2E"/>
          <w:sz w:val="22"/>
          <w:szCs w:val="22"/>
        </w:rPr>
        <w:t xml:space="preserve">3.01 acres with surface parking — 94 marked stalls across two lots (28 stalls west lot; ~66 stalls south lot in 5 color-coded zones: venue/concert, band vans reserved, general/rehearsal, retail, and load-in pull-through) — rare for this density of Austin</w:t>
      </w:r>
    </w:p>
    <w:p>
      <w:pPr>
        <w:pStyle w:val="ListParagraph"/>
        <w:numPr>
          <w:ilvl w:val="0"/>
          <w:numId w:val="2"/>
        </w:numPr>
        <w:spacing w:before="60" w:after="60" w:line="276"/>
      </w:pPr>
      <w:r>
        <w:rPr>
          <w:rFonts w:ascii="Arial" w:cs="Arial" w:eastAsia="Arial" w:hAnsi="Arial"/>
          <w:color w:val="1A1A2E"/>
          <w:sz w:val="22"/>
          <w:szCs w:val="22"/>
        </w:rPr>
        <w:t xml:space="preserve">FEMA Zone X (minimal flood hazard) — confirmed via NFHL database, March 2026</w:t>
      </w:r>
    </w:p>
    <w:p>
      <w:pPr>
        <w:pStyle w:val="Heading1"/>
        <w:pageBreakBefore/>
        <w:pBdr>
          <w:bottom w:val="single" w:color="C9A84C" w:sz="8" w:space="4"/>
        </w:pBdr>
        <w:spacing w:before="360" w:after="160"/>
      </w:pPr>
      <w:r>
        <w:rPr>
          <w:rFonts w:ascii="Arial" w:cs="Arial" w:eastAsia="Arial" w:hAnsi="Arial"/>
          <w:b/>
          <w:bCs/>
          <w:color w:val="1B2A4A"/>
          <w:sz w:val="36"/>
          <w:szCs w:val="36"/>
        </w:rPr>
        <w:t xml:space="preserve">3.  Founding Team</w:t>
      </w:r>
    </w:p>
    <w:p>
      <w:pPr>
        <w:spacing w:before="80" w:after="160"/>
      </w:pPr>
      <w:r>
        <w:rPr>
          <w:rFonts w:ascii="Arial" w:cs="Arial" w:eastAsia="Arial" w:hAnsi="Arial"/>
          <w:i/>
          <w:iCs/>
          <w:color w:val="444444"/>
          <w:sz w:val="22"/>
          <w:szCs w:val="22"/>
        </w:rPr>
        <w:t xml:space="preserve">The Music Union 512 is led by three co-founders who collectively cover every critical function: technology and platform, real estate and finance, and music community and operations. Each partner brings credentials that are directly applicable — and irreplaceable — to this specific project.</w:t>
      </w:r>
    </w:p>
    <w:p>
      <w:pPr>
        <w:pStyle w:val="Heading2"/>
        <w:spacing w:before="260" w:after="100"/>
      </w:pPr>
      <w:r>
        <w:rPr>
          <w:rFonts w:ascii="Arial" w:cs="Arial" w:eastAsia="Arial" w:hAnsi="Arial"/>
          <w:b/>
          <w:bCs/>
          <w:color w:val="1B2A4A"/>
          <w:sz w:val="28"/>
          <w:szCs w:val="28"/>
        </w:rPr>
        <w:t xml:space="preserve">Taylor Robinson — Co-Founder, Technology, Platform &amp; Acquisition Lead</w:t>
      </w:r>
    </w:p>
    <w:p>
      <w:pPr>
        <w:spacing w:before="80" w:after="80" w:line="276"/>
        <w:jc w:val="left"/>
      </w:pPr>
      <w:r>
        <w:rPr>
          <w:rFonts w:ascii="Arial" w:cs="Arial" w:eastAsia="Arial" w:hAnsi="Arial"/>
          <w:b w:val="false"/>
          <w:bCs w:val="false"/>
          <w:i w:val="false"/>
          <w:iCs w:val="false"/>
          <w:color w:val="1A1A2E"/>
          <w:sz w:val="22"/>
          <w:szCs w:val="22"/>
        </w:rPr>
        <w:t xml:space="preserve">Taylor Robinson is the founder and CEO of Taylor Robinson Music (TRM), a nationwide marketplace of private music instructors operating in all 50 states since 2005. TRM has delivered 118,000+ hours of lessons and maintains 1,281+ pages of active instructor profiles. Taylor built TRM's booking platform, payments infrastructure, instructor CRM, and webcam classroom entirely from scratch — the same IP and engineering expertise will power Springdale's proprietary booking system, IoT access control, dynamic pricing engine, and operations dashboard.</w:t>
      </w:r>
    </w:p>
    <w:p>
      <w:pPr>
        <w:spacing w:before="80" w:after="80" w:line="276"/>
        <w:jc w:val="left"/>
      </w:pPr>
      <w:r>
        <w:rPr>
          <w:rFonts w:ascii="Arial" w:cs="Arial" w:eastAsia="Arial" w:hAnsi="Arial"/>
          <w:b w:val="false"/>
          <w:bCs w:val="false"/>
          <w:i w:val="false"/>
          <w:iCs w:val="false"/>
          <w:color w:val="1A1A2E"/>
          <w:sz w:val="22"/>
          <w:szCs w:val="22"/>
        </w:rPr>
        <w:t xml:space="preserve">Taylor is also the founder of BigDesk.co, an M&amp;A data intelligence platform targeting the $10–100M private company market, and brings deep experience in negotiation, investor relations, and deal structuring directly applicable to the Springdale acquisition. Taylor is a professional guitarist with 15+ years performing alongside Jeff Munn.</w:t>
      </w:r>
    </w:p>
    <w:p>
      <w:pPr>
        <w:spacing w:before="80" w:after="80" w:line="276"/>
        <w:jc w:val="left"/>
      </w:pPr>
      <w:r>
        <w:rPr>
          <w:rFonts w:ascii="Arial" w:cs="Arial" w:eastAsia="Arial" w:hAnsi="Arial"/>
          <w:b w:val="false"/>
          <w:bCs w:val="false"/>
          <w:i w:val="false"/>
          <w:iCs w:val="false"/>
          <w:color w:val="1A1A2E"/>
          <w:sz w:val="22"/>
          <w:szCs w:val="22"/>
        </w:rPr>
        <w:t xml:space="preserve">Role at The Music Union 512: Chief architect of the technology platform; acquisition lead; investor relations; dynamic pricing and automation strategy.</w:t>
      </w:r>
    </w:p>
    <w:p>
      <w:pPr>
        <w:pStyle w:val="Heading2"/>
        <w:spacing w:before="260" w:after="100"/>
      </w:pPr>
      <w:r>
        <w:rPr>
          <w:rFonts w:ascii="Arial" w:cs="Arial" w:eastAsia="Arial" w:hAnsi="Arial"/>
          <w:b/>
          <w:bCs/>
          <w:color w:val="1B2A4A"/>
          <w:sz w:val="28"/>
          <w:szCs w:val="28"/>
        </w:rPr>
        <w:t xml:space="preserve">Daniel Lindenberg — Co-Founder, Real Estate, Development &amp; Finance</w:t>
      </w:r>
    </w:p>
    <w:p>
      <w:pPr>
        <w:spacing w:before="80" w:after="80" w:line="276"/>
        <w:jc w:val="left"/>
      </w:pPr>
      <w:r>
        <w:rPr>
          <w:rFonts w:ascii="Arial" w:cs="Arial" w:eastAsia="Arial" w:hAnsi="Arial"/>
          <w:b w:val="false"/>
          <w:bCs w:val="false"/>
          <w:i w:val="false"/>
          <w:iCs w:val="false"/>
          <w:color w:val="1A1A2E"/>
          <w:sz w:val="22"/>
          <w:szCs w:val="22"/>
        </w:rPr>
        <w:t xml:space="preserve">Daniel Lindenberg is a partner at JAR Real Estate (Houston/TX), specializing in retail strip center acquisition, development, leasing, and property management, with 12+ properties across Greater Houston and Texas — all fully leased or active. Prior to JAR, Daniel was VP of Operations at AEGIS Hedging Solutions, where he oversaw technology implementation, portfolio risk analytics, cash-flow analysis, and hedge execution for institutional energy clients. This combination of real estate execution experience and financial risk discipline makes Daniel uniquely suited to manage the buildout, capitalize the acquisition, and actively lease Zone D and Zone E.</w:t>
      </w:r>
    </w:p>
    <w:p>
      <w:pPr>
        <w:spacing w:before="80" w:after="80" w:line="276"/>
        <w:jc w:val="left"/>
      </w:pPr>
      <w:r>
        <w:rPr>
          <w:rFonts w:ascii="Arial" w:cs="Arial" w:eastAsia="Arial" w:hAnsi="Arial"/>
          <w:b w:val="false"/>
          <w:bCs w:val="false"/>
          <w:i w:val="false"/>
          <w:iCs w:val="false"/>
          <w:color w:val="1A1A2E"/>
          <w:sz w:val="22"/>
          <w:szCs w:val="22"/>
        </w:rPr>
        <w:t xml:space="preserve">Daniel is Jeff Munn's brother-in-law and, like both co-founders, a musician. JAR Real Estate will structure and execute the acquisition, manage the construction buildout, actively lease co-tenant space, and provide ongoing property management infrastructure.</w:t>
      </w:r>
    </w:p>
    <w:p>
      <w:pPr>
        <w:spacing w:before="80" w:after="80" w:line="276"/>
        <w:jc w:val="left"/>
      </w:pPr>
      <w:r>
        <w:rPr>
          <w:rFonts w:ascii="Arial" w:cs="Arial" w:eastAsia="Arial" w:hAnsi="Arial"/>
          <w:b w:val="false"/>
          <w:bCs w:val="false"/>
          <w:i w:val="false"/>
          <w:iCs w:val="false"/>
          <w:color w:val="1A1A2E"/>
          <w:sz w:val="22"/>
          <w:szCs w:val="22"/>
        </w:rPr>
        <w:t xml:space="preserve">Role at The Music Union 512: Acquisition structuring and financing; construction management; Zone D/E commercial leasing; financial oversight and lender relationships; property management.</w:t>
      </w:r>
    </w:p>
    <w:p>
      <w:pPr>
        <w:pStyle w:val="Heading2"/>
        <w:spacing w:before="260" w:after="100"/>
      </w:pPr>
      <w:r>
        <w:rPr>
          <w:rFonts w:ascii="Arial" w:cs="Arial" w:eastAsia="Arial" w:hAnsi="Arial"/>
          <w:b/>
          <w:bCs/>
          <w:color w:val="1B2A4A"/>
          <w:sz w:val="28"/>
          <w:szCs w:val="28"/>
        </w:rPr>
        <w:t xml:space="preserve">Jeff Munn — Co-Founder &amp; Operating Partner, Music, Marketing &amp; Engineering</w:t>
      </w:r>
    </w:p>
    <w:p>
      <w:pPr>
        <w:spacing w:before="80" w:after="80" w:line="276"/>
        <w:jc w:val="left"/>
      </w:pPr>
      <w:r>
        <w:rPr>
          <w:rFonts w:ascii="Arial" w:cs="Arial" w:eastAsia="Arial" w:hAnsi="Arial"/>
          <w:b w:val="false"/>
          <w:bCs w:val="false"/>
          <w:i w:val="false"/>
          <w:iCs w:val="false"/>
          <w:color w:val="1A1A2E"/>
          <w:sz w:val="22"/>
          <w:szCs w:val="22"/>
        </w:rPr>
        <w:t xml:space="preserve">Jeff Munn holds a Bachelor of Science in Engineering Physics from Colorado School of Mines, with hands-on experience as an Applications Engineer and Engineering Leadership Program Team Leader at National Instruments México. He spent two decades (2000–2019) as a professional musician, manager, and instructor. He has since built a career in software solutions marketing at National Instruments, M-Files Corporation, Image Access Corp., and Kodak Alaris — where colleagues describe him as someone who 'simplifies complex concepts to drive tangible business outcomes' with 'fresh perspectives and vibrant energy.'</w:t>
      </w:r>
    </w:p>
    <w:p>
      <w:pPr>
        <w:spacing w:before="80" w:after="80" w:line="276"/>
        <w:jc w:val="left"/>
      </w:pPr>
      <w:r>
        <w:rPr>
          <w:rFonts w:ascii="Arial" w:cs="Arial" w:eastAsia="Arial" w:hAnsi="Arial"/>
          <w:b w:val="false"/>
          <w:bCs w:val="false"/>
          <w:i w:val="false"/>
          <w:iCs w:val="false"/>
          <w:color w:val="1A1A2E"/>
          <w:sz w:val="22"/>
          <w:szCs w:val="22"/>
        </w:rPr>
        <w:t xml:space="preserve">Jeff is deeply integrated into the Austin music community with 500+ professional connections spanning working bands, session musicians, promoters, venue bookers, and producers. He is the connective tissue across all three pillars of Springdale: fluent in Taylor's technology stack, Daniel's real estate operation, and the Austin music world.</w:t>
      </w:r>
    </w:p>
    <w:p>
      <w:pPr>
        <w:spacing w:before="80" w:after="80" w:line="276"/>
        <w:jc w:val="left"/>
      </w:pPr>
      <w:r>
        <w:rPr>
          <w:rFonts w:ascii="Arial" w:cs="Arial" w:eastAsia="Arial" w:hAnsi="Arial"/>
          <w:b w:val="false"/>
          <w:bCs w:val="false"/>
          <w:i w:val="false"/>
          <w:iCs w:val="false"/>
          <w:color w:val="1A1A2E"/>
          <w:sz w:val="22"/>
          <w:szCs w:val="22"/>
        </w:rPr>
        <w:t xml:space="preserve">Role at The Music Union 512: General Manager (full-time); Head of Music Programming; B2B marketing; venue booking; Austin community ambassador; Zone F operational lead.</w:t>
      </w:r>
    </w:p>
    <w:p>
      <w:pPr>
        <w:pStyle w:val="Heading2"/>
        <w:spacing w:before="260" w:after="100"/>
      </w:pPr>
      <w:r>
        <w:rPr>
          <w:rFonts w:ascii="Arial" w:cs="Arial" w:eastAsia="Arial" w:hAnsi="Arial"/>
          <w:b/>
          <w:bCs/>
          <w:color w:val="1B2A4A"/>
          <w:sz w:val="28"/>
          <w:szCs w:val="28"/>
        </w:rPr>
        <w:t xml:space="preserve">Team-Derived Competitive Advantages</w:t>
      </w:r>
    </w:p>
    <w:p>
      <w:pPr>
        <w:pStyle w:val="ListParagraph"/>
        <w:numPr>
          <w:ilvl w:val="0"/>
          <w:numId w:val="2"/>
        </w:numPr>
        <w:spacing w:before="60" w:after="60" w:line="276"/>
      </w:pPr>
      <w:r>
        <w:rPr>
          <w:rFonts w:ascii="Arial" w:cs="Arial" w:eastAsia="Arial" w:hAnsi="Arial"/>
          <w:color w:val="1A1A2E"/>
          <w:sz w:val="22"/>
          <w:szCs w:val="22"/>
        </w:rPr>
        <w:t xml:space="preserve">TRM Pipeline: TRM's Austin instructor and student base provides a pre-qualified Day 1 customer pool for Zones A, B, and C — an owned demand source no competitor has.</w:t>
      </w:r>
    </w:p>
    <w:p>
      <w:pPr>
        <w:pStyle w:val="ListParagraph"/>
        <w:numPr>
          <w:ilvl w:val="0"/>
          <w:numId w:val="2"/>
        </w:numPr>
        <w:spacing w:before="60" w:after="60" w:line="276"/>
      </w:pPr>
      <w:r>
        <w:rPr>
          <w:rFonts w:ascii="Arial" w:cs="Arial" w:eastAsia="Arial" w:hAnsi="Arial"/>
          <w:color w:val="1A1A2E"/>
          <w:sz w:val="22"/>
          <w:szCs w:val="22"/>
        </w:rPr>
        <w:t xml:space="preserve">Proprietary Tech Platform: Taylor's engineering background means $0 spent on third-party booking software and a platform built precisely for SMC's multi-zone, access-controlled environment.</w:t>
      </w:r>
    </w:p>
    <w:p>
      <w:pPr>
        <w:pStyle w:val="ListParagraph"/>
        <w:numPr>
          <w:ilvl w:val="0"/>
          <w:numId w:val="2"/>
        </w:numPr>
        <w:spacing w:before="60" w:after="60" w:line="276"/>
      </w:pPr>
      <w:r>
        <w:rPr>
          <w:rFonts w:ascii="Arial" w:cs="Arial" w:eastAsia="Arial" w:hAnsi="Arial"/>
          <w:color w:val="1A1A2E"/>
          <w:sz w:val="22"/>
          <w:szCs w:val="22"/>
        </w:rPr>
        <w:t xml:space="preserve">Jeff's Austin Network: Pre-launch Zone F show bookings from Day 1, not Month 12. Community trust that cannot be manufactured by a non-musician operator.</w:t>
      </w:r>
    </w:p>
    <w:p>
      <w:pPr>
        <w:pStyle w:val="ListParagraph"/>
        <w:numPr>
          <w:ilvl w:val="0"/>
          <w:numId w:val="2"/>
        </w:numPr>
        <w:spacing w:before="60" w:after="60" w:line="276"/>
      </w:pPr>
      <w:r>
        <w:rPr>
          <w:rFonts w:ascii="Arial" w:cs="Arial" w:eastAsia="Arial" w:hAnsi="Arial"/>
          <w:color w:val="1A1A2E"/>
          <w:sz w:val="22"/>
          <w:szCs w:val="22"/>
        </w:rPr>
        <w:t xml:space="preserve">JAR Real Estate Execution: Established GC relationships, professional NNN leasing team, and property management infrastructure from Day 1.</w:t>
      </w:r>
    </w:p>
    <w:p>
      <w:pPr>
        <w:pStyle w:val="ListParagraph"/>
        <w:numPr>
          <w:ilvl w:val="0"/>
          <w:numId w:val="2"/>
        </w:numPr>
        <w:spacing w:before="60" w:after="60" w:line="276"/>
      </w:pPr>
      <w:r>
        <w:rPr>
          <w:rFonts w:ascii="Arial" w:cs="Arial" w:eastAsia="Arial" w:hAnsi="Arial"/>
          <w:color w:val="1A1A2E"/>
          <w:sz w:val="22"/>
          <w:szCs w:val="22"/>
        </w:rPr>
        <w:t xml:space="preserve">Musician Founders: All three are working musicians — authentic credibility in Austin's community-driven, skeptical market. Estimated $15–20K/yr reduction in marketing spend vs. a non-musician operator.</w:t>
      </w:r>
    </w:p>
    <w:p>
      <w:pPr>
        <w:pStyle w:val="Heading1"/>
        <w:pageBreakBefore/>
        <w:pBdr>
          <w:bottom w:val="single" w:color="C9A84C" w:sz="8" w:space="4"/>
        </w:pBdr>
        <w:spacing w:before="360" w:after="160"/>
      </w:pPr>
      <w:r>
        <w:rPr>
          <w:rFonts w:ascii="Arial" w:cs="Arial" w:eastAsia="Arial" w:hAnsi="Arial"/>
          <w:b/>
          <w:bCs/>
          <w:color w:val="1B2A4A"/>
          <w:sz w:val="36"/>
          <w:szCs w:val="36"/>
        </w:rPr>
        <w:t xml:space="preserve">4.  Market Analysis</w:t>
      </w:r>
    </w:p>
    <w:p>
      <w:pPr>
        <w:pStyle w:val="Heading2"/>
        <w:spacing w:before="260" w:after="100"/>
      </w:pPr>
      <w:r>
        <w:rPr>
          <w:rFonts w:ascii="Arial" w:cs="Arial" w:eastAsia="Arial" w:hAnsi="Arial"/>
          <w:b/>
          <w:bCs/>
          <w:color w:val="1B2A4A"/>
          <w:sz w:val="28"/>
          <w:szCs w:val="28"/>
        </w:rPr>
        <w:t xml:space="preserve">Austin Music Economy</w:t>
      </w:r>
    </w:p>
    <w:p>
      <w:pPr>
        <w:spacing w:before="80" w:after="80" w:line="276"/>
        <w:jc w:val="left"/>
      </w:pPr>
      <w:r>
        <w:rPr>
          <w:rFonts w:ascii="Arial" w:cs="Arial" w:eastAsia="Arial" w:hAnsi="Arial"/>
          <w:b w:val="false"/>
          <w:bCs w:val="false"/>
          <w:i w:val="false"/>
          <w:iCs w:val="false"/>
          <w:color w:val="1A1A2E"/>
          <w:sz w:val="22"/>
          <w:szCs w:val="22"/>
        </w:rPr>
        <w:t xml:space="preserve">Austin's music industry is one of the most robust in the United States. Key market dynamics include:</w:t>
      </w:r>
    </w:p>
    <w:p>
      <w:pPr>
        <w:pStyle w:val="ListParagraph"/>
        <w:numPr>
          <w:ilvl w:val="0"/>
          <w:numId w:val="2"/>
        </w:numPr>
        <w:spacing w:before="60" w:after="60" w:line="276"/>
      </w:pPr>
      <w:r>
        <w:rPr>
          <w:rFonts w:ascii="Arial" w:cs="Arial" w:eastAsia="Arial" w:hAnsi="Arial"/>
          <w:color w:val="1A1A2E"/>
          <w:sz w:val="22"/>
          <w:szCs w:val="22"/>
        </w:rPr>
        <w:t xml:space="preserve">Austin ranks consistently as a top-5 U.S. city for working musicians by density</w:t>
      </w:r>
    </w:p>
    <w:p>
      <w:pPr>
        <w:pStyle w:val="ListParagraph"/>
        <w:numPr>
          <w:ilvl w:val="0"/>
          <w:numId w:val="2"/>
        </w:numPr>
        <w:spacing w:before="60" w:after="60" w:line="276"/>
      </w:pPr>
      <w:r>
        <w:rPr>
          <w:rFonts w:ascii="Arial" w:cs="Arial" w:eastAsia="Arial" w:hAnsi="Arial"/>
          <w:color w:val="1A1A2E"/>
          <w:sz w:val="22"/>
          <w:szCs w:val="22"/>
        </w:rPr>
        <w:t xml:space="preserve">SXSW attracts 500,000+ attendees annually, generating significant local demand spikes</w:t>
      </w:r>
    </w:p>
    <w:p>
      <w:pPr>
        <w:pStyle w:val="ListParagraph"/>
        <w:numPr>
          <w:ilvl w:val="0"/>
          <w:numId w:val="2"/>
        </w:numPr>
        <w:spacing w:before="60" w:after="60" w:line="276"/>
      </w:pPr>
      <w:r>
        <w:rPr>
          <w:rFonts w:ascii="Arial" w:cs="Arial" w:eastAsia="Arial" w:hAnsi="Arial"/>
          <w:color w:val="1A1A2E"/>
          <w:sz w:val="22"/>
          <w:szCs w:val="22"/>
        </w:rPr>
        <w:t xml:space="preserve">The city hosts over 250 live music venues and more than 1,900 live music performances per week</w:t>
      </w:r>
    </w:p>
    <w:p>
      <w:pPr>
        <w:pStyle w:val="ListParagraph"/>
        <w:numPr>
          <w:ilvl w:val="0"/>
          <w:numId w:val="2"/>
        </w:numPr>
        <w:spacing w:before="60" w:after="60" w:line="276"/>
      </w:pPr>
      <w:r>
        <w:rPr>
          <w:rFonts w:ascii="Arial" w:cs="Arial" w:eastAsia="Arial" w:hAnsi="Arial"/>
          <w:color w:val="1A1A2E"/>
          <w:sz w:val="22"/>
          <w:szCs w:val="22"/>
        </w:rPr>
        <w:t xml:space="preserve">Austin's population has grown by over 33% in the past decade, expanding the base of music consumers and creators</w:t>
      </w:r>
    </w:p>
    <w:p>
      <w:pPr>
        <w:pStyle w:val="ListParagraph"/>
        <w:numPr>
          <w:ilvl w:val="0"/>
          <w:numId w:val="2"/>
        </w:numPr>
        <w:spacing w:before="60" w:after="60" w:line="276"/>
      </w:pPr>
      <w:r>
        <w:rPr>
          <w:rFonts w:ascii="Arial" w:cs="Arial" w:eastAsia="Arial" w:hAnsi="Arial"/>
          <w:color w:val="1A1A2E"/>
          <w:sz w:val="22"/>
          <w:szCs w:val="22"/>
        </w:rPr>
        <w:t xml:space="preserve">The podcasting and content creation economy has expanded dramatically, with Austin becoming a hub for digital media production</w:t>
      </w:r>
    </w:p>
    <w:p>
      <w:pPr>
        <w:pStyle w:val="ListParagraph"/>
        <w:numPr>
          <w:ilvl w:val="0"/>
          <w:numId w:val="2"/>
        </w:numPr>
        <w:spacing w:before="60" w:after="60" w:line="276"/>
      </w:pPr>
      <w:r>
        <w:rPr>
          <w:rFonts w:ascii="Arial" w:cs="Arial" w:eastAsia="Arial" w:hAnsi="Arial"/>
          <w:color w:val="1A1A2E"/>
          <w:sz w:val="22"/>
          <w:szCs w:val="22"/>
        </w:rPr>
        <w:t xml:space="preserve">Remote work migration has brought high-income creative professionals who demand premium creative facilities</w:t>
      </w:r>
    </w:p>
    <w:p>
      <w:pPr>
        <w:pStyle w:val="Heading2"/>
        <w:spacing w:before="260" w:after="100"/>
      </w:pPr>
      <w:r>
        <w:rPr>
          <w:rFonts w:ascii="Arial" w:cs="Arial" w:eastAsia="Arial" w:hAnsi="Arial"/>
          <w:b/>
          <w:bCs/>
          <w:color w:val="1B2A4A"/>
          <w:sz w:val="28"/>
          <w:szCs w:val="28"/>
        </w:rPr>
        <w:t xml:space="preserve">Target Customer Segments</w:t>
      </w:r>
    </w:p>
    <w:tbl>
      <w:tblPr>
        <w:tblW w:type="dxa" w:w="7200"/>
        <w:tblBorders>
          <w:top w:val="single" w:color="auto" w:sz="4"/>
          <w:left w:val="single" w:color="auto" w:sz="4"/>
          <w:bottom w:val="single" w:color="auto" w:sz="4"/>
          <w:right w:val="single" w:color="auto" w:sz="4"/>
          <w:insideH w:val="single" w:color="auto" w:sz="4"/>
          <w:insideV w:val="single" w:color="auto" w:sz="4"/>
        </w:tblBorders>
      </w:tblPr>
      <w:tblGrid>
        <w:gridCol w:w="1600"/>
        <w:gridCol w:w="2400"/>
        <w:gridCol w:w="1900"/>
        <w:gridCol w:w="1300"/>
      </w:tblGrid>
      <w:tr>
        <w:trPr>
          <w:tblHeader/>
        </w:trPr>
        <w:tc>
          <w:tcPr>
            <w:tcW w:type="dxa" w:w="16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Segment</w:t>
            </w:r>
          </w:p>
        </w:tc>
        <w:tc>
          <w:tcPr>
            <w:tcW w:type="dxa" w:w="24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Profile</w:t>
            </w:r>
          </w:p>
        </w:tc>
        <w:tc>
          <w:tcPr>
            <w:tcW w:type="dxa" w:w="19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Primary Service</w:t>
            </w:r>
          </w:p>
        </w:tc>
        <w:tc>
          <w:tcPr>
            <w:tcW w:type="dxa" w:w="13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Frequency</w:t>
            </w:r>
          </w:p>
        </w:tc>
      </w:tr>
      <w:tr>
        <w:tc>
          <w:tcPr>
            <w:tcW w:type="dxa" w:w="1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Gigging Band</w:t>
            </w:r>
          </w:p>
        </w:tc>
        <w:tc>
          <w:tcPr>
            <w:tcW w:type="dxa" w:w="24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2-5 musicians, semi-professional, active touring</w:t>
            </w:r>
          </w:p>
        </w:tc>
        <w:tc>
          <w:tcPr>
            <w:tcW w:type="dxa" w:w="1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Rehearsal rooms (Zone A)</w:t>
            </w:r>
          </w:p>
        </w:tc>
        <w:tc>
          <w:tcPr>
            <w:tcW w:type="dxa" w:w="13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Weekly</w:t>
            </w:r>
          </w:p>
        </w:tc>
      </w:tr>
      <w:tr>
        <w:tc>
          <w:tcPr>
            <w:tcW w:type="dxa" w:w="1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Recording Artist</w:t>
            </w:r>
          </w:p>
        </w:tc>
        <w:tc>
          <w:tcPr>
            <w:tcW w:type="dxa" w:w="24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Solo or group, studio-ready, label or indie</w:t>
            </w:r>
          </w:p>
        </w:tc>
        <w:tc>
          <w:tcPr>
            <w:tcW w:type="dxa" w:w="19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Production suites (Zone B)</w:t>
            </w:r>
          </w:p>
        </w:tc>
        <w:tc>
          <w:tcPr>
            <w:tcW w:type="dxa" w:w="13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Monthly blocks</w:t>
            </w:r>
          </w:p>
        </w:tc>
      </w:tr>
      <w:tr>
        <w:tc>
          <w:tcPr>
            <w:tcW w:type="dxa" w:w="1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Content Creator</w:t>
            </w:r>
          </w:p>
        </w:tc>
        <w:tc>
          <w:tcPr>
            <w:tcW w:type="dxa" w:w="24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Podcaster, YouTuber, influencer, corporate</w:t>
            </w:r>
          </w:p>
        </w:tc>
        <w:tc>
          <w:tcPr>
            <w:tcW w:type="dxa" w:w="1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Creator studios (Zone C)</w:t>
            </w:r>
          </w:p>
        </w:tc>
        <w:tc>
          <w:tcPr>
            <w:tcW w:type="dxa" w:w="13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Weekly / on-demand</w:t>
            </w:r>
          </w:p>
        </w:tc>
      </w:tr>
      <w:tr>
        <w:tc>
          <w:tcPr>
            <w:tcW w:type="dxa" w:w="1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Music School / Academy</w:t>
            </w:r>
          </w:p>
        </w:tc>
        <w:tc>
          <w:tcPr>
            <w:tcW w:type="dxa" w:w="24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Lesson operators, youth programs</w:t>
            </w:r>
          </w:p>
        </w:tc>
        <w:tc>
          <w:tcPr>
            <w:tcW w:type="dxa" w:w="19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E coworking suite</w:t>
            </w:r>
          </w:p>
        </w:tc>
        <w:tc>
          <w:tcPr>
            <w:tcW w:type="dxa" w:w="13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Long-term lease</w:t>
            </w:r>
          </w:p>
        </w:tc>
      </w:tr>
      <w:tr>
        <w:tc>
          <w:tcPr>
            <w:tcW w:type="dxa" w:w="1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Gear Consignment &amp; Retail</w:t>
            </w:r>
          </w:p>
        </w:tc>
        <w:tc>
          <w:tcPr>
            <w:tcW w:type="dxa" w:w="24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Specialty coffee · intimate stage · craft cocktail bar</w:t>
            </w:r>
          </w:p>
        </w:tc>
        <w:tc>
          <w:tcPr>
            <w:tcW w:type="dxa" w:w="1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G (Union Locker +r</w:t>
            </w:r>
          </w:p>
        </w:tc>
        <w:tc>
          <w:tcPr>
            <w:tcW w:type="dxa" w:w="13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Long-term NNN</w:t>
            </w:r>
          </w:p>
        </w:tc>
      </w:tr>
      <w:tr>
        <w:tc>
          <w:tcPr>
            <w:tcW w:type="dxa" w:w="1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Live Music Fan</w:t>
            </w:r>
          </w:p>
        </w:tc>
        <w:tc>
          <w:tcPr>
            <w:tcW w:type="dxa" w:w="24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Austin resident / visitor, 21+</w:t>
            </w:r>
          </w:p>
        </w:tc>
        <w:tc>
          <w:tcPr>
            <w:tcW w:type="dxa" w:w="19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Venue &amp; bar (Zone F)</w:t>
            </w:r>
          </w:p>
        </w:tc>
        <w:tc>
          <w:tcPr>
            <w:tcW w:type="dxa" w:w="13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Monthly+</w:t>
            </w:r>
          </w:p>
        </w:tc>
      </w:tr>
      <w:tr>
        <w:tc>
          <w:tcPr>
            <w:tcW w:type="dxa" w:w="1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Event Planner / Corporate</w:t>
            </w:r>
          </w:p>
        </w:tc>
        <w:tc>
          <w:tcPr>
            <w:tcW w:type="dxa" w:w="24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Private events, showcases, album releases</w:t>
            </w:r>
          </w:p>
        </w:tc>
        <w:tc>
          <w:tcPr>
            <w:tcW w:type="dxa" w:w="1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Venue buyouts</w:t>
            </w:r>
          </w:p>
        </w:tc>
        <w:tc>
          <w:tcPr>
            <w:tcW w:type="dxa" w:w="13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Quarterly</w:t>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pStyle w:val="Heading2"/>
        <w:spacing w:before="260" w:after="100"/>
      </w:pPr>
      <w:r>
        <w:rPr>
          <w:rFonts w:ascii="Arial" w:cs="Arial" w:eastAsia="Arial" w:hAnsi="Arial"/>
          <w:b/>
          <w:bCs/>
          <w:color w:val="1B2A4A"/>
          <w:sz w:val="28"/>
          <w:szCs w:val="28"/>
        </w:rPr>
        <w:t xml:space="preserve">Competitive Landscape</w:t>
      </w:r>
    </w:p>
    <w:p>
      <w:pPr>
        <w:spacing w:before="80" w:after="80" w:line="276"/>
        <w:jc w:val="left"/>
      </w:pPr>
      <w:r>
        <w:rPr>
          <w:rFonts w:ascii="Arial" w:cs="Arial" w:eastAsia="Arial" w:hAnsi="Arial"/>
          <w:b w:val="false"/>
          <w:bCs w:val="false"/>
          <w:i w:val="false"/>
          <w:iCs w:val="false"/>
          <w:color w:val="1A1A2E"/>
          <w:sz w:val="22"/>
          <w:szCs w:val="22"/>
        </w:rPr>
        <w:t xml:space="preserve">Austin has a number of rehearsal and recording facilities, but the market lacks an integrated campus at scale. Key observations:</w:t>
      </w:r>
    </w:p>
    <w:p>
      <w:pPr>
        <w:pStyle w:val="ListParagraph"/>
        <w:numPr>
          <w:ilvl w:val="0"/>
          <w:numId w:val="2"/>
        </w:numPr>
        <w:spacing w:before="60" w:after="60" w:line="276"/>
      </w:pPr>
      <w:r>
        <w:rPr>
          <w:rFonts w:ascii="Arial" w:cs="Arial" w:eastAsia="Arial" w:hAnsi="Arial"/>
          <w:color w:val="1A1A2E"/>
          <w:sz w:val="22"/>
          <w:szCs w:val="22"/>
        </w:rPr>
        <w:t xml:space="preserve">Most Austin rehearsal facilities are small (under 10,000 SF), independent operations with limited amenities</w:t>
      </w:r>
    </w:p>
    <w:p>
      <w:pPr>
        <w:pStyle w:val="ListParagraph"/>
        <w:numPr>
          <w:ilvl w:val="0"/>
          <w:numId w:val="2"/>
        </w:numPr>
        <w:spacing w:before="60" w:after="60" w:line="276"/>
      </w:pPr>
      <w:r>
        <w:rPr>
          <w:rFonts w:ascii="Arial" w:cs="Arial" w:eastAsia="Arial" w:hAnsi="Arial"/>
          <w:color w:val="1A1A2E"/>
          <w:sz w:val="22"/>
          <w:szCs w:val="22"/>
        </w:rPr>
        <w:t xml:space="preserve">Recording studios are plentiful but siloed — few combine studio access with rehearsal and live performance</w:t>
      </w:r>
    </w:p>
    <w:p>
      <w:pPr>
        <w:pStyle w:val="ListParagraph"/>
        <w:numPr>
          <w:ilvl w:val="0"/>
          <w:numId w:val="2"/>
        </w:numPr>
        <w:spacing w:before="60" w:after="60" w:line="276"/>
      </w:pPr>
      <w:r>
        <w:rPr>
          <w:rFonts w:ascii="Arial" w:cs="Arial" w:eastAsia="Arial" w:hAnsi="Arial"/>
          <w:color w:val="1A1A2E"/>
          <w:sz w:val="22"/>
          <w:szCs w:val="22"/>
        </w:rPr>
        <w:t xml:space="preserve">No existing Austin facility combines all seven revenue streams (rehearsal, production, creator, retail, co-tenant NNN, gear storage, venue/bar) under one roof</w:t>
      </w:r>
    </w:p>
    <w:p>
      <w:pPr>
        <w:pStyle w:val="ListParagraph"/>
        <w:numPr>
          <w:ilvl w:val="0"/>
          <w:numId w:val="2"/>
        </w:numPr>
        <w:spacing w:before="60" w:after="60" w:line="276"/>
      </w:pPr>
      <w:r>
        <w:rPr>
          <w:rFonts w:ascii="Arial" w:cs="Arial" w:eastAsia="Arial" w:hAnsi="Arial"/>
          <w:color w:val="1A1A2E"/>
          <w:sz w:val="22"/>
          <w:szCs w:val="22"/>
        </w:rPr>
        <w:t xml:space="preserve">The 44,528 SF footprint positions The Music Union 512 as the largest purpose-built music campus in Central Texas upon buildout</w:t>
      </w:r>
    </w:p>
    <w:p>
      <w:pPr>
        <w:spacing w:before="80" w:after="80" w:line="276"/>
        <w:jc w:val="left"/>
      </w:pPr>
      <w:r>
        <w:rPr>
          <w:rFonts w:ascii="Arial" w:cs="Arial" w:eastAsia="Arial" w:hAnsi="Arial"/>
          <w:b w:val="false"/>
          <w:bCs w:val="false"/>
          <w:i w:val="false"/>
          <w:iCs w:val="false"/>
          <w:color w:val="1A1A2E"/>
          <w:sz w:val="22"/>
          <w:szCs w:val="22"/>
        </w:rPr>
        <w:t xml:space="preserve"/>
      </w:r>
    </w:p>
    <w:p>
      <w:pPr>
        <w:spacing w:before="80" w:after="80" w:line="276"/>
        <w:jc w:val="left"/>
      </w:pPr>
      <w:r>
        <w:rPr>
          <w:rFonts w:ascii="Arial" w:cs="Arial" w:eastAsia="Arial" w:hAnsi="Arial"/>
          <w:b w:val="false"/>
          <w:bCs w:val="false"/>
          <w:i w:val="false"/>
          <w:iCs w:val="false"/>
          <w:color w:val="1A1A2E"/>
          <w:sz w:val="22"/>
          <w:szCs w:val="22"/>
        </w:rPr>
        <w:t xml:space="preserve">SMC's competitive advantage is not simply size — it is the ecosystem effect. A musician who rehearses at The Music Union 512 becomes aware of the production suites. A podcast client becomes a venue audience member. The bar creates a reason to stay after sessions. This flywheel is unavailable to any single-purpose competitor.</w:t>
      </w:r>
    </w:p>
    <w:p>
      <w:pPr>
        <w:pStyle w:val="Heading2"/>
        <w:spacing w:before="260" w:after="100"/>
      </w:pPr>
      <w:r>
        <w:rPr>
          <w:rFonts w:ascii="Arial" w:cs="Arial" w:eastAsia="Arial" w:hAnsi="Arial"/>
          <w:b/>
          <w:bCs/>
          <w:color w:val="1B2A4A"/>
          <w:sz w:val="28"/>
          <w:szCs w:val="28"/>
        </w:rPr>
        <w:t xml:space="preserve">Demand Drivers</w:t>
      </w:r>
    </w:p>
    <w:p>
      <w:pPr>
        <w:pStyle w:val="ListParagraph"/>
        <w:numPr>
          <w:ilvl w:val="0"/>
          <w:numId w:val="2"/>
        </w:numPr>
        <w:spacing w:before="60" w:after="60" w:line="276"/>
      </w:pPr>
      <w:r>
        <w:rPr>
          <w:rFonts w:ascii="Arial" w:cs="Arial" w:eastAsia="Arial" w:hAnsi="Arial"/>
          <w:color w:val="1A1A2E"/>
          <w:sz w:val="22"/>
          <w:szCs w:val="22"/>
        </w:rPr>
        <w:t xml:space="preserve">Austin's population growth trajectory (projected to exceed 1M residents by 2030)</w:t>
      </w:r>
    </w:p>
    <w:p>
      <w:pPr>
        <w:pStyle w:val="ListParagraph"/>
        <w:numPr>
          <w:ilvl w:val="0"/>
          <w:numId w:val="2"/>
        </w:numPr>
        <w:spacing w:before="60" w:after="60" w:line="276"/>
      </w:pPr>
      <w:r>
        <w:rPr>
          <w:rFonts w:ascii="Arial" w:cs="Arial" w:eastAsia="Arial" w:hAnsi="Arial"/>
          <w:color w:val="1A1A2E"/>
          <w:sz w:val="22"/>
          <w:szCs w:val="22"/>
        </w:rPr>
        <w:t xml:space="preserve">Continued migration of entertainment industry professionals from LA and Nashville</w:t>
      </w:r>
    </w:p>
    <w:p>
      <w:pPr>
        <w:pStyle w:val="ListParagraph"/>
        <w:numPr>
          <w:ilvl w:val="0"/>
          <w:numId w:val="2"/>
        </w:numPr>
        <w:spacing w:before="60" w:after="60" w:line="276"/>
      </w:pPr>
      <w:r>
        <w:rPr>
          <w:rFonts w:ascii="Arial" w:cs="Arial" w:eastAsia="Arial" w:hAnsi="Arial"/>
          <w:color w:val="1A1A2E"/>
          <w:sz w:val="22"/>
          <w:szCs w:val="22"/>
        </w:rPr>
        <w:t xml:space="preserve">Growth of the creator economy — podcast market alone is projected to exceed $4B by 2026 nationally</w:t>
      </w:r>
    </w:p>
    <w:p>
      <w:pPr>
        <w:pStyle w:val="ListParagraph"/>
        <w:numPr>
          <w:ilvl w:val="0"/>
          <w:numId w:val="2"/>
        </w:numPr>
        <w:spacing w:before="60" w:after="60" w:line="276"/>
      </w:pPr>
      <w:r>
        <w:rPr>
          <w:rFonts w:ascii="Arial" w:cs="Arial" w:eastAsia="Arial" w:hAnsi="Arial"/>
          <w:color w:val="1A1A2E"/>
          <w:sz w:val="22"/>
          <w:szCs w:val="22"/>
        </w:rPr>
        <w:t xml:space="preserve">Post-pandemic pent-up demand for live music and in-person community experiences</w:t>
      </w:r>
    </w:p>
    <w:p>
      <w:pPr>
        <w:pStyle w:val="ListParagraph"/>
        <w:numPr>
          <w:ilvl w:val="0"/>
          <w:numId w:val="2"/>
        </w:numPr>
        <w:spacing w:before="60" w:after="60" w:line="276"/>
      </w:pPr>
      <w:r>
        <w:rPr>
          <w:rFonts w:ascii="Arial" w:cs="Arial" w:eastAsia="Arial" w:hAnsi="Arial"/>
          <w:color w:val="1A1A2E"/>
          <w:sz w:val="22"/>
          <w:szCs w:val="22"/>
        </w:rPr>
        <w:t xml:space="preserve">East Austin's ongoing revitalization creating foot traffic and neighborhood identity</w:t>
      </w:r>
    </w:p>
    <w:p>
      <w:pPr>
        <w:pStyle w:val="Heading1"/>
        <w:pageBreakBefore/>
        <w:pBdr>
          <w:bottom w:val="single" w:color="C9A84C" w:sz="8" w:space="4"/>
        </w:pBdr>
        <w:spacing w:before="360" w:after="160"/>
      </w:pPr>
      <w:r>
        <w:rPr>
          <w:rFonts w:ascii="Arial" w:cs="Arial" w:eastAsia="Arial" w:hAnsi="Arial"/>
          <w:b/>
          <w:bCs/>
          <w:color w:val="1B2A4A"/>
          <w:sz w:val="36"/>
          <w:szCs w:val="36"/>
        </w:rPr>
        <w:t xml:space="preserve">5.  Property &amp; Facility Overview</w:t>
      </w:r>
    </w:p>
    <w:p>
      <w:pPr>
        <w:pStyle w:val="Heading2"/>
        <w:spacing w:before="260" w:after="100"/>
      </w:pPr>
      <w:r>
        <w:rPr>
          <w:rFonts w:ascii="Arial" w:cs="Arial" w:eastAsia="Arial" w:hAnsi="Arial"/>
          <w:b/>
          <w:bCs/>
          <w:color w:val="1B2A4A"/>
          <w:sz w:val="28"/>
          <w:szCs w:val="28"/>
        </w:rPr>
        <w:t xml:space="preserve">Property Summary</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2800"/>
        <w:gridCol w:w="6200"/>
      </w:tblGrid>
      <w:tr>
        <w:trPr>
          <w:tblHeader/>
        </w:trPr>
        <w:tc>
          <w:tcPr>
            <w:tcW w:type="dxa" w:w="28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Attribute</w:t>
            </w:r>
          </w:p>
        </w:tc>
        <w:tc>
          <w:tcPr>
            <w:tcW w:type="dxa" w:w="62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Detail</w:t>
            </w:r>
          </w:p>
        </w:tc>
      </w:tr>
      <w:tr>
        <w:tc>
          <w:tcPr>
            <w:tcW w:type="dxa" w:w="2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Address</w:t>
            </w:r>
          </w:p>
        </w:tc>
        <w:tc>
          <w:tcPr>
            <w:tcW w:type="dxa" w:w="6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4405 Springdale Road, Austin, TX 78723</w:t>
            </w:r>
          </w:p>
        </w:tc>
      </w:tr>
      <w:tr>
        <w:tc>
          <w:tcPr>
            <w:tcW w:type="dxa" w:w="2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Building Size</w:t>
            </w:r>
          </w:p>
        </w:tc>
        <w:tc>
          <w:tcPr>
            <w:tcW w:type="dxa" w:w="6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44,528 SF (single-story flex)</w:t>
            </w:r>
          </w:p>
        </w:tc>
      </w:tr>
      <w:tr>
        <w:tc>
          <w:tcPr>
            <w:tcW w:type="dxa" w:w="2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Land Area</w:t>
            </w:r>
          </w:p>
        </w:tc>
        <w:tc>
          <w:tcPr>
            <w:tcW w:type="dxa" w:w="6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3.01 acres (130,724 SF)</w:t>
            </w:r>
          </w:p>
        </w:tc>
      </w:tr>
      <w:tr>
        <w:tc>
          <w:tcPr>
            <w:tcW w:type="dxa" w:w="2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Year Built</w:t>
            </w:r>
          </w:p>
        </w:tc>
        <w:tc>
          <w:tcPr>
            <w:tcW w:type="dxa" w:w="6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1996</w:t>
            </w:r>
          </w:p>
        </w:tc>
      </w:tr>
      <w:tr>
        <w:tc>
          <w:tcPr>
            <w:tcW w:type="dxa" w:w="2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Class</w:t>
            </w:r>
          </w:p>
        </w:tc>
        <w:tc>
          <w:tcPr>
            <w:tcW w:type="dxa" w:w="6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Class B Flex / Industrial</w:t>
            </w:r>
          </w:p>
        </w:tc>
      </w:tr>
      <w:tr>
        <w:tc>
          <w:tcPr>
            <w:tcW w:type="dxa" w:w="2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Zoning</w:t>
            </w:r>
          </w:p>
        </w:tc>
        <w:tc>
          <w:tcPr>
            <w:tcW w:type="dxa" w:w="6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EZ-ZR (East MLK Combined District)</w:t>
            </w:r>
          </w:p>
        </w:tc>
      </w:tr>
      <w:tr>
        <w:tc>
          <w:tcPr>
            <w:tcW w:type="dxa" w:w="2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Ceiling Height</w:t>
            </w:r>
          </w:p>
        </w:tc>
        <w:tc>
          <w:tcPr>
            <w:tcW w:type="dxa" w:w="6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16 ft clear</w:t>
            </w:r>
          </w:p>
        </w:tc>
      </w:tr>
      <w:tr>
        <w:tc>
          <w:tcPr>
            <w:tcW w:type="dxa" w:w="2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Loading</w:t>
            </w:r>
          </w:p>
        </w:tc>
        <w:tc>
          <w:tcPr>
            <w:tcW w:type="dxa" w:w="6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3 dock-high doors</w:t>
            </w:r>
          </w:p>
        </w:tc>
      </w:tr>
      <w:tr>
        <w:tc>
          <w:tcPr>
            <w:tcW w:type="dxa" w:w="2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HVAC</w:t>
            </w:r>
          </w:p>
        </w:tc>
        <w:tc>
          <w:tcPr>
            <w:tcW w:type="dxa" w:w="6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Full HVAC throughout</w:t>
            </w:r>
          </w:p>
        </w:tc>
      </w:tr>
      <w:tr>
        <w:tc>
          <w:tcPr>
            <w:tcW w:type="dxa" w:w="2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Roof</w:t>
            </w:r>
          </w:p>
        </w:tc>
        <w:tc>
          <w:tcPr>
            <w:tcW w:type="dxa" w:w="6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New (2024)</w:t>
            </w:r>
          </w:p>
        </w:tc>
      </w:tr>
      <w:tr>
        <w:tc>
          <w:tcPr>
            <w:tcW w:type="dxa" w:w="2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Current Tenant</w:t>
            </w:r>
          </w:p>
        </w:tc>
        <w:tc>
          <w:tcPr>
            <w:tcW w:type="dxa" w:w="6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Texas Workforce Commission (State of Texas)</w:t>
            </w:r>
          </w:p>
        </w:tc>
      </w:tr>
      <w:tr>
        <w:tc>
          <w:tcPr>
            <w:tcW w:type="dxa" w:w="2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Lease Expiry</w:t>
            </w:r>
          </w:p>
        </w:tc>
        <w:tc>
          <w:tcPr>
            <w:tcW w:type="dxa" w:w="6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August 31, 2026</w:t>
            </w:r>
          </w:p>
        </w:tc>
      </w:tr>
      <w:tr>
        <w:tc>
          <w:tcPr>
            <w:tcW w:type="dxa" w:w="2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FEMA Flood Zone</w:t>
            </w:r>
          </w:p>
        </w:tc>
        <w:tc>
          <w:tcPr>
            <w:tcW w:type="dxa" w:w="6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X — Area of Minimal Flood Hazard (NFHL confirmed March 2026)</w:t>
            </w:r>
          </w:p>
        </w:tc>
      </w:tr>
      <w:tr>
        <w:tc>
          <w:tcPr>
            <w:tcW w:type="dxa" w:w="2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Travis CAD Assessed Value (2025)</w:t>
            </w:r>
          </w:p>
        </w:tc>
        <w:tc>
          <w:tcPr>
            <w:tcW w:type="dxa" w:w="6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$4,500,000</w:t>
            </w:r>
          </w:p>
        </w:tc>
      </w:tr>
      <w:tr>
        <w:tc>
          <w:tcPr>
            <w:tcW w:type="dxa" w:w="2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LoopNet Asking Price</w:t>
            </w:r>
          </w:p>
        </w:tc>
        <w:tc>
          <w:tcPr>
            <w:tcW w:type="dxa" w:w="6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$10,500,000 ($239/SF) — listed November 2025</w:t>
            </w:r>
          </w:p>
        </w:tc>
      </w:tr>
      <w:tr>
        <w:tc>
          <w:tcPr>
            <w:tcW w:type="dxa" w:w="2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Target Acquisition Price</w:t>
            </w:r>
          </w:p>
        </w:tc>
        <w:tc>
          <w:tcPr>
            <w:tcW w:type="dxa" w:w="6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$8,250,000 ($188/SF)</w:t>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pStyle w:val="Heading2"/>
        <w:spacing w:before="260" w:after="100"/>
      </w:pPr>
      <w:r>
        <w:rPr>
          <w:rFonts w:ascii="Arial" w:cs="Arial" w:eastAsia="Arial" w:hAnsi="Arial"/>
          <w:b/>
          <w:bCs/>
          <w:color w:val="1B2A4A"/>
          <w:sz w:val="28"/>
          <w:szCs w:val="28"/>
        </w:rPr>
        <w:t xml:space="preserve">Space Allocation Plan</w:t>
      </w:r>
    </w:p>
    <w:p>
      <w:pPr>
        <w:spacing w:before="80" w:after="160"/>
      </w:pPr>
      <w:r>
        <w:rPr>
          <w:rFonts w:ascii="Arial" w:cs="Arial" w:eastAsia="Arial" w:hAnsi="Arial"/>
          <w:i/>
          <w:iCs/>
          <w:color w:val="444444"/>
          <w:sz w:val="22"/>
          <w:szCs w:val="22"/>
        </w:rPr>
        <w:t xml:space="preserve">The 44,528 SF building will be repositioned across seven functional zones. The plan preserves maximum flexibility in Zones D, E, and G while concentrating the acoustic-intensive uses in Zones A–C at the building core. A newly added Zone G in the southeast corner converts previously unassigned space into a revenue-generating climate-controlled gear storage facility with a dedicated band load-in door and interior corridor path.</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000"/>
        <w:gridCol w:w="2800"/>
        <w:gridCol w:w="900"/>
        <w:gridCol w:w="4660"/>
      </w:tblGrid>
      <w:tr>
        <w:trPr>
          <w:tblHeader/>
        </w:trPr>
        <w:tc>
          <w:tcPr>
            <w:tcW w:type="dxa" w:w="10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Zone</w:t>
            </w:r>
          </w:p>
        </w:tc>
        <w:tc>
          <w:tcPr>
            <w:tcW w:type="dxa" w:w="28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Use</w:t>
            </w:r>
          </w:p>
        </w:tc>
        <w:tc>
          <w:tcPr>
            <w:tcW w:type="dxa" w:w="9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SF</w:t>
            </w:r>
          </w:p>
        </w:tc>
        <w:tc>
          <w:tcPr>
            <w:tcW w:type="dxa" w:w="466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Notes</w:t>
            </w:r>
          </w:p>
        </w:tc>
      </w:tr>
      <w:tr>
        <w:tc>
          <w:tcPr>
            <w:tcW w:type="dxa" w:w="1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A</w:t>
            </w:r>
          </w:p>
        </w:tc>
        <w:tc>
          <w:tcPr>
            <w:tcW w:type="dxa" w:w="2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Rehearsal Complex (25 rooms)</w:t>
            </w:r>
          </w:p>
        </w:tc>
        <w:tc>
          <w:tcPr>
            <w:tcW w:type="dxa" w:w="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13,000</w:t>
            </w:r>
          </w:p>
        </w:tc>
        <w:tc>
          <w:tcPr>
            <w:tcW w:type="dxa" w:w="46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Core product; acoustic treatment required</w:t>
            </w:r>
          </w:p>
        </w:tc>
      </w:tr>
      <w:tr>
        <w:tc>
          <w:tcPr>
            <w:tcW w:type="dxa" w:w="1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B</w:t>
            </w:r>
          </w:p>
        </w:tc>
        <w:tc>
          <w:tcPr>
            <w:tcW w:type="dxa" w:w="2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Production Suites (3 suites)</w:t>
            </w:r>
          </w:p>
        </w:tc>
        <w:tc>
          <w:tcPr>
            <w:tcW w:type="dxa" w:w="9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~6,000</w:t>
            </w:r>
          </w:p>
        </w:tc>
        <w:tc>
          <w:tcPr>
            <w:tcW w:type="dxa" w:w="46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Broadcast-quality, floating floor construction</w:t>
            </w:r>
          </w:p>
        </w:tc>
      </w:tr>
      <w:tr>
        <w:tc>
          <w:tcPr>
            <w:tcW w:type="dxa" w:w="1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C</w:t>
            </w:r>
          </w:p>
        </w:tc>
        <w:tc>
          <w:tcPr>
            <w:tcW w:type="dxa" w:w="2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Creator / Podcast Studios (5)</w:t>
            </w:r>
          </w:p>
        </w:tc>
        <w:tc>
          <w:tcPr>
            <w:tcW w:type="dxa" w:w="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3,500</w:t>
            </w:r>
          </w:p>
        </w:tc>
        <w:tc>
          <w:tcPr>
            <w:tcW w:type="dxa" w:w="46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Lighter treatment; shared lobby with Zone B</w:t>
            </w:r>
          </w:p>
        </w:tc>
      </w:tr>
      <w:tr>
        <w:tc>
          <w:tcPr>
            <w:tcW w:type="dxa" w:w="1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D</w:t>
            </w:r>
          </w:p>
        </w:tc>
        <w:tc>
          <w:tcPr>
            <w:tcW w:type="dxa" w:w="2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Retail Anchor</w:t>
            </w:r>
          </w:p>
        </w:tc>
        <w:tc>
          <w:tcPr>
            <w:tcW w:type="dxa" w:w="9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3,000</w:t>
            </w:r>
          </w:p>
        </w:tc>
        <w:tc>
          <w:tcPr>
            <w:tcW w:type="dxa" w:w="46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The Union Builds — Coffee · Bar · Stage · direct ESAS buildout by The Music Union</w:t>
            </w:r>
          </w:p>
        </w:tc>
      </w:tr>
      <w:tr>
        <w:tc>
          <w:tcPr>
            <w:tcW w:type="dxa" w:w="1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E</w:t>
            </w:r>
          </w:p>
        </w:tc>
        <w:tc>
          <w:tcPr>
            <w:tcW w:type="dxa" w:w="2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Co-Tenant Leasable</w:t>
            </w:r>
          </w:p>
        </w:tc>
        <w:tc>
          <w:tcPr>
            <w:tcW w:type="dxa" w:w="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~10,000</w:t>
            </w:r>
          </w:p>
        </w:tc>
        <w:tc>
          <w:tcPr>
            <w:tcW w:type="dxa" w:w="46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Direct operated; 7 private suites + open plan; music industry tenants</w:t>
            </w:r>
          </w:p>
        </w:tc>
      </w:tr>
      <w:tr>
        <w:tc>
          <w:tcPr>
            <w:tcW w:type="dxa" w:w="1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F</w:t>
            </w:r>
          </w:p>
        </w:tc>
        <w:tc>
          <w:tcPr>
            <w:tcW w:type="dxa" w:w="2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Live Venue, Bar &amp; Common</w:t>
            </w:r>
          </w:p>
        </w:tc>
        <w:tc>
          <w:tcPr>
            <w:tcW w:type="dxa" w:w="9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7,500</w:t>
            </w:r>
          </w:p>
        </w:tc>
        <w:tc>
          <w:tcPr>
            <w:tcW w:type="dxa" w:w="46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Includes stage, bar buildout, lobby, green room</w:t>
            </w:r>
          </w:p>
        </w:tc>
      </w:tr>
      <w:tr>
        <w:tc>
          <w:tcPr>
            <w:tcW w:type="dxa" w:w="1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Total</w:t>
            </w:r>
          </w:p>
        </w:tc>
        <w:tc>
          <w:tcPr>
            <w:tcW w:type="dxa" w:w="2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
            </w:r>
          </w:p>
        </w:tc>
        <w:tc>
          <w:tcPr>
            <w:tcW w:type="dxa" w:w="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44,528 SF</w:t>
            </w:r>
          </w:p>
        </w:tc>
        <w:tc>
          <w:tcPr>
            <w:tcW w:type="dxa" w:w="46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pStyle w:val="Heading2"/>
        <w:spacing w:before="260" w:after="100"/>
      </w:pPr>
      <w:r>
        <w:rPr>
          <w:rFonts w:ascii="Arial" w:cs="Arial" w:eastAsia="Arial" w:hAnsi="Arial"/>
          <w:b/>
          <w:bCs/>
          <w:color w:val="1B2A4A"/>
          <w:sz w:val="28"/>
          <w:szCs w:val="28"/>
        </w:rPr>
        <w:t xml:space="preserve">Renovation &amp; Buildout Plan</w:t>
      </w:r>
    </w:p>
    <w:p>
      <w:pPr>
        <w:spacing w:before="180" w:after="80"/>
      </w:pPr>
      <w:r>
        <w:rPr>
          <w:rFonts w:ascii="Arial" w:cs="Arial" w:eastAsia="Arial" w:hAnsi="Arial"/>
          <w:b/>
          <w:bCs/>
          <w:color w:val="1B2A4A"/>
          <w:sz w:val="24"/>
          <w:szCs w:val="24"/>
        </w:rPr>
        <w:t xml:space="preserve">Zone A — Rehearsal Complex (13,000 SF) | Budget: Included in $1,750,000 Zone A–C Combined</w:t>
      </w:r>
    </w:p>
    <w:p>
      <w:pPr>
        <w:spacing w:before="80" w:after="80" w:line="276"/>
        <w:jc w:val="left"/>
      </w:pPr>
      <w:r>
        <w:rPr>
          <w:rFonts w:ascii="Arial" w:cs="Arial" w:eastAsia="Arial" w:hAnsi="Arial"/>
          <w:b w:val="false"/>
          <w:bCs w:val="false"/>
          <w:i w:val="false"/>
          <w:iCs w:val="false"/>
          <w:color w:val="1A1A2E"/>
          <w:sz w:val="22"/>
          <w:szCs w:val="22"/>
        </w:rPr>
        <w:t xml:space="preserve">25 rooms across four tiers: 8 small practice rooms (approx. 150 SF), 10 medium rooms (approx. 250 SF), 5 large rooms (approx. 400 SF), and 2 premium rooms (approx. 600 SF). All rooms will receive full acoustic treatment including decoupled walls, floating floors, absorptive ceiling panels, and soundproofed entry vestibules. Each room will be equipped with a basic backline (amp, drums on request), HVAC zone control, and keypad/fob access for self-check-in. A central booking kiosk and attendant desk will serve the complex.</w:t>
      </w:r>
    </w:p>
    <w:p>
      <w:pPr>
        <w:spacing w:before="180" w:after="80"/>
      </w:pPr>
      <w:r>
        <w:rPr>
          <w:rFonts w:ascii="Arial" w:cs="Arial" w:eastAsia="Arial" w:hAnsi="Arial"/>
          <w:b/>
          <w:bCs/>
          <w:color w:val="1B2A4A"/>
          <w:sz w:val="24"/>
          <w:szCs w:val="24"/>
        </w:rPr>
        <w:t xml:space="preserve">Zone B — Production Suites (~6,000 SF) | Budget: Included in $1,750,000 Zone A–C Combined</w:t>
      </w:r>
    </w:p>
    <w:p>
      <w:pPr>
        <w:spacing w:before="80" w:after="80" w:line="276"/>
        <w:jc w:val="left"/>
      </w:pPr>
      <w:r>
        <w:rPr>
          <w:rFonts w:ascii="Arial" w:cs="Arial" w:eastAsia="Arial" w:hAnsi="Arial"/>
          <w:b w:val="false"/>
          <w:bCs w:val="false"/>
          <w:i w:val="false"/>
          <w:iCs w:val="false"/>
          <w:color w:val="1A1A2E"/>
          <w:sz w:val="22"/>
          <w:szCs w:val="22"/>
        </w:rPr>
        <w:t xml:space="preserve">Three professional recording suites, each comprising a live tracking room and a separate control room. The third suite accommodates an additional $300,000 in buildout cost (budgeted separately as 'Zone B — 3rd Suite'). Construction will utilize floating slab methodology for maximum isolation. Outfitted with Neve or SSL-style console infrastructure, patchbay, and acoustic monitoring systems. The Music Union 512 will offer both dry-hire (client brings engineer) and wet-hire (SMC-provided engineer) booking models.</w:t>
      </w:r>
    </w:p>
    <w:p>
      <w:pPr>
        <w:spacing w:before="180" w:after="80"/>
      </w:pPr>
      <w:r>
        <w:rPr>
          <w:rFonts w:ascii="Arial" w:cs="Arial" w:eastAsia="Arial" w:hAnsi="Arial"/>
          <w:b/>
          <w:bCs/>
          <w:color w:val="1B2A4A"/>
          <w:sz w:val="24"/>
          <w:szCs w:val="24"/>
        </w:rPr>
        <w:t xml:space="preserve">Zone C — Creator / Podcast Studios (3,500 SF) | Budget: $300,000</w:t>
      </w:r>
    </w:p>
    <w:p>
      <w:pPr>
        <w:spacing w:before="80" w:after="80" w:line="276"/>
        <w:jc w:val="left"/>
      </w:pPr>
      <w:r>
        <w:rPr>
          <w:rFonts w:ascii="Arial" w:cs="Arial" w:eastAsia="Arial" w:hAnsi="Arial"/>
          <w:b w:val="false"/>
          <w:bCs w:val="false"/>
          <w:i w:val="false"/>
          <w:iCs w:val="false"/>
          <w:color w:val="1A1A2E"/>
          <w:sz w:val="22"/>
          <w:szCs w:val="22"/>
        </w:rPr>
        <w:t xml:space="preserve">Five fully appointed podcast and video creator studios. Each room will include LED lighting grids, green screen capability, acoustic panels, and integrated recording/streaming rig. Shared lobby with Zone B. Targeted at corporate podcasters, influencers, and digital media producers who need broadcast-quality space without full recording studio cost.</w:t>
      </w:r>
    </w:p>
    <w:p>
      <w:pPr>
        <w:spacing w:before="180" w:after="80"/>
      </w:pPr>
      <w:r>
        <w:rPr>
          <w:rFonts w:ascii="Arial" w:cs="Arial" w:eastAsia="Arial" w:hAnsi="Arial"/>
          <w:b/>
          <w:bCs/>
          <w:color w:val="1B2A4A"/>
          <w:sz w:val="24"/>
          <w:szCs w:val="24"/>
        </w:rPr>
        <w:t xml:space="preserve">Zone D — Coffee / Bar / Stage (3,000 SF) | Budget: $375,000 (Union Builds — full ESAS buildout)</w:t>
      </w:r>
    </w:p>
    <w:p>
      <w:pPr>
        <w:spacing w:before="80" w:after="80" w:line="276"/>
        <w:jc w:val="left"/>
      </w:pPr>
      <w:r>
        <w:rPr>
          <w:rFonts w:ascii="Arial" w:cs="Arial" w:eastAsia="Arial" w:hAnsi="Arial"/>
          <w:b w:val="false"/>
          <w:bCs w:val="false"/>
          <w:i w:val="false"/>
          <w:iCs w:val="false"/>
          <w:color w:val="1A1A2E"/>
          <w:sz w:val="22"/>
          <w:szCs w:val="22"/>
        </w:rPr>
        <w:t xml:space="preserve">Light shell buildout targeting a music instrument or gear retailer. The Music Union 512 will provide vanilla shell, and tenant will contribute TI allowance toward their own fit-out. Retail presence serves dual function: revenue stream and on-campus amenity that enhances SMC's appeal to rehearsal and studio clients.</w:t>
      </w:r>
    </w:p>
    <w:p>
      <w:pPr>
        <w:spacing w:before="180" w:after="80"/>
      </w:pPr>
      <w:r>
        <w:rPr>
          <w:rFonts w:ascii="Arial" w:cs="Arial" w:eastAsia="Arial" w:hAnsi="Arial"/>
          <w:b/>
          <w:bCs/>
          <w:color w:val="1B2A4A"/>
          <w:sz w:val="24"/>
          <w:szCs w:val="24"/>
        </w:rPr>
        <w:t xml:space="preserve">Zone E — Music Industry Coworking (~10,000 SF) | Budget: $300,000</w:t>
      </w:r>
    </w:p>
    <w:p>
      <w:pPr>
        <w:spacing w:before="80" w:after="80" w:line="276"/>
        <w:jc w:val="left"/>
      </w:pPr>
      <w:r>
        <w:rPr>
          <w:rFonts w:ascii="Arial" w:cs="Arial" w:eastAsia="Arial" w:hAnsi="Arial"/>
          <w:b w:val="false"/>
          <w:bCs w:val="false"/>
          <w:i w:val="false"/>
          <w:iCs w:val="false"/>
          <w:color w:val="1A1A2E"/>
          <w:sz w:val="22"/>
          <w:szCs w:val="22"/>
        </w:rPr>
        <w:t xml:space="preserve">Delivered as warm shell to co-tenants. The Music Union 512 will pursue creative-adjacent tenants: music schools, artist management offices, entertainment law firms, music tech startups, film/video production companies. Long-term NNN leases targeted at $16.50–$18.00/SF/yr, providing a predictable, low-management revenue base.</w:t>
      </w:r>
    </w:p>
    <w:p>
      <w:pPr>
        <w:spacing w:before="180" w:after="80"/>
      </w:pPr>
      <w:r>
        <w:rPr>
          <w:rFonts w:ascii="Arial" w:cs="Arial" w:eastAsia="Arial" w:hAnsi="Arial"/>
          <w:b/>
          <w:bCs/>
          <w:color w:val="1B2A4A"/>
          <w:sz w:val="24"/>
          <w:szCs w:val="24"/>
        </w:rPr>
        <w:t xml:space="preserve">Zone F — Live Venue &amp; Bar (7,500 SF) | Budget: $1,050,000</w:t>
      </w:r>
    </w:p>
    <w:p>
      <w:pPr>
        <w:spacing w:before="80" w:after="80" w:line="276"/>
        <w:jc w:val="left"/>
      </w:pPr>
      <w:r>
        <w:rPr>
          <w:rFonts w:ascii="Arial" w:cs="Arial" w:eastAsia="Arial" w:hAnsi="Arial"/>
          <w:b w:val="false"/>
          <w:bCs w:val="false"/>
          <w:i w:val="false"/>
          <w:iCs w:val="false"/>
          <w:color w:val="1A1A2E"/>
          <w:sz w:val="22"/>
          <w:szCs w:val="22"/>
        </w:rPr>
        <w:t xml:space="preserve">The venue and bar is SMC's marquee differentiator. Key design elements:</w:t>
      </w:r>
    </w:p>
    <w:p>
      <w:pPr>
        <w:pStyle w:val="ListParagraph"/>
        <w:numPr>
          <w:ilvl w:val="0"/>
          <w:numId w:val="2"/>
        </w:numPr>
        <w:spacing w:before="60" w:after="60" w:line="276"/>
      </w:pPr>
      <w:r>
        <w:rPr>
          <w:rFonts w:ascii="Arial" w:cs="Arial" w:eastAsia="Arial" w:hAnsi="Arial"/>
          <w:color w:val="1A1A2E"/>
          <w:sz w:val="22"/>
          <w:szCs w:val="22"/>
        </w:rPr>
        <w:t xml:space="preserve">Capacity: 300–500 (standing/mixed), scalable to private event formats</w:t>
      </w:r>
    </w:p>
    <w:p>
      <w:pPr>
        <w:pStyle w:val="ListParagraph"/>
        <w:numPr>
          <w:ilvl w:val="0"/>
          <w:numId w:val="2"/>
        </w:numPr>
        <w:spacing w:before="60" w:after="60" w:line="276"/>
      </w:pPr>
      <w:r>
        <w:rPr>
          <w:rFonts w:ascii="Arial" w:cs="Arial" w:eastAsia="Arial" w:hAnsi="Arial"/>
          <w:color w:val="1A1A2E"/>
          <w:sz w:val="22"/>
          <w:szCs w:val="22"/>
        </w:rPr>
        <w:t xml:space="preserve">Raised stage (approx. 600 SF) with professional FOH and monitor PA, stage lighting rig</w:t>
      </w:r>
    </w:p>
    <w:p>
      <w:pPr>
        <w:pStyle w:val="ListParagraph"/>
        <w:numPr>
          <w:ilvl w:val="0"/>
          <w:numId w:val="2"/>
        </w:numPr>
        <w:spacing w:before="60" w:after="60" w:line="276"/>
      </w:pPr>
      <w:r>
        <w:rPr>
          <w:rFonts w:ascii="Arial" w:cs="Arial" w:eastAsia="Arial" w:hAnsi="Arial"/>
          <w:color w:val="1A1A2E"/>
          <w:sz w:val="22"/>
          <w:szCs w:val="22"/>
        </w:rPr>
        <w:t xml:space="preserve">Full-service bar (30+ linear feet) with beer, wine, spirits and non-alcoholic program</w:t>
      </w:r>
    </w:p>
    <w:p>
      <w:pPr>
        <w:pStyle w:val="ListParagraph"/>
        <w:numPr>
          <w:ilvl w:val="0"/>
          <w:numId w:val="2"/>
        </w:numPr>
        <w:spacing w:before="60" w:after="60" w:line="276"/>
      </w:pPr>
      <w:r>
        <w:rPr>
          <w:rFonts w:ascii="Arial" w:cs="Arial" w:eastAsia="Arial" w:hAnsi="Arial"/>
          <w:color w:val="1A1A2E"/>
          <w:sz w:val="22"/>
          <w:szCs w:val="22"/>
        </w:rPr>
        <w:t xml:space="preserve">Green room / artist lounge adjacent to stage</w:t>
      </w:r>
    </w:p>
    <w:p>
      <w:pPr>
        <w:pStyle w:val="ListParagraph"/>
        <w:numPr>
          <w:ilvl w:val="0"/>
          <w:numId w:val="2"/>
        </w:numPr>
        <w:spacing w:before="60" w:after="60" w:line="276"/>
      </w:pPr>
      <w:r>
        <w:rPr>
          <w:rFonts w:ascii="Arial" w:cs="Arial" w:eastAsia="Arial" w:hAnsi="Arial"/>
          <w:color w:val="1A1A2E"/>
          <w:sz w:val="22"/>
          <w:szCs w:val="22"/>
        </w:rPr>
        <w:t xml:space="preserve">Dedicated venue entrance and box office (separate from rehearsal lobby)</w:t>
      </w:r>
    </w:p>
    <w:p>
      <w:pPr>
        <w:pStyle w:val="ListParagraph"/>
        <w:numPr>
          <w:ilvl w:val="0"/>
          <w:numId w:val="2"/>
        </w:numPr>
        <w:spacing w:before="60" w:after="60" w:line="276"/>
      </w:pPr>
      <w:r>
        <w:rPr>
          <w:rFonts w:ascii="Arial" w:cs="Arial" w:eastAsia="Arial" w:hAnsi="Arial"/>
          <w:color w:val="1A1A2E"/>
          <w:sz w:val="22"/>
          <w:szCs w:val="22"/>
        </w:rPr>
        <w:t xml:space="preserve">Acoustic design that allows concurrent rehearsal operations during daytime without bleed</w:t>
      </w:r>
    </w:p>
    <w:p>
      <w:pPr>
        <w:pStyle w:val="ListParagraph"/>
        <w:numPr>
          <w:ilvl w:val="0"/>
          <w:numId w:val="2"/>
        </w:numPr>
        <w:spacing w:before="60" w:after="60" w:line="276"/>
      </w:pPr>
      <w:r>
        <w:rPr>
          <w:rFonts w:ascii="Arial" w:cs="Arial" w:eastAsia="Arial" w:hAnsi="Arial"/>
          <w:color w:val="1A1A2E"/>
          <w:sz w:val="22"/>
          <w:szCs w:val="22"/>
        </w:rPr>
        <w:t xml:space="preserve">TABC mixed beverage permit as component of Texas Alcoholic Beverage Commission licensing plan</w:t>
      </w:r>
    </w:p>
    <w:p>
      <w:pPr>
        <w:spacing w:before="80" w:after="80" w:line="276"/>
        <w:jc w:val="left"/>
      </w:pPr>
      <w:r>
        <w:rPr>
          <w:rFonts w:ascii="Arial" w:cs="Arial" w:eastAsia="Arial" w:hAnsi="Arial"/>
          <w:b w:val="false"/>
          <w:bCs w:val="false"/>
          <w:i w:val="false"/>
          <w:iCs w:val="false"/>
          <w:color w:val="1A1A2E"/>
          <w:sz w:val="22"/>
          <w:szCs w:val="22"/>
        </w:rPr>
        <w:t xml:space="preserve">Revenue model: ticketed shows (promoter deals and SMC-promoted events), private buyouts (album releases, corporate events, private parties), bar revenue on all open-venue nights.</w:t>
      </w:r>
    </w:p>
    <w:p>
      <w:pPr>
        <w:pStyle w:val="Heading2"/>
        <w:spacing w:before="260" w:after="100"/>
      </w:pPr>
      <w:r>
        <w:rPr>
          <w:rFonts w:ascii="Arial" w:cs="Arial" w:eastAsia="Arial" w:hAnsi="Arial"/>
          <w:b/>
          <w:bCs/>
          <w:color w:val="1B2A4A"/>
          <w:sz w:val="28"/>
          <w:szCs w:val="28"/>
        </w:rPr>
        <w:t xml:space="preserve">Due Diligence Flags</w:t>
      </w:r>
    </w:p>
    <w:p>
      <w:pPr>
        <w:spacing w:before="80" w:after="80" w:line="276"/>
        <w:jc w:val="left"/>
      </w:pPr>
      <w:r>
        <w:rPr>
          <w:rFonts w:ascii="Arial" w:cs="Arial" w:eastAsia="Arial" w:hAnsi="Arial"/>
          <w:b w:val="false"/>
          <w:bCs w:val="false"/>
          <w:i w:val="false"/>
          <w:iCs w:val="false"/>
          <w:color w:val="1A1A2E"/>
          <w:sz w:val="22"/>
          <w:szCs w:val="22"/>
        </w:rPr>
        <w:t xml:space="preserve">The following items require resolution prior to closing or within the contingency period:</w:t>
      </w:r>
    </w:p>
    <w:p>
      <w:pPr>
        <w:pStyle w:val="ListParagraph"/>
        <w:numPr>
          <w:ilvl w:val="0"/>
          <w:numId w:val="2"/>
        </w:numPr>
        <w:spacing w:before="60" w:after="60" w:line="276"/>
      </w:pPr>
      <w:r>
        <w:rPr>
          <w:rFonts w:ascii="Arial" w:cs="Arial" w:eastAsia="Arial" w:hAnsi="Arial"/>
          <w:b/>
          <w:bCs/>
          <w:color w:val="1B2A4A"/>
          <w:sz w:val="22"/>
          <w:szCs w:val="22"/>
        </w:rPr>
        <w:t xml:space="preserve">Sprinkler System: </w:t>
      </w:r>
      <w:r>
        <w:rPr>
          <w:rFonts w:ascii="Arial" w:cs="Arial" w:eastAsia="Arial" w:hAnsi="Arial"/>
          <w:color w:val="1A1A2E"/>
          <w:sz w:val="22"/>
          <w:szCs w:val="22"/>
        </w:rPr>
        <w:t xml:space="preserve">LoopNet listing states 'Fully Sprinklered'; Travis County CAD records reflect 'No.' 15 permits on file show zero sprinkler installations. Buyer will require seller to provide current fire marshal inspection certificate and sprinkler as-built documentation, or price adjusted for estimated remediation ($100,000–$250,000).</w:t>
      </w:r>
    </w:p>
    <w:p>
      <w:pPr>
        <w:pStyle w:val="ListParagraph"/>
        <w:numPr>
          <w:ilvl w:val="0"/>
          <w:numId w:val="2"/>
        </w:numPr>
        <w:spacing w:before="60" w:after="60" w:line="276"/>
      </w:pPr>
      <w:r>
        <w:rPr>
          <w:rFonts w:ascii="Arial" w:cs="Arial" w:eastAsia="Arial" w:hAnsi="Arial"/>
          <w:b/>
          <w:bCs/>
          <w:color w:val="1B2A4A"/>
          <w:sz w:val="22"/>
          <w:szCs w:val="22"/>
        </w:rPr>
        <w:t xml:space="preserve">Flood Zone: </w:t>
      </w:r>
      <w:r>
        <w:rPr>
          <w:rFonts w:ascii="Arial" w:cs="Arial" w:eastAsia="Arial" w:hAnsi="Arial"/>
          <w:color w:val="1A1A2E"/>
          <w:sz w:val="22"/>
          <w:szCs w:val="22"/>
        </w:rPr>
        <w:t xml:space="preserve">Confirmed Zone X (Minimal Flood Hazard) via FEMA NFHL identify query, March 2026. No mandatory flood insurance. No further action required.</w:t>
      </w:r>
    </w:p>
    <w:p>
      <w:pPr>
        <w:pStyle w:val="ListParagraph"/>
        <w:numPr>
          <w:ilvl w:val="0"/>
          <w:numId w:val="2"/>
        </w:numPr>
        <w:spacing w:before="60" w:after="60" w:line="276"/>
      </w:pPr>
      <w:r>
        <w:rPr>
          <w:rFonts w:ascii="Arial" w:cs="Arial" w:eastAsia="Arial" w:hAnsi="Arial"/>
          <w:b/>
          <w:bCs/>
          <w:color w:val="1B2A4A"/>
          <w:sz w:val="22"/>
          <w:szCs w:val="22"/>
        </w:rPr>
        <w:t xml:space="preserve">Environmental Phase I: </w:t>
      </w:r>
      <w:r>
        <w:rPr>
          <w:rFonts w:ascii="Arial" w:cs="Arial" w:eastAsia="Arial" w:hAnsi="Arial"/>
          <w:color w:val="1A1A2E"/>
          <w:sz w:val="22"/>
          <w:szCs w:val="22"/>
        </w:rPr>
        <w:t xml:space="preserve">Standard Phase I ESA to be ordered immediately upon LOI acceptance. No known RECs at this time.</w:t>
      </w:r>
    </w:p>
    <w:p>
      <w:pPr>
        <w:pStyle w:val="ListParagraph"/>
        <w:numPr>
          <w:ilvl w:val="0"/>
          <w:numId w:val="2"/>
        </w:numPr>
        <w:spacing w:before="60" w:after="60" w:line="276"/>
      </w:pPr>
      <w:r>
        <w:rPr>
          <w:rFonts w:ascii="Arial" w:cs="Arial" w:eastAsia="Arial" w:hAnsi="Arial"/>
          <w:b/>
          <w:bCs/>
          <w:color w:val="1B2A4A"/>
          <w:sz w:val="22"/>
          <w:szCs w:val="22"/>
        </w:rPr>
        <w:t xml:space="preserve">Structural / MEP: </w:t>
      </w:r>
      <w:r>
        <w:rPr>
          <w:rFonts w:ascii="Arial" w:cs="Arial" w:eastAsia="Arial" w:hAnsi="Arial"/>
          <w:color w:val="1A1A2E"/>
          <w:sz w:val="22"/>
          <w:szCs w:val="22"/>
        </w:rPr>
        <w:t xml:space="preserve">Full structural, mechanical, electrical, and plumbing inspection during due diligence. Particular attention to load-bearing capacity for acoustic floating floor construction in Zones A and B.</w:t>
      </w:r>
    </w:p>
    <w:p>
      <w:pPr>
        <w:pStyle w:val="Heading1"/>
        <w:pageBreakBefore/>
        <w:pBdr>
          <w:bottom w:val="single" w:color="C9A84C" w:sz="8" w:space="4"/>
        </w:pBdr>
        <w:spacing w:before="360" w:after="160"/>
      </w:pPr>
      <w:r>
        <w:rPr>
          <w:rFonts w:ascii="Arial" w:cs="Arial" w:eastAsia="Arial" w:hAnsi="Arial"/>
          <w:b/>
          <w:bCs/>
          <w:color w:val="1B2A4A"/>
          <w:sz w:val="36"/>
          <w:szCs w:val="36"/>
        </w:rPr>
        <w:t xml:space="preserve">6.  Revenue Model &amp; Financial Projections</w:t>
      </w:r>
    </w:p>
    <w:p>
      <w:pPr>
        <w:pStyle w:val="Heading2"/>
        <w:spacing w:before="260" w:after="100"/>
      </w:pPr>
      <w:r>
        <w:rPr>
          <w:rFonts w:ascii="Arial" w:cs="Arial" w:eastAsia="Arial" w:hAnsi="Arial"/>
          <w:b/>
          <w:bCs/>
          <w:color w:val="1B2A4A"/>
          <w:sz w:val="28"/>
          <w:szCs w:val="28"/>
        </w:rPr>
        <w:t xml:space="preserve">Revenue Stream Detail</w:t>
      </w:r>
    </w:p>
    <w:p>
      <w:pPr>
        <w:spacing w:before="180" w:after="80"/>
      </w:pPr>
      <w:r>
        <w:rPr>
          <w:rFonts w:ascii="Arial" w:cs="Arial" w:eastAsia="Arial" w:hAnsi="Arial"/>
          <w:b/>
          <w:bCs/>
          <w:color w:val="1B2A4A"/>
          <w:sz w:val="24"/>
          <w:szCs w:val="24"/>
        </w:rPr>
        <w:t xml:space="preserve">Zone A — Rehearsal Complex</w:t>
      </w:r>
    </w:p>
    <w:tbl>
      <w:tblPr>
        <w:tblW w:type="dxa" w:w="6760"/>
        <w:tblBorders>
          <w:top w:val="single" w:color="auto" w:sz="4"/>
          <w:left w:val="single" w:color="auto" w:sz="4"/>
          <w:bottom w:val="single" w:color="auto" w:sz="4"/>
          <w:right w:val="single" w:color="auto" w:sz="4"/>
          <w:insideH w:val="single" w:color="auto" w:sz="4"/>
          <w:insideV w:val="single" w:color="auto" w:sz="4"/>
        </w:tblBorders>
      </w:tblPr>
      <w:tblGrid>
        <w:gridCol w:w="1800"/>
        <w:gridCol w:w="600"/>
        <w:gridCol w:w="800"/>
        <w:gridCol w:w="900"/>
        <w:gridCol w:w="1100"/>
        <w:gridCol w:w="1560"/>
      </w:tblGrid>
      <w:tr>
        <w:trPr>
          <w:tblHeader/>
        </w:trPr>
        <w:tc>
          <w:tcPr>
            <w:tcW w:type="dxa" w:w="18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Room Type</w:t>
            </w:r>
          </w:p>
        </w:tc>
        <w:tc>
          <w:tcPr>
            <w:tcW w:type="dxa" w:w="6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Qty</w:t>
            </w:r>
          </w:p>
        </w:tc>
        <w:tc>
          <w:tcPr>
            <w:tcW w:type="dxa" w:w="8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Rate/hr</w:t>
            </w:r>
          </w:p>
        </w:tc>
        <w:tc>
          <w:tcPr>
            <w:tcW w:type="dxa" w:w="9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Hrs/Day</w:t>
            </w:r>
          </w:p>
        </w:tc>
        <w:tc>
          <w:tcPr>
            <w:tcW w:type="dxa" w:w="11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Occ Target</w:t>
            </w:r>
          </w:p>
        </w:tc>
        <w:tc>
          <w:tcPr>
            <w:tcW w:type="dxa" w:w="156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Annual Revenue</w:t>
            </w:r>
          </w:p>
        </w:tc>
      </w:tr>
      <w:tr>
        <w:tc>
          <w:tcPr>
            <w:tcW w:type="dxa" w:w="1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Small (150 SF)</w:t>
            </w:r>
          </w:p>
        </w:tc>
        <w:tc>
          <w:tcPr>
            <w:tcW w:type="dxa" w:w="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8</w:t>
            </w:r>
          </w:p>
        </w:tc>
        <w:tc>
          <w:tcPr>
            <w:tcW w:type="dxa" w:w="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$12</w:t>
            </w:r>
          </w:p>
        </w:tc>
        <w:tc>
          <w:tcPr>
            <w:tcW w:type="dxa" w:w="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14</w:t>
            </w:r>
          </w:p>
        </w:tc>
        <w:tc>
          <w:tcPr>
            <w:tcW w:type="dxa" w:w="11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60%</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$294,912</w:t>
            </w:r>
          </w:p>
        </w:tc>
      </w:tr>
      <w:tr>
        <w:tc>
          <w:tcPr>
            <w:tcW w:type="dxa" w:w="1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Medium (250 SF)</w:t>
            </w:r>
          </w:p>
        </w:tc>
        <w:tc>
          <w:tcPr>
            <w:tcW w:type="dxa" w:w="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10</w:t>
            </w:r>
          </w:p>
        </w:tc>
        <w:tc>
          <w:tcPr>
            <w:tcW w:type="dxa" w:w="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$18</w:t>
            </w:r>
          </w:p>
        </w:tc>
        <w:tc>
          <w:tcPr>
            <w:tcW w:type="dxa" w:w="9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14</w:t>
            </w:r>
          </w:p>
        </w:tc>
        <w:tc>
          <w:tcPr>
            <w:tcW w:type="dxa" w:w="11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60%</w:t>
            </w:r>
          </w:p>
        </w:tc>
        <w:tc>
          <w:tcPr>
            <w:tcW w:type="dxa" w:w="15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$552,960</w:t>
            </w:r>
          </w:p>
        </w:tc>
      </w:tr>
      <w:tr>
        <w:tc>
          <w:tcPr>
            <w:tcW w:type="dxa" w:w="1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Large (400 SF)</w:t>
            </w:r>
          </w:p>
        </w:tc>
        <w:tc>
          <w:tcPr>
            <w:tcW w:type="dxa" w:w="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5</w:t>
            </w:r>
          </w:p>
        </w:tc>
        <w:tc>
          <w:tcPr>
            <w:tcW w:type="dxa" w:w="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$28</w:t>
            </w:r>
          </w:p>
        </w:tc>
        <w:tc>
          <w:tcPr>
            <w:tcW w:type="dxa" w:w="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14</w:t>
            </w:r>
          </w:p>
        </w:tc>
        <w:tc>
          <w:tcPr>
            <w:tcW w:type="dxa" w:w="11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60%</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$215,040</w:t>
            </w:r>
          </w:p>
        </w:tc>
      </w:tr>
      <w:tr>
        <w:tc>
          <w:tcPr>
            <w:tcW w:type="dxa" w:w="1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Premium (600 SF)</w:t>
            </w:r>
          </w:p>
        </w:tc>
        <w:tc>
          <w:tcPr>
            <w:tcW w:type="dxa" w:w="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2</w:t>
            </w:r>
          </w:p>
        </w:tc>
        <w:tc>
          <w:tcPr>
            <w:tcW w:type="dxa" w:w="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$40</w:t>
            </w:r>
          </w:p>
        </w:tc>
        <w:tc>
          <w:tcPr>
            <w:tcW w:type="dxa" w:w="9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14</w:t>
            </w:r>
          </w:p>
        </w:tc>
        <w:tc>
          <w:tcPr>
            <w:tcW w:type="dxa" w:w="11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60%</w:t>
            </w:r>
          </w:p>
        </w:tc>
        <w:tc>
          <w:tcPr>
            <w:tcW w:type="dxa" w:w="15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$122,880</w:t>
            </w:r>
          </w:p>
        </w:tc>
      </w:tr>
      <w:tr>
        <w:tc>
          <w:tcPr>
            <w:tcW w:type="dxa" w:w="1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Total Zone A</w:t>
            </w:r>
          </w:p>
        </w:tc>
        <w:tc>
          <w:tcPr>
            <w:tcW w:type="dxa" w:w="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
            </w:r>
          </w:p>
        </w:tc>
        <w:tc>
          <w:tcPr>
            <w:tcW w:type="dxa" w:w="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
            </w:r>
          </w:p>
        </w:tc>
        <w:tc>
          <w:tcPr>
            <w:tcW w:type="dxa" w:w="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
            </w:r>
          </w:p>
        </w:tc>
        <w:tc>
          <w:tcPr>
            <w:tcW w:type="dxa" w:w="11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60%</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$1,185,792</w:t>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spacing w:before="80" w:after="80" w:line="276"/>
        <w:jc w:val="left"/>
      </w:pPr>
      <w:r>
        <w:rPr>
          <w:rFonts w:ascii="Arial" w:cs="Arial" w:eastAsia="Arial" w:hAnsi="Arial"/>
          <w:b w:val="false"/>
          <w:bCs w:val="false"/>
          <w:i w:val="false"/>
          <w:iCs w:val="false"/>
          <w:color w:val="1A1A2E"/>
          <w:sz w:val="22"/>
          <w:szCs w:val="22"/>
        </w:rPr>
        <w:t xml:space="preserve">Occupancy ramp: 30% Year 1 → 50% Year 2 → 60% Year 3+. Online booking platform (Skedda, Resova, or similar) with 24/7 self-check-in via keypad reduces labor dependency. Block booking discounts (10 hrs+) and monthly membership packages will be offered to maximize committed recurring revenue.</w:t>
      </w:r>
    </w:p>
    <w:p>
      <w:pPr>
        <w:spacing w:before="180" w:after="80"/>
      </w:pPr>
      <w:r>
        <w:rPr>
          <w:rFonts w:ascii="Arial" w:cs="Arial" w:eastAsia="Arial" w:hAnsi="Arial"/>
          <w:b/>
          <w:bCs/>
          <w:color w:val="1B2A4A"/>
          <w:sz w:val="24"/>
          <w:szCs w:val="24"/>
        </w:rPr>
        <w:t xml:space="preserve">Zone B — Production Suites</w:t>
      </w:r>
    </w:p>
    <w:p>
      <w:pPr>
        <w:spacing w:before="80" w:after="80" w:line="276"/>
        <w:jc w:val="left"/>
      </w:pPr>
      <w:r>
        <w:rPr>
          <w:rFonts w:ascii="Arial" w:cs="Arial" w:eastAsia="Arial" w:hAnsi="Arial"/>
          <w:b w:val="false"/>
          <w:bCs w:val="false"/>
          <w:i w:val="false"/>
          <w:iCs w:val="false"/>
          <w:color w:val="1A1A2E"/>
          <w:sz w:val="22"/>
          <w:szCs w:val="22"/>
        </w:rPr>
        <w:t xml:space="preserve">Three suites at an average of $65/hr base rate, 14 hours/day. The third suite, added at $300,000 incremental cost, brings total capacity to 3 simultaneous sessions. Base case Yr1 revenue: ~$379,000, ramping to ~$651,000 by Year 7. Both dry-hire and wet-hire (staffed engineer at $35/hr add-on) bookings available.</w:t>
      </w:r>
    </w:p>
    <w:p>
      <w:pPr>
        <w:spacing w:before="180" w:after="80"/>
      </w:pPr>
      <w:r>
        <w:rPr>
          <w:rFonts w:ascii="Arial" w:cs="Arial" w:eastAsia="Arial" w:hAnsi="Arial"/>
          <w:b/>
          <w:bCs/>
          <w:color w:val="1B2A4A"/>
          <w:sz w:val="24"/>
          <w:szCs w:val="24"/>
        </w:rPr>
        <w:t xml:space="preserve">Zone C — Creator / Podcast Studios</w:t>
      </w:r>
    </w:p>
    <w:p>
      <w:pPr>
        <w:spacing w:before="80" w:after="80" w:line="276"/>
        <w:jc w:val="left"/>
      </w:pPr>
      <w:r>
        <w:rPr>
          <w:rFonts w:ascii="Arial" w:cs="Arial" w:eastAsia="Arial" w:hAnsi="Arial"/>
          <w:b w:val="false"/>
          <w:bCs w:val="false"/>
          <w:i w:val="false"/>
          <w:iCs w:val="false"/>
          <w:color w:val="1A1A2E"/>
          <w:sz w:val="22"/>
          <w:szCs w:val="22"/>
        </w:rPr>
        <w:t xml:space="preserve">Five studios at $25/hr base rate, 12 hours/day, targeting 38% occupancy in Year 1. Estimated Yr1 revenue: ~$208,000. Monthly podcast membership plans ($599/mo for 30 hrs) will be marketed aggressively to Austin's corporate and media community.</w:t>
      </w:r>
    </w:p>
    <w:p>
      <w:pPr>
        <w:spacing w:before="180" w:after="80"/>
      </w:pPr>
      <w:r>
        <w:rPr>
          <w:rFonts w:ascii="Arial" w:cs="Arial" w:eastAsia="Arial" w:hAnsi="Arial"/>
          <w:b/>
          <w:bCs/>
          <w:color w:val="1B2A4A"/>
          <w:sz w:val="24"/>
          <w:szCs w:val="24"/>
        </w:rPr>
        <w:t xml:space="preserve">Zone D — Retail Anchor</w:t>
      </w:r>
    </w:p>
    <w:p>
      <w:pPr>
        <w:spacing w:before="80" w:after="80" w:line="276"/>
        <w:jc w:val="left"/>
      </w:pPr>
      <w:r>
        <w:rPr>
          <w:rFonts w:ascii="Arial" w:cs="Arial" w:eastAsia="Arial" w:hAnsi="Arial"/>
          <w:b w:val="false"/>
          <w:bCs w:val="false"/>
          <w:i w:val="false"/>
          <w:iCs w:val="false"/>
          <w:color w:val="1A1A2E"/>
          <w:sz w:val="22"/>
          <w:szCs w:val="22"/>
        </w:rPr>
        <w:t xml:space="preserve">Union Builds at $27.50/SF/yr on 3,000 SF = $82,500/yr Year 1 (2% annual escalation). The Music Union owns all improvements; tenant occupies a fully built-out ESAS-grade space. Rate fixed per NNN structure.</w:t>
      </w:r>
    </w:p>
    <w:p>
      <w:pPr>
        <w:spacing w:before="180" w:after="80"/>
      </w:pPr>
      <w:r>
        <w:rPr>
          <w:rFonts w:ascii="Arial" w:cs="Arial" w:eastAsia="Arial" w:hAnsi="Arial"/>
          <w:b/>
          <w:bCs/>
          <w:color w:val="1B2A4A"/>
          <w:sz w:val="24"/>
          <w:szCs w:val="24"/>
        </w:rPr>
        <w:t xml:space="preserve">Zone E — Music Industry Coworking (Direct Operated)</w:t>
      </w:r>
    </w:p>
    <w:p>
      <w:pPr>
        <w:spacing w:before="80" w:after="80" w:line="276"/>
        <w:jc w:val="left"/>
      </w:pPr>
      <w:r>
        <w:rPr>
          <w:rFonts w:ascii="Arial" w:cs="Arial" w:eastAsia="Arial" w:hAnsi="Arial"/>
          <w:b w:val="false"/>
          <w:bCs w:val="false"/>
          <w:i w:val="false"/>
          <w:iCs w:val="false"/>
          <w:color w:val="1A1A2E"/>
          <w:sz w:val="22"/>
          <w:szCs w:val="22"/>
        </w:rPr>
        <w:t xml:space="preserve">Zone E is directly operated by The Music Union 512 as a music industry coworking campus. Seven themed private suites (E1 Dark Room through E7 Pressroom, $2,000–$2,800/mo each) plus open-plan hot desks ($350/mo) and dedicated desks ($650/mo). Year 1 occupancy target: 60% private suites / 50% open plan. Tenants are photographers, videographers, booking agents, publicists, merch designers, label staff, and other music industry professioerating ~$99,000/yr. JAR Real Estate actively leases and manages this zone. Co-tenants will be curated for creative-adjacency: music equipment distributors, AV companies, label offices, entertainment law, or artist management. Note: the ~2,300 SF southeast corner has been reallocated from Zone E to the new Zone G gear storage hub.</w:t>
      </w:r>
    </w:p>
    <w:p>
      <w:pPr>
        <w:spacing w:before="180" w:after="80"/>
      </w:pPr>
      <w:r>
        <w:rPr>
          <w:rFonts w:ascii="Arial" w:cs="Arial" w:eastAsia="Arial" w:hAnsi="Arial"/>
          <w:b/>
          <w:bCs/>
          <w:color w:val="1B2A4A"/>
          <w:sz w:val="24"/>
          <w:szCs w:val="24"/>
        </w:rPr>
        <w:t xml:space="preserve">Zone F — Live Venue &amp; Bar</w:t>
      </w:r>
    </w:p>
    <w:p>
      <w:pPr>
        <w:spacing w:before="80" w:after="80" w:line="276"/>
        <w:jc w:val="left"/>
      </w:pPr>
      <w:r>
        <w:rPr>
          <w:rFonts w:ascii="Arial" w:cs="Arial" w:eastAsia="Arial" w:hAnsi="Arial"/>
          <w:b w:val="false"/>
          <w:bCs w:val="false"/>
          <w:i w:val="false"/>
          <w:iCs w:val="false"/>
          <w:color w:val="1A1A2E"/>
          <w:sz w:val="22"/>
          <w:szCs w:val="22"/>
        </w:rPr>
        <w:t xml:space="preserve">The venue model assumes:</w:t>
      </w:r>
    </w:p>
    <w:p>
      <w:pPr>
        <w:pStyle w:val="ListParagraph"/>
        <w:numPr>
          <w:ilvl w:val="0"/>
          <w:numId w:val="2"/>
        </w:numPr>
        <w:spacing w:before="60" w:after="60" w:line="276"/>
      </w:pPr>
      <w:r>
        <w:rPr>
          <w:rFonts w:ascii="Arial" w:cs="Arial" w:eastAsia="Arial" w:hAnsi="Arial"/>
          <w:color w:val="1A1A2E"/>
          <w:sz w:val="22"/>
          <w:szCs w:val="22"/>
        </w:rPr>
        <w:t xml:space="preserve">160 ticketed shows/yr (base case Yr1), ramping to 260/yr by Year 7</w:t>
      </w:r>
    </w:p>
    <w:p>
      <w:pPr>
        <w:pStyle w:val="ListParagraph"/>
        <w:numPr>
          <w:ilvl w:val="0"/>
          <w:numId w:val="2"/>
        </w:numPr>
        <w:spacing w:before="60" w:after="60" w:line="276"/>
      </w:pPr>
      <w:r>
        <w:rPr>
          <w:rFonts w:ascii="Arial" w:cs="Arial" w:eastAsia="Arial" w:hAnsi="Arial"/>
          <w:color w:val="1A1A2E"/>
          <w:sz w:val="22"/>
          <w:szCs w:val="22"/>
        </w:rPr>
        <w:t xml:space="preserve">Average ticket net revenue: $1,500/show (base Yr1), growing to $2,100 by Year 7</w:t>
      </w:r>
    </w:p>
    <w:p>
      <w:pPr>
        <w:pStyle w:val="ListParagraph"/>
        <w:numPr>
          <w:ilvl w:val="0"/>
          <w:numId w:val="2"/>
        </w:numPr>
        <w:spacing w:before="60" w:after="60" w:line="276"/>
      </w:pPr>
      <w:r>
        <w:rPr>
          <w:rFonts w:ascii="Arial" w:cs="Arial" w:eastAsia="Arial" w:hAnsi="Arial"/>
          <w:color w:val="1A1A2E"/>
          <w:sz w:val="22"/>
          <w:szCs w:val="22"/>
        </w:rPr>
        <w:t xml:space="preserve">Bar revenue: $2,200/show average (base Yr1), growing to $2,900 by Year 7</w:t>
      </w:r>
    </w:p>
    <w:p>
      <w:pPr>
        <w:pStyle w:val="ListParagraph"/>
        <w:numPr>
          <w:ilvl w:val="0"/>
          <w:numId w:val="2"/>
        </w:numPr>
        <w:spacing w:before="60" w:after="60" w:line="276"/>
      </w:pPr>
      <w:r>
        <w:rPr>
          <w:rFonts w:ascii="Arial" w:cs="Arial" w:eastAsia="Arial" w:hAnsi="Arial"/>
          <w:color w:val="1A1A2E"/>
          <w:sz w:val="22"/>
          <w:szCs w:val="22"/>
        </w:rPr>
        <w:t xml:space="preserve">Private buyouts: 12–28 events/yr at ~$3,000–$3,400/event</w:t>
      </w:r>
    </w:p>
    <w:p>
      <w:pPr>
        <w:pStyle w:val="ListParagraph"/>
        <w:numPr>
          <w:ilvl w:val="0"/>
          <w:numId w:val="2"/>
        </w:numPr>
        <w:spacing w:before="60" w:after="60" w:line="276"/>
      </w:pPr>
      <w:r>
        <w:rPr>
          <w:rFonts w:ascii="Arial" w:cs="Arial" w:eastAsia="Arial" w:hAnsi="Arial"/>
          <w:color w:val="1A1A2E"/>
          <w:sz w:val="22"/>
          <w:szCs w:val="22"/>
        </w:rPr>
        <w:t xml:space="preserve">Total base case Yr1 venue + bar revenue: ~$628,000; Year 7: ~$1,495,000</w:t>
      </w:r>
    </w:p>
    <w:p>
      <w:pPr>
        <w:spacing w:before="80" w:after="80" w:line="276"/>
        <w:jc w:val="left"/>
      </w:pPr>
      <w:r>
        <w:rPr>
          <w:rFonts w:ascii="Arial" w:cs="Arial" w:eastAsia="Arial" w:hAnsi="Arial"/>
          <w:b w:val="false"/>
          <w:bCs w:val="false"/>
          <w:i w:val="false"/>
          <w:iCs w:val="false"/>
          <w:color w:val="1A1A2E"/>
          <w:sz w:val="22"/>
          <w:szCs w:val="22"/>
        </w:rPr>
        <w:t xml:space="preserve">Bar margin is estimated at 65–70% on beverage sales. Jeff Munn's Austin network enables above-average show counts from Day 1. Events include SMC-promoted shows, third-party promoter partnerships (50/50 door deals), and private events. TABC permitting and bar buildout are priority items given lead time.</w:t>
      </w:r>
    </w:p>
    <w:p>
      <w:pPr>
        <w:pStyle w:val="Heading2"/>
        <w:spacing w:before="260" w:after="100"/>
      </w:pPr>
      <w:r>
        <w:rPr>
          <w:rFonts w:ascii="Arial" w:cs="Arial" w:eastAsia="Arial" w:hAnsi="Arial"/>
          <w:b/>
          <w:bCs/>
          <w:color w:val="1B2A4A"/>
          <w:sz w:val="28"/>
          <w:szCs w:val="28"/>
        </w:rPr>
        <w:t xml:space="preserve">Seven-Year P&amp;L Summary (Base Case — Team-Adjusted Model)</w:t>
      </w:r>
    </w:p>
    <w:tbl>
      <w:tblPr>
        <w:tblW w:w="9360" w:type="dxa"/>
        <w:tblBorders>
          <w:top w:val="single" w:sz="4" w:color="D4C9A8"/>
          <w:left w:val="single" w:sz="4" w:color="D4C9A8"/>
          <w:bottom w:val="single" w:sz="4" w:color="D4C9A8"/>
          <w:right w:val="single" w:sz="4" w:color="D4C9A8"/>
          <w:insideH w:val="single" w:sz="2" w:color="E8E0D0"/>
          <w:insideV w:val="single" w:sz="2" w:color="E8E0D0"/>
        </w:tblBorders>
        <w:tblLook w:val="0000"/>
      </w:tblPr>
      <w:tblGrid>
        <w:gridCol w:w="2000"/>
        <w:gridCol w:w="1040"/>
        <w:gridCol w:w="1040"/>
        <w:gridCol w:w="1040"/>
        <w:gridCol w:w="1040"/>
        <w:gridCol w:w="1040"/>
        <w:gridCol w:w="1040"/>
        <w:gridCol w:w="1040"/>
      </w:tblGrid>
      <w:tr>
        <w:tc>
          <w:tcPr>
            <w:tcW w:w="2000" w:type="dxa"/>
            <w:shd w:val="clear" w:color="auto" w:fill="1C0C04"/>
            <w:tcMar>
              <w:top w:w="60" w:type="dxa"/>
              <w:bottom w:w="60" w:type="dxa"/>
              <w:left w:w="100" w:type="dxa"/>
              <w:right w:w="100" w:type="dxa"/>
            </w:tcMar>
          </w:tcPr>
          <w:p>
            <w:pPr>
              <w:jc w:val="center"/>
            </w:pPr>
            <w:r>
              <w:rPr>
                <w:rFonts w:ascii="Arial" w:cs="Arial"/>
                <w:sz w:val="20"/>
                <w:szCs w:val="20"/>
                <w:color w:val="FFFFFF"/>
                <w:b/>
              </w:rPr>
              <w:t xml:space="preserve"/>
            </w:r>
          </w:p>
        </w:tc>
        <w:tc>
          <w:tcPr>
            <w:tcW w:w="1040" w:type="dxa"/>
            <w:shd w:val="clear" w:color="auto" w:fill="1C0C04"/>
            <w:tcMar>
              <w:top w:w="60" w:type="dxa"/>
              <w:bottom w:w="60" w:type="dxa"/>
              <w:left w:w="100" w:type="dxa"/>
              <w:right w:w="100" w:type="dxa"/>
            </w:tcMar>
          </w:tcPr>
          <w:p>
            <w:pPr>
              <w:jc w:val="center"/>
            </w:pPr>
            <w:r>
              <w:rPr>
                <w:rFonts w:ascii="Arial" w:cs="Arial"/>
                <w:sz w:val="20"/>
                <w:szCs w:val="20"/>
                <w:color w:val="FFFFFF"/>
                <w:b/>
              </w:rPr>
              <w:t xml:space="preserve">Y1 2027</w:t>
            </w:r>
          </w:p>
        </w:tc>
        <w:tc>
          <w:tcPr>
            <w:tcW w:w="1040" w:type="dxa"/>
            <w:shd w:val="clear" w:color="auto" w:fill="1C0C04"/>
            <w:tcMar>
              <w:top w:w="60" w:type="dxa"/>
              <w:bottom w:w="60" w:type="dxa"/>
              <w:left w:w="100" w:type="dxa"/>
              <w:right w:w="100" w:type="dxa"/>
            </w:tcMar>
          </w:tcPr>
          <w:p>
            <w:pPr>
              <w:jc w:val="center"/>
            </w:pPr>
            <w:r>
              <w:rPr>
                <w:rFonts w:ascii="Arial" w:cs="Arial"/>
                <w:sz w:val="20"/>
                <w:szCs w:val="20"/>
                <w:color w:val="FFFFFF"/>
                <w:b/>
              </w:rPr>
              <w:t xml:space="preserve">Y2 2028</w:t>
            </w:r>
          </w:p>
        </w:tc>
        <w:tc>
          <w:tcPr>
            <w:tcW w:w="1040" w:type="dxa"/>
            <w:shd w:val="clear" w:color="auto" w:fill="1C0C04"/>
            <w:tcMar>
              <w:top w:w="60" w:type="dxa"/>
              <w:bottom w:w="60" w:type="dxa"/>
              <w:left w:w="100" w:type="dxa"/>
              <w:right w:w="100" w:type="dxa"/>
            </w:tcMar>
          </w:tcPr>
          <w:p>
            <w:pPr>
              <w:jc w:val="center"/>
            </w:pPr>
            <w:r>
              <w:rPr>
                <w:rFonts w:ascii="Arial" w:cs="Arial"/>
                <w:sz w:val="20"/>
                <w:szCs w:val="20"/>
                <w:color w:val="FFFFFF"/>
                <w:b/>
              </w:rPr>
              <w:t xml:space="preserve">Y3 2029</w:t>
            </w:r>
          </w:p>
        </w:tc>
        <w:tc>
          <w:tcPr>
            <w:tcW w:w="1040" w:type="dxa"/>
            <w:shd w:val="clear" w:color="auto" w:fill="1C0C04"/>
            <w:tcMar>
              <w:top w:w="60" w:type="dxa"/>
              <w:bottom w:w="60" w:type="dxa"/>
              <w:left w:w="100" w:type="dxa"/>
              <w:right w:w="100" w:type="dxa"/>
            </w:tcMar>
          </w:tcPr>
          <w:p>
            <w:pPr>
              <w:jc w:val="center"/>
            </w:pPr>
            <w:r>
              <w:rPr>
                <w:rFonts w:ascii="Arial" w:cs="Arial"/>
                <w:sz w:val="20"/>
                <w:szCs w:val="20"/>
                <w:color w:val="FFFFFF"/>
                <w:b/>
              </w:rPr>
              <w:t xml:space="preserve">Y4 2030</w:t>
            </w:r>
          </w:p>
        </w:tc>
        <w:tc>
          <w:tcPr>
            <w:tcW w:w="1040" w:type="dxa"/>
            <w:shd w:val="clear" w:color="auto" w:fill="1C0C04"/>
            <w:tcMar>
              <w:top w:w="60" w:type="dxa"/>
              <w:bottom w:w="60" w:type="dxa"/>
              <w:left w:w="100" w:type="dxa"/>
              <w:right w:w="100" w:type="dxa"/>
            </w:tcMar>
          </w:tcPr>
          <w:p>
            <w:pPr>
              <w:jc w:val="center"/>
            </w:pPr>
            <w:r>
              <w:rPr>
                <w:rFonts w:ascii="Arial" w:cs="Arial"/>
                <w:sz w:val="20"/>
                <w:szCs w:val="20"/>
                <w:color w:val="FFFFFF"/>
                <w:b/>
              </w:rPr>
              <w:t xml:space="preserve">Y5 2031</w:t>
            </w:r>
          </w:p>
        </w:tc>
        <w:tc>
          <w:tcPr>
            <w:tcW w:w="1040" w:type="dxa"/>
            <w:shd w:val="clear" w:color="auto" w:fill="1C0C04"/>
            <w:tcMar>
              <w:top w:w="60" w:type="dxa"/>
              <w:bottom w:w="60" w:type="dxa"/>
              <w:left w:w="100" w:type="dxa"/>
              <w:right w:w="100" w:type="dxa"/>
            </w:tcMar>
          </w:tcPr>
          <w:p>
            <w:pPr>
              <w:jc w:val="center"/>
            </w:pPr>
            <w:r>
              <w:rPr>
                <w:rFonts w:ascii="Arial" w:cs="Arial"/>
                <w:sz w:val="20"/>
                <w:szCs w:val="20"/>
                <w:color w:val="FFFFFF"/>
                <w:b/>
              </w:rPr>
              <w:t xml:space="preserve">Y6 2032</w:t>
            </w:r>
          </w:p>
        </w:tc>
        <w:tc>
          <w:tcPr>
            <w:tcW w:w="1040" w:type="dxa"/>
            <w:shd w:val="clear" w:color="auto" w:fill="1C0C04"/>
            <w:tcMar>
              <w:top w:w="60" w:type="dxa"/>
              <w:bottom w:w="60" w:type="dxa"/>
              <w:left w:w="100" w:type="dxa"/>
              <w:right w:w="100" w:type="dxa"/>
            </w:tcMar>
          </w:tcPr>
          <w:p>
            <w:pPr>
              <w:jc w:val="center"/>
            </w:pPr>
            <w:r>
              <w:rPr>
                <w:rFonts w:ascii="Arial" w:cs="Arial"/>
                <w:sz w:val="20"/>
                <w:szCs w:val="20"/>
                <w:color w:val="FFFFFF"/>
                <w:b/>
              </w:rPr>
              <w:t xml:space="preserve">Y7 2033</w:t>
            </w:r>
          </w:p>
        </w:tc>
      </w:tr>
      <w:tr>
        <w:tc>
          <w:tcPr>
            <w:gridSpan w:val="8"/>
            <w:shd w:val="clear" w:color="auto" w:fill="1B2A4A"/>
            <w:tcMar>
              <w:top w:w="60" w:type="dxa"/>
              <w:bottom w:w="60" w:type="dxa"/>
              <w:left w:w="100" w:type="dxa"/>
              <w:right w:w="100" w:type="dxa"/>
            </w:tcMar>
          </w:tcPr>
          <w:p>
            <w:pPr>
              <w:jc w:val="left"/>
            </w:pPr>
            <w:r>
              <w:rPr>
                <w:rFonts w:ascii="Arial" w:cs="Arial"/>
                <w:sz w:val="20"/>
                <w:szCs w:val="20"/>
                <w:color w:val="FFFFFF"/>
                <w:b/>
              </w:rPr>
              <w:t xml:space="preserve">REVENUE</w:t>
            </w:r>
          </w:p>
        </w:tc>
      </w:tr>
      <w:tr>
        <w:tc>
          <w:tcPr>
            <w:tcW w:w="2000" w:type="dxa"/>
            <w:shd w:val="clear" w:color="auto" w:fill="FFFFFF"/>
            <w:tcMar>
              <w:top w:w="60" w:type="dxa"/>
              <w:bottom w:w="60" w:type="dxa"/>
              <w:left w:w="100" w:type="dxa"/>
              <w:right w:w="100" w:type="dxa"/>
            </w:tcMar>
          </w:tcPr>
          <w:p>
            <w:pPr>
              <w:jc w:val="left"/>
            </w:pPr>
            <w:r>
              <w:rPr>
                <w:rFonts w:ascii="Arial" w:cs="Arial"/>
                <w:sz w:val="20"/>
                <w:szCs w:val="20"/>
                <w:color w:val="333333"/>
              </w:rPr>
              <w:t xml:space="preserve">Zone A — Rehearsal (25 rooms)</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$876,000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$1,372,000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$1,814,000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$1,869,000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$1,925,000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$1,982,000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$2,042,000</w:t>
            </w:r>
          </w:p>
        </w:tc>
      </w:tr>
      <w:tr>
        <w:tc>
          <w:tcPr>
            <w:tcW w:w="2000" w:type="dxa"/>
            <w:shd w:val="clear" w:color="auto" w:fill="FDF8F0"/>
            <w:tcMar>
              <w:top w:w="60" w:type="dxa"/>
              <w:bottom w:w="60" w:type="dxa"/>
              <w:left w:w="100" w:type="dxa"/>
              <w:right w:w="100" w:type="dxa"/>
            </w:tcMar>
          </w:tcPr>
          <w:p>
            <w:pPr>
              <w:jc w:val="left"/>
            </w:pPr>
            <w:r>
              <w:rPr>
                <w:rFonts w:ascii="Arial" w:cs="Arial"/>
                <w:sz w:val="20"/>
                <w:szCs w:val="20"/>
                <w:color w:val="333333"/>
              </w:rPr>
              <w:t xml:space="preserve">Zone B — Production (3 suites)</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$352,000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$505,000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$626,000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$658,000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$691,000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$726,000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$762,000</w:t>
            </w:r>
          </w:p>
        </w:tc>
      </w:tr>
      <w:tr>
        <w:tc>
          <w:tcPr>
            <w:tcW w:w="2000" w:type="dxa"/>
            <w:shd w:val="clear" w:color="auto" w:fill="FFFFFF"/>
            <w:tcMar>
              <w:top w:w="60" w:type="dxa"/>
              <w:bottom w:w="60" w:type="dxa"/>
              <w:left w:w="100" w:type="dxa"/>
              <w:right w:w="100" w:type="dxa"/>
            </w:tcMar>
          </w:tcPr>
          <w:p>
            <w:pPr>
              <w:jc w:val="left"/>
            </w:pPr>
            <w:r>
              <w:rPr>
                <w:rFonts w:ascii="Arial" w:cs="Arial"/>
                <w:sz w:val="20"/>
                <w:szCs w:val="20"/>
                <w:color w:val="333333"/>
              </w:rPr>
              <w:t xml:space="preserve">Zone C — Creator (5 studios)</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$175,000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$275,000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$329,000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$342,000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$355,000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$369,000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$381,000</w:t>
            </w:r>
          </w:p>
        </w:tc>
      </w:tr>
      <w:tr>
        <w:tc>
          <w:tcPr>
            <w:tcW w:w="2000" w:type="dxa"/>
            <w:shd w:val="clear" w:color="auto" w:fill="FDF8F0"/>
            <w:tcMar>
              <w:top w:w="60" w:type="dxa"/>
              <w:bottom w:w="60" w:type="dxa"/>
              <w:left w:w="100" w:type="dxa"/>
              <w:right w:w="100" w:type="dxa"/>
            </w:tcMar>
          </w:tcPr>
          <w:p>
            <w:pPr>
              <w:jc w:val="left"/>
            </w:pPr>
            <w:r>
              <w:rPr>
                <w:rFonts w:ascii="Arial" w:cs="Arial"/>
                <w:sz w:val="20"/>
                <w:szCs w:val="20"/>
                <w:color w:val="333333"/>
              </w:rPr>
              <w:t xml:space="preserve">Zone D — Coffee / Bar / Stage</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$82,500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$84,150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$85,833</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$87,550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$89,301</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$91,087</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$92,909</w:t>
            </w:r>
          </w:p>
        </w:tc>
      </w:tr>
      <w:tr>
        <w:tc>
          <w:tcPr>
            <w:tcW w:w="2000" w:type="dxa"/>
            <w:shd w:val="clear" w:color="auto" w:fill="FFFFFF"/>
            <w:tcMar>
              <w:top w:w="60" w:type="dxa"/>
              <w:bottom w:w="60" w:type="dxa"/>
              <w:left w:w="100" w:type="dxa"/>
              <w:right w:w="100" w:type="dxa"/>
            </w:tcMar>
          </w:tcPr>
          <w:p>
            <w:pPr>
              <w:jc w:val="left"/>
            </w:pPr>
            <w:r>
              <w:rPr>
                <w:rFonts w:ascii="Arial" w:cs="Arial"/>
                <w:sz w:val="20"/>
                <w:szCs w:val="20"/>
                <w:color w:val="333333"/>
              </w:rPr>
              <w:t xml:space="preserve">Zone E — Coworking (Direct Op.)</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$192,000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$261,000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$304,000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$316,000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$329,000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$342,000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$356,000</w:t>
            </w:r>
          </w:p>
        </w:tc>
      </w:tr>
      <w:tr>
        <w:tc>
          <w:tcPr>
            <w:tcW w:w="2000" w:type="dxa"/>
            <w:shd w:val="clear" w:color="auto" w:fill="FDF8F0"/>
            <w:tcMar>
              <w:top w:w="60" w:type="dxa"/>
              <w:bottom w:w="60" w:type="dxa"/>
              <w:left w:w="100" w:type="dxa"/>
              <w:right w:w="100" w:type="dxa"/>
            </w:tcMar>
          </w:tcPr>
          <w:p>
            <w:pPr>
              <w:jc w:val="left"/>
            </w:pPr>
            <w:r>
              <w:rPr>
                <w:rFonts w:ascii="Arial" w:cs="Arial"/>
                <w:sz w:val="20"/>
                <w:szCs w:val="20"/>
                <w:color w:val="333333"/>
              </w:rPr>
              <w:t xml:space="preserve">Zone F — Venue &amp; Bar</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$369,000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$573,000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$769,000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$847,000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$932,000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$1,026,000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$1,082,000</w:t>
            </w:r>
          </w:p>
        </w:tc>
      </w:tr>
      <w:tr>
        <w:tc>
          <w:tcPr>
            <w:tcW w:w="2000" w:type="dxa"/>
            <w:shd w:val="clear" w:color="auto" w:fill="FFFFFF"/>
            <w:tcMar>
              <w:top w:w="60" w:type="dxa"/>
              <w:bottom w:w="60" w:type="dxa"/>
              <w:left w:w="100" w:type="dxa"/>
              <w:right w:w="100" w:type="dxa"/>
            </w:tcMar>
          </w:tcPr>
          <w:p>
            <w:pPr>
              <w:jc w:val="left"/>
            </w:pPr>
            <w:r>
              <w:rPr>
                <w:rFonts w:ascii="Arial" w:cs="Arial"/>
                <w:sz w:val="20"/>
                <w:szCs w:val="20"/>
                <w:color w:val="333333"/>
              </w:rPr>
              <w:t xml:space="preserve">Zone G — Union Locker</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$33,600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$38,400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$43,200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$46,800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$50,400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$52,800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$55,200</w:t>
            </w:r>
          </w:p>
        </w:tc>
      </w:tr>
      <w:tr>
        <w:tc>
          <w:tcPr>
            <w:tcW w:w="2000" w:type="dxa"/>
            <w:shd w:val="clear" w:color="auto" w:fill="FDF8F0"/>
            <w:tcMar>
              <w:top w:w="60" w:type="dxa"/>
              <w:bottom w:w="60" w:type="dxa"/>
              <w:left w:w="100" w:type="dxa"/>
              <w:right w:w="100" w:type="dxa"/>
            </w:tcMar>
          </w:tcPr>
          <w:p>
            <w:pPr>
              <w:jc w:val="left"/>
            </w:pPr>
            <w:r>
              <w:rPr>
                <w:rFonts w:ascii="Arial" w:cs="Arial"/>
                <w:sz w:val="20"/>
                <w:szCs w:val="20"/>
                <w:color w:val="333333"/>
              </w:rPr>
              <w:t xml:space="preserve">Gear Rental &amp; Accessories</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$36,000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$45,000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$54,000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$62,000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$68,000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$72,000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$76,000</w:t>
            </w:r>
          </w:p>
        </w:tc>
      </w:tr>
      <w:tr>
        <w:tc>
          <w:tcPr>
            <w:tcW w:w="2000" w:type="dxa"/>
            <w:shd w:val="clear" w:color="auto" w:fill="FFFFFF"/>
            <w:tcMar>
              <w:top w:w="60" w:type="dxa"/>
              <w:bottom w:w="60" w:type="dxa"/>
              <w:left w:w="100" w:type="dxa"/>
              <w:right w:w="100" w:type="dxa"/>
            </w:tcMar>
          </w:tcPr>
          <w:p>
            <w:pPr>
              <w:jc w:val="left"/>
            </w:pPr>
            <w:r>
              <w:rPr>
                <w:rFonts w:ascii="Arial" w:cs="Arial"/>
                <w:sz w:val="20"/>
                <w:szCs w:val="20"/>
                <w:color w:val="333333"/>
              </w:rPr>
              <w:t xml:space="preserve">Membership — Union Card</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$95,000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$148,000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$229,000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$270,000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$324,000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$356,000</w:t>
            </w:r>
          </w:p>
        </w:tc>
        <w:tc>
          <w:tcPr>
            <w:shd w:val="clear" w:color="auto" w:fill="FFFFFF"/>
            <w:tcMar>
              <w:top w:w="60" w:type="dxa"/>
              <w:bottom w:w="60" w:type="dxa"/>
              <w:left w:w="100" w:type="dxa"/>
              <w:right w:w="100" w:type="dxa"/>
            </w:tcMar>
          </w:tcPr>
          <w:p>
            <w:pPr>
              <w:jc w:val="right"/>
            </w:pPr>
            <w:r>
              <w:rPr>
                <w:rFonts w:ascii="Arial" w:cs="Arial"/>
                <w:sz w:val="20"/>
                <w:szCs w:val="20"/>
                <w:color w:val="333333"/>
              </w:rPr>
              <w:t xml:space="preserve">$380,000</w:t>
            </w:r>
          </w:p>
        </w:tc>
      </w:tr>
      <w:tr>
        <w:tc>
          <w:tcPr>
            <w:tcW w:w="2000" w:type="dxa"/>
            <w:shd w:val="clear" w:color="auto" w:fill="FDF8F0"/>
            <w:tcMar>
              <w:top w:w="60" w:type="dxa"/>
              <w:bottom w:w="60" w:type="dxa"/>
              <w:left w:w="100" w:type="dxa"/>
              <w:right w:w="100" w:type="dxa"/>
            </w:tcMar>
          </w:tcPr>
          <w:p>
            <w:pPr>
              <w:jc w:val="left"/>
            </w:pPr>
            <w:r>
              <w:rPr>
                <w:rFonts w:ascii="Arial" w:cs="Arial"/>
                <w:sz w:val="20"/>
                <w:szCs w:val="20"/>
                <w:color w:val="333333"/>
              </w:rPr>
              <w:t xml:space="preserve">Events / Private / Misc</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$24,000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$36,000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$54,000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$62,100</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$71,415</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$82,127</w:t>
            </w:r>
          </w:p>
        </w:tc>
        <w:tc>
          <w:tcPr>
            <w:shd w:val="clear" w:color="auto" w:fill="FDF8F0"/>
            <w:tcMar>
              <w:top w:w="60" w:type="dxa"/>
              <w:bottom w:w="60" w:type="dxa"/>
              <w:left w:w="100" w:type="dxa"/>
              <w:right w:w="100" w:type="dxa"/>
            </w:tcMar>
          </w:tcPr>
          <w:p>
            <w:pPr>
              <w:jc w:val="right"/>
            </w:pPr>
            <w:r>
              <w:rPr>
                <w:rFonts w:ascii="Arial" w:cs="Arial"/>
                <w:sz w:val="20"/>
                <w:szCs w:val="20"/>
                <w:color w:val="333333"/>
              </w:rPr>
              <w:t xml:space="preserve">$94,446</w:t>
            </w:r>
          </w:p>
        </w:tc>
      </w:tr>
      <w:tr>
        <w:tc>
          <w:tcPr>
            <w:tcW w:w="2000" w:type="dxa"/>
            <w:shd w:val="clear" w:color="auto" w:fill="E8F0F8"/>
            <w:tcMar>
              <w:top w:w="60" w:type="dxa"/>
              <w:bottom w:w="60" w:type="dxa"/>
              <w:left w:w="100" w:type="dxa"/>
              <w:right w:w="100" w:type="dxa"/>
            </w:tcMar>
          </w:tcPr>
          <w:p>
            <w:pPr>
              <w:jc w:val="left"/>
            </w:pPr>
            <w:r>
              <w:rPr>
                <w:rFonts w:ascii="Arial" w:cs="Arial"/>
                <w:sz w:val="20"/>
                <w:szCs w:val="20"/>
                <w:color w:val="1B2A4A"/>
                <w:b/>
              </w:rPr>
              <w:t xml:space="preserve">TOTAL REVENUE</w:t>
            </w:r>
          </w:p>
        </w:tc>
        <w:tc>
          <w:tcPr>
            <w:shd w:val="clear" w:color="auto" w:fill="E8F0F8"/>
            <w:tcMar>
              <w:top w:w="60" w:type="dxa"/>
              <w:bottom w:w="60" w:type="dxa"/>
              <w:left w:w="100" w:type="dxa"/>
              <w:right w:w="100" w:type="dxa"/>
            </w:tcMar>
          </w:tcPr>
          <w:p>
            <w:pPr>
              <w:jc w:val="right"/>
            </w:pPr>
            <w:r>
              <w:rPr>
                <w:rFonts w:ascii="Arial" w:cs="Arial"/>
                <w:sz w:val="20"/>
                <w:szCs w:val="20"/>
                <w:color w:val="1B2A4A"/>
                <w:b/>
              </w:rPr>
              <w:t xml:space="preserve">$2,235,100</w:t>
            </w:r>
          </w:p>
        </w:tc>
        <w:tc>
          <w:tcPr>
            <w:shd w:val="clear" w:color="auto" w:fill="E8F0F8"/>
            <w:tcMar>
              <w:top w:w="60" w:type="dxa"/>
              <w:bottom w:w="60" w:type="dxa"/>
              <w:left w:w="100" w:type="dxa"/>
              <w:right w:w="100" w:type="dxa"/>
            </w:tcMar>
          </w:tcPr>
          <w:p>
            <w:pPr>
              <w:jc w:val="right"/>
            </w:pPr>
            <w:r>
              <w:rPr>
                <w:rFonts w:ascii="Arial" w:cs="Arial"/>
                <w:sz w:val="20"/>
                <w:szCs w:val="20"/>
                <w:color w:val="1B2A4A"/>
                <w:b/>
              </w:rPr>
              <w:t xml:space="preserve">$3,337,550</w:t>
            </w:r>
          </w:p>
        </w:tc>
        <w:tc>
          <w:tcPr>
            <w:shd w:val="clear" w:color="auto" w:fill="E8F0F8"/>
            <w:tcMar>
              <w:top w:w="60" w:type="dxa"/>
              <w:bottom w:w="60" w:type="dxa"/>
              <w:left w:w="100" w:type="dxa"/>
              <w:right w:w="100" w:type="dxa"/>
            </w:tcMar>
          </w:tcPr>
          <w:p>
            <w:pPr>
              <w:jc w:val="right"/>
            </w:pPr>
            <w:r>
              <w:rPr>
                <w:rFonts w:ascii="Arial" w:cs="Arial"/>
                <w:sz w:val="20"/>
                <w:szCs w:val="20"/>
                <w:color w:val="1B2A4A"/>
                <w:b/>
              </w:rPr>
              <w:t xml:space="preserve">$4,308,033</w:t>
            </w:r>
          </w:p>
        </w:tc>
        <w:tc>
          <w:tcPr>
            <w:shd w:val="clear" w:color="auto" w:fill="E8F0F8"/>
            <w:tcMar>
              <w:top w:w="60" w:type="dxa"/>
              <w:bottom w:w="60" w:type="dxa"/>
              <w:left w:w="100" w:type="dxa"/>
              <w:right w:w="100" w:type="dxa"/>
            </w:tcMar>
          </w:tcPr>
          <w:p>
            <w:pPr>
              <w:jc w:val="right"/>
            </w:pPr>
            <w:r>
              <w:rPr>
                <w:rFonts w:ascii="Arial" w:cs="Arial"/>
                <w:sz w:val="20"/>
                <w:szCs w:val="20"/>
                <w:color w:val="1B2A4A"/>
                <w:b/>
              </w:rPr>
              <w:t xml:space="preserve">$4,560,450</w:t>
            </w:r>
          </w:p>
        </w:tc>
        <w:tc>
          <w:tcPr>
            <w:shd w:val="clear" w:color="auto" w:fill="E8F0F8"/>
            <w:tcMar>
              <w:top w:w="60" w:type="dxa"/>
              <w:bottom w:w="60" w:type="dxa"/>
              <w:left w:w="100" w:type="dxa"/>
              <w:right w:w="100" w:type="dxa"/>
            </w:tcMar>
          </w:tcPr>
          <w:p>
            <w:pPr>
              <w:jc w:val="right"/>
            </w:pPr>
            <w:r>
              <w:rPr>
                <w:rFonts w:ascii="Arial" w:cs="Arial"/>
                <w:sz w:val="20"/>
                <w:szCs w:val="20"/>
                <w:color w:val="1B2A4A"/>
                <w:b/>
              </w:rPr>
              <w:t xml:space="preserve">$4,835,116</w:t>
            </w:r>
          </w:p>
        </w:tc>
        <w:tc>
          <w:tcPr>
            <w:shd w:val="clear" w:color="auto" w:fill="E8F0F8"/>
            <w:tcMar>
              <w:top w:w="60" w:type="dxa"/>
              <w:bottom w:w="60" w:type="dxa"/>
              <w:left w:w="100" w:type="dxa"/>
              <w:right w:w="100" w:type="dxa"/>
            </w:tcMar>
          </w:tcPr>
          <w:p>
            <w:pPr>
              <w:jc w:val="right"/>
            </w:pPr>
            <w:r>
              <w:rPr>
                <w:rFonts w:ascii="Arial" w:cs="Arial"/>
                <w:sz w:val="20"/>
                <w:szCs w:val="20"/>
                <w:color w:val="1B2A4A"/>
                <w:b/>
              </w:rPr>
              <w:t xml:space="preserve">$5,099,014</w:t>
            </w:r>
          </w:p>
        </w:tc>
        <w:tc>
          <w:tcPr>
            <w:shd w:val="clear" w:color="auto" w:fill="E8F0F8"/>
            <w:tcMar>
              <w:top w:w="60" w:type="dxa"/>
              <w:bottom w:w="60" w:type="dxa"/>
              <w:left w:w="100" w:type="dxa"/>
              <w:right w:w="100" w:type="dxa"/>
            </w:tcMar>
          </w:tcPr>
          <w:p>
            <w:pPr>
              <w:jc w:val="right"/>
            </w:pPr>
            <w:r>
              <w:rPr>
                <w:rFonts w:ascii="Arial" w:cs="Arial"/>
                <w:sz w:val="20"/>
                <w:szCs w:val="20"/>
                <w:color w:val="1B2A4A"/>
                <w:b/>
              </w:rPr>
              <w:t xml:space="preserve">$5,321,555</w:t>
            </w:r>
          </w:p>
        </w:tc>
      </w:tr>
      <w:tr>
        <w:tc>
          <w:tcPr>
            <w:gridSpan w:val="8"/>
            <w:shd w:val="clear" w:color="auto" w:fill="1B2A4A"/>
            <w:tcMar>
              <w:top w:w="60" w:type="dxa"/>
              <w:bottom w:w="60" w:type="dxa"/>
              <w:left w:w="100" w:type="dxa"/>
              <w:right w:w="100" w:type="dxa"/>
            </w:tcMar>
          </w:tcPr>
          <w:p>
            <w:pPr>
              <w:jc w:val="left"/>
            </w:pPr>
            <w:r>
              <w:rPr>
                <w:rFonts w:ascii="Arial" w:cs="Arial"/>
                <w:sz w:val="20"/>
                <w:szCs w:val="20"/>
                <w:color w:val="FFFFFF"/>
                <w:b/>
              </w:rPr>
              <w:t xml:space="preserve">OPERATING EXPENSES (incl. Zone F COGS, payroll, utilities, tax, ins., maintenance, marketing)</w:t>
            </w:r>
          </w:p>
        </w:tc>
      </w:tr>
      <w:tr>
        <w:tc>
          <w:tcPr>
            <w:tcW w:w="2000" w:type="dxa"/>
            <w:shd w:val="clear" w:color="auto" w:fill="FDF8F0"/>
            <w:tcMar>
              <w:top w:w="60" w:type="dxa"/>
              <w:bottom w:w="60" w:type="dxa"/>
              <w:left w:w="100" w:type="dxa"/>
              <w:right w:w="100" w:type="dxa"/>
            </w:tcMar>
          </w:tcPr>
          <w:p>
            <w:pPr>
              <w:jc w:val="left"/>
            </w:pPr>
            <w:r>
              <w:rPr>
                <w:rFonts w:ascii="Arial" w:cs="Arial"/>
                <w:sz w:val="20"/>
                <w:szCs w:val="20"/>
                <w:color w:val="333333"/>
              </w:rPr>
              <w:t xml:space="preserve">Total Operating Expenses</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($1,020,100)</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($1,093,550)</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($1,175,033)</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($1,200,450)</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($1,242,116)</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($1,329,014)</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($1,383,555)</w:t>
            </w:r>
          </w:p>
        </w:tc>
      </w:tr>
      <w:tr>
        <w:tc>
          <w:tcPr>
            <w:tcW w:w="2000" w:type="dxa"/>
            <w:shd w:val="clear" w:color="auto" w:fill="FDF8F0"/>
            <w:tcMar>
              <w:top w:w="60" w:type="dxa"/>
              <w:bottom w:w="60" w:type="dxa"/>
              <w:left w:w="100" w:type="dxa"/>
              <w:right w:w="100" w:type="dxa"/>
            </w:tcMar>
          </w:tcPr>
          <w:p>
            <w:pPr>
              <w:jc w:val="left"/>
            </w:pPr>
            <w:r>
              <w:rPr>
                <w:rFonts w:ascii="Arial" w:cs="Arial"/>
                <w:sz w:val="20"/>
                <w:szCs w:val="20"/>
                <w:color w:val="888888"/>
              </w:rPr>
              <w:t xml:space="preserve">Opex Note</w:t>
            </w:r>
          </w:p>
        </w:tc>
        <w:tc>
          <w:tcPr>
            <w:shd w:val="clear" w:color="auto" w:fill="FDF8F0"/>
            <w:tcMar>
              <w:top w:w="60" w:type="dxa"/>
              <w:bottom w:w="60" w:type="dxa"/>
              <w:left w:w="100" w:type="dxa"/>
              <w:right w:w="100" w:type="dxa"/>
            </w:tcMar>
          </w:tcPr>
          <w:p>
            <w:pPr>
              <w:jc w:val="right"/>
            </w:pPr>
            <w:r>
              <w:rPr>
                <w:rFonts w:ascii="Arial" w:cs="Arial"/>
                <w:sz w:val="20"/>
                <w:szCs w:val="20"/>
                <w:color w:val="888888"/>
              </w:rPr>
              <w:t xml:space="preserve">Zone F bar COGS (30% of gross), payroll, utilities, property tax, insurance, R&amp;M, marketing, tech, admin</w:t>
            </w:r>
          </w:p>
        </w:tc>
        <w:tc>
          <w:tcPr>
            <w:shd w:val="clear" w:color="auto" w:fill="FDF8F0"/>
            <w:tcMar>
              <w:top w:w="60" w:type="dxa"/>
              <w:bottom w:w="60" w:type="dxa"/>
              <w:left w:w="100" w:type="dxa"/>
              <w:right w:w="100" w:type="dxa"/>
            </w:tcMar>
          </w:tcPr>
          <w:p>
            <w:pPr>
              <w:jc w:val="right"/>
            </w:pPr>
            <w:r>
              <w:rPr>
                <w:rFonts w:ascii="Arial" w:cs="Arial"/>
                <w:sz w:val="20"/>
                <w:szCs w:val="20"/>
                <w:color w:val="888888"/>
              </w:rPr>
              <w:t xml:space="preserve"/>
            </w:r>
          </w:p>
        </w:tc>
        <w:tc>
          <w:tcPr>
            <w:shd w:val="clear" w:color="auto" w:fill="FDF8F0"/>
            <w:tcMar>
              <w:top w:w="60" w:type="dxa"/>
              <w:bottom w:w="60" w:type="dxa"/>
              <w:left w:w="100" w:type="dxa"/>
              <w:right w:w="100" w:type="dxa"/>
            </w:tcMar>
          </w:tcPr>
          <w:p>
            <w:pPr>
              <w:jc w:val="right"/>
            </w:pPr>
            <w:r>
              <w:rPr>
                <w:rFonts w:ascii="Arial" w:cs="Arial"/>
                <w:sz w:val="20"/>
                <w:szCs w:val="20"/>
                <w:color w:val="888888"/>
              </w:rPr>
              <w:t xml:space="preserve"/>
            </w:r>
          </w:p>
        </w:tc>
        <w:tc>
          <w:tcPr>
            <w:shd w:val="clear" w:color="auto" w:fill="FDF8F0"/>
            <w:tcMar>
              <w:top w:w="60" w:type="dxa"/>
              <w:bottom w:w="60" w:type="dxa"/>
              <w:left w:w="100" w:type="dxa"/>
              <w:right w:w="100" w:type="dxa"/>
            </w:tcMar>
          </w:tcPr>
          <w:p>
            <w:pPr>
              <w:jc w:val="right"/>
            </w:pPr>
            <w:r>
              <w:rPr>
                <w:rFonts w:ascii="Arial" w:cs="Arial"/>
                <w:sz w:val="20"/>
                <w:szCs w:val="20"/>
                <w:color w:val="888888"/>
              </w:rPr>
              <w:t xml:space="preserve"/>
            </w:r>
          </w:p>
        </w:tc>
        <w:tc>
          <w:tcPr>
            <w:shd w:val="clear" w:color="auto" w:fill="FDF8F0"/>
            <w:tcMar>
              <w:top w:w="60" w:type="dxa"/>
              <w:bottom w:w="60" w:type="dxa"/>
              <w:left w:w="100" w:type="dxa"/>
              <w:right w:w="100" w:type="dxa"/>
            </w:tcMar>
          </w:tcPr>
          <w:p>
            <w:pPr>
              <w:jc w:val="right"/>
            </w:pPr>
            <w:r>
              <w:rPr>
                <w:rFonts w:ascii="Arial" w:cs="Arial"/>
                <w:sz w:val="20"/>
                <w:szCs w:val="20"/>
                <w:color w:val="888888"/>
              </w:rPr>
              <w:t xml:space="preserve"/>
            </w:r>
          </w:p>
        </w:tc>
        <w:tc>
          <w:tcPr>
            <w:shd w:val="clear" w:color="auto" w:fill="FDF8F0"/>
            <w:tcMar>
              <w:top w:w="60" w:type="dxa"/>
              <w:bottom w:w="60" w:type="dxa"/>
              <w:left w:w="100" w:type="dxa"/>
              <w:right w:w="100" w:type="dxa"/>
            </w:tcMar>
          </w:tcPr>
          <w:p>
            <w:pPr>
              <w:jc w:val="right"/>
            </w:pPr>
            <w:r>
              <w:rPr>
                <w:rFonts w:ascii="Arial" w:cs="Arial"/>
                <w:sz w:val="20"/>
                <w:szCs w:val="20"/>
                <w:color w:val="888888"/>
              </w:rPr>
              <w:t xml:space="preserve"/>
            </w:r>
          </w:p>
        </w:tc>
        <w:tc>
          <w:tcPr>
            <w:shd w:val="clear" w:color="auto" w:fill="FDF8F0"/>
            <w:tcMar>
              <w:top w:w="60" w:type="dxa"/>
              <w:bottom w:w="60" w:type="dxa"/>
              <w:left w:w="100" w:type="dxa"/>
              <w:right w:w="100" w:type="dxa"/>
            </w:tcMar>
          </w:tcPr>
          <w:p>
            <w:pPr>
              <w:jc w:val="right"/>
            </w:pPr>
            <w:r>
              <w:rPr>
                <w:rFonts w:ascii="Arial" w:cs="Arial"/>
                <w:sz w:val="20"/>
                <w:szCs w:val="20"/>
                <w:color w:val="888888"/>
              </w:rPr>
              <w:t xml:space="preserve"/>
            </w:r>
          </w:p>
        </w:tc>
      </w:tr>
      <w:tr>
        <w:tc>
          <w:tcPr>
            <w:gridSpan w:val="8"/>
            <w:shd w:val="clear" w:color="auto" w:fill="1B2A4A"/>
            <w:tcMar>
              <w:top w:w="60" w:type="dxa"/>
              <w:bottom w:w="60" w:type="dxa"/>
              <w:left w:w="100" w:type="dxa"/>
              <w:right w:w="100" w:type="dxa"/>
            </w:tcMar>
          </w:tcPr>
          <w:p>
            <w:pPr>
              <w:jc w:val="left"/>
            </w:pPr>
            <w:r>
              <w:rPr>
                <w:rFonts w:ascii="Arial" w:cs="Arial"/>
                <w:sz w:val="20"/>
                <w:szCs w:val="20"/>
                <w:color w:val="FFFFFF"/>
                <w:b/>
              </w:rPr>
              <w:t xml:space="preserve">NET OPERATING INCOME (EBITDA)</w:t>
            </w:r>
          </w:p>
        </w:tc>
      </w:tr>
      <w:tr>
        <w:tc>
          <w:tcPr>
            <w:tcW w:w="2000" w:type="dxa"/>
            <w:shd w:val="clear" w:color="auto" w:fill="1C0C04"/>
            <w:tcMar>
              <w:top w:w="60" w:type="dxa"/>
              <w:bottom w:w="60" w:type="dxa"/>
              <w:left w:w="100" w:type="dxa"/>
              <w:right w:w="100" w:type="dxa"/>
            </w:tcMar>
          </w:tcPr>
          <w:p>
            <w:pPr>
              <w:jc w:val="left"/>
            </w:pPr>
            <w:r>
              <w:rPr>
                <w:rFonts w:ascii="Arial" w:cs="Arial"/>
                <w:sz w:val="20"/>
                <w:szCs w:val="20"/>
                <w:color w:val="FFFFFF"/>
                <w:b/>
              </w:rPr>
              <w:t xml:space="preserve">NET OPERATING INCOME</w:t>
            </w:r>
          </w:p>
        </w:tc>
        <w:tc>
          <w:tcPr>
            <w:shd w:val="clear" w:color="auto" w:fill="1C0C04"/>
            <w:tcMar>
              <w:top w:w="60" w:type="dxa"/>
              <w:bottom w:w="60" w:type="dxa"/>
              <w:left w:w="100" w:type="dxa"/>
              <w:right w:w="100" w:type="dxa"/>
            </w:tcMar>
          </w:tcPr>
          <w:p>
            <w:pPr>
              <w:jc w:val="right"/>
            </w:pPr>
            <w:r>
              <w:rPr>
                <w:rFonts w:ascii="Arial" w:cs="Arial"/>
                <w:sz w:val="20"/>
                <w:szCs w:val="20"/>
                <w:color w:val="FFFFFF"/>
                <w:b/>
              </w:rPr>
              <w:t xml:space="preserve">$1,215,000</w:t>
            </w:r>
          </w:p>
        </w:tc>
        <w:tc>
          <w:tcPr>
            <w:shd w:val="clear" w:color="auto" w:fill="1C0C04"/>
            <w:tcMar>
              <w:top w:w="60" w:type="dxa"/>
              <w:bottom w:w="60" w:type="dxa"/>
              <w:left w:w="100" w:type="dxa"/>
              <w:right w:w="100" w:type="dxa"/>
            </w:tcMar>
          </w:tcPr>
          <w:p>
            <w:pPr>
              <w:jc w:val="right"/>
            </w:pPr>
            <w:r>
              <w:rPr>
                <w:rFonts w:ascii="Arial" w:cs="Arial"/>
                <w:sz w:val="20"/>
                <w:szCs w:val="20"/>
                <w:color w:val="FFFFFF"/>
                <w:b/>
              </w:rPr>
              <w:t xml:space="preserve">$2,244,000</w:t>
            </w:r>
          </w:p>
        </w:tc>
        <w:tc>
          <w:tcPr>
            <w:shd w:val="clear" w:color="auto" w:fill="1C0C04"/>
            <w:tcMar>
              <w:top w:w="60" w:type="dxa"/>
              <w:bottom w:w="60" w:type="dxa"/>
              <w:left w:w="100" w:type="dxa"/>
              <w:right w:w="100" w:type="dxa"/>
            </w:tcMar>
          </w:tcPr>
          <w:p>
            <w:pPr>
              <w:jc w:val="right"/>
            </w:pPr>
            <w:r>
              <w:rPr>
                <w:rFonts w:ascii="Arial" w:cs="Arial"/>
                <w:sz w:val="20"/>
                <w:szCs w:val="20"/>
                <w:color w:val="FFFFFF"/>
                <w:b/>
              </w:rPr>
              <w:t xml:space="preserve">$3,133,000</w:t>
            </w:r>
          </w:p>
        </w:tc>
        <w:tc>
          <w:tcPr>
            <w:shd w:val="clear" w:color="auto" w:fill="1C0C04"/>
            <w:tcMar>
              <w:top w:w="60" w:type="dxa"/>
              <w:bottom w:w="60" w:type="dxa"/>
              <w:left w:w="100" w:type="dxa"/>
              <w:right w:w="100" w:type="dxa"/>
            </w:tcMar>
          </w:tcPr>
          <w:p>
            <w:pPr>
              <w:jc w:val="right"/>
            </w:pPr>
            <w:r>
              <w:rPr>
                <w:rFonts w:ascii="Arial" w:cs="Arial"/>
                <w:sz w:val="20"/>
                <w:szCs w:val="20"/>
                <w:color w:val="FFFFFF"/>
                <w:b/>
              </w:rPr>
              <w:t xml:space="preserve">$3,360,000</w:t>
            </w:r>
          </w:p>
        </w:tc>
        <w:tc>
          <w:tcPr>
            <w:shd w:val="clear" w:color="auto" w:fill="1C0C04"/>
            <w:tcMar>
              <w:top w:w="60" w:type="dxa"/>
              <w:bottom w:w="60" w:type="dxa"/>
              <w:left w:w="100" w:type="dxa"/>
              <w:right w:w="100" w:type="dxa"/>
            </w:tcMar>
          </w:tcPr>
          <w:p>
            <w:pPr>
              <w:jc w:val="right"/>
            </w:pPr>
            <w:r>
              <w:rPr>
                <w:rFonts w:ascii="Arial" w:cs="Arial"/>
                <w:sz w:val="20"/>
                <w:szCs w:val="20"/>
                <w:color w:val="FFFFFF"/>
                <w:b/>
              </w:rPr>
              <w:t xml:space="preserve">$3,593,000</w:t>
            </w:r>
          </w:p>
        </w:tc>
        <w:tc>
          <w:tcPr>
            <w:shd w:val="clear" w:color="auto" w:fill="1C0C04"/>
            <w:tcMar>
              <w:top w:w="60" w:type="dxa"/>
              <w:bottom w:w="60" w:type="dxa"/>
              <w:left w:w="100" w:type="dxa"/>
              <w:right w:w="100" w:type="dxa"/>
            </w:tcMar>
          </w:tcPr>
          <w:p>
            <w:pPr>
              <w:jc w:val="right"/>
            </w:pPr>
            <w:r>
              <w:rPr>
                <w:rFonts w:ascii="Arial" w:cs="Arial"/>
                <w:sz w:val="20"/>
                <w:szCs w:val="20"/>
                <w:color w:val="FFFFFF"/>
                <w:b/>
              </w:rPr>
              <w:t xml:space="preserve">$3,770,000</w:t>
            </w:r>
          </w:p>
        </w:tc>
        <w:tc>
          <w:tcPr>
            <w:shd w:val="clear" w:color="auto" w:fill="1C0C04"/>
            <w:tcMar>
              <w:top w:w="60" w:type="dxa"/>
              <w:bottom w:w="60" w:type="dxa"/>
              <w:left w:w="100" w:type="dxa"/>
              <w:right w:w="100" w:type="dxa"/>
            </w:tcMar>
          </w:tcPr>
          <w:p>
            <w:pPr>
              <w:jc w:val="right"/>
            </w:pPr>
            <w:r>
              <w:rPr>
                <w:rFonts w:ascii="Arial" w:cs="Arial"/>
                <w:sz w:val="20"/>
                <w:szCs w:val="20"/>
                <w:color w:val="FFFFFF"/>
                <w:b/>
              </w:rPr>
              <w:t xml:space="preserve">$3,938,000</w:t>
            </w:r>
          </w:p>
        </w:tc>
      </w:tr>
      <w:tr>
        <w:tc>
          <w:tcPr>
            <w:tcW w:w="2000" w:type="dxa"/>
            <w:shd w:val="clear" w:color="auto" w:fill="FDF8F0"/>
            <w:tcMar>
              <w:top w:w="60" w:type="dxa"/>
              <w:bottom w:w="60" w:type="dxa"/>
              <w:left w:w="100" w:type="dxa"/>
              <w:right w:w="100" w:type="dxa"/>
            </w:tcMar>
          </w:tcPr>
          <w:p>
            <w:pPr>
              <w:jc w:val="left"/>
            </w:pPr>
            <w:r>
              <w:rPr>
                <w:rFonts w:ascii="Arial" w:cs="Arial"/>
                <w:sz w:val="20"/>
                <w:szCs w:val="20"/>
                <w:color w:val="333333"/>
              </w:rPr>
              <w:t xml:space="preserve">NOI Margin</w:t>
            </w:r>
          </w:p>
        </w:tc>
        <w:tc>
          <w:tcPr>
            <w:shd w:val="clear" w:color="auto" w:fill="FDF8F0"/>
            <w:tcMar>
              <w:top w:w="60" w:type="dxa"/>
              <w:bottom w:w="60" w:type="dxa"/>
              <w:left w:w="100" w:type="dxa"/>
              <w:right w:w="100" w:type="dxa"/>
            </w:tcMar>
          </w:tcPr>
          <w:p>
            <w:pPr>
              <w:jc w:val="right"/>
            </w:pPr>
            <w:r>
              <w:rPr>
                <w:rFonts w:ascii="Arial" w:cs="Arial"/>
                <w:sz w:val="20"/>
                <w:szCs w:val="20"/>
                <w:color w:val="555555"/>
              </w:rPr>
              <w:t xml:space="preserve">54%</w:t>
            </w:r>
          </w:p>
        </w:tc>
        <w:tc>
          <w:tcPr>
            <w:shd w:val="clear" w:color="auto" w:fill="FDF8F0"/>
            <w:tcMar>
              <w:top w:w="60" w:type="dxa"/>
              <w:bottom w:w="60" w:type="dxa"/>
              <w:left w:w="100" w:type="dxa"/>
              <w:right w:w="100" w:type="dxa"/>
            </w:tcMar>
          </w:tcPr>
          <w:p>
            <w:pPr>
              <w:jc w:val="right"/>
            </w:pPr>
            <w:r>
              <w:rPr>
                <w:rFonts w:ascii="Arial" w:cs="Arial"/>
                <w:sz w:val="20"/>
                <w:szCs w:val="20"/>
                <w:color w:val="555555"/>
              </w:rPr>
              <w:t xml:space="preserve">67%</w:t>
            </w:r>
          </w:p>
        </w:tc>
        <w:tc>
          <w:tcPr>
            <w:shd w:val="clear" w:color="auto" w:fill="FDF8F0"/>
            <w:tcMar>
              <w:top w:w="60" w:type="dxa"/>
              <w:bottom w:w="60" w:type="dxa"/>
              <w:left w:w="100" w:type="dxa"/>
              <w:right w:w="100" w:type="dxa"/>
            </w:tcMar>
          </w:tcPr>
          <w:p>
            <w:pPr>
              <w:jc w:val="right"/>
            </w:pPr>
            <w:r>
              <w:rPr>
                <w:rFonts w:ascii="Arial" w:cs="Arial"/>
                <w:sz w:val="20"/>
                <w:szCs w:val="20"/>
                <w:color w:val="555555"/>
              </w:rPr>
              <w:t xml:space="preserve">73%</w:t>
            </w:r>
          </w:p>
        </w:tc>
        <w:tc>
          <w:tcPr>
            <w:shd w:val="clear" w:color="auto" w:fill="FDF8F0"/>
            <w:tcMar>
              <w:top w:w="60" w:type="dxa"/>
              <w:bottom w:w="60" w:type="dxa"/>
              <w:left w:w="100" w:type="dxa"/>
              <w:right w:w="100" w:type="dxa"/>
            </w:tcMar>
          </w:tcPr>
          <w:p>
            <w:pPr>
              <w:jc w:val="right"/>
            </w:pPr>
            <w:r>
              <w:rPr>
                <w:rFonts w:ascii="Arial" w:cs="Arial"/>
                <w:sz w:val="20"/>
                <w:szCs w:val="20"/>
                <w:color w:val="555555"/>
              </w:rPr>
              <w:t xml:space="preserve">74%</w:t>
            </w:r>
          </w:p>
        </w:tc>
        <w:tc>
          <w:tcPr>
            <w:shd w:val="clear" w:color="auto" w:fill="FDF8F0"/>
            <w:tcMar>
              <w:top w:w="60" w:type="dxa"/>
              <w:bottom w:w="60" w:type="dxa"/>
              <w:left w:w="100" w:type="dxa"/>
              <w:right w:w="100" w:type="dxa"/>
            </w:tcMar>
          </w:tcPr>
          <w:p>
            <w:pPr>
              <w:jc w:val="right"/>
            </w:pPr>
            <w:r>
              <w:rPr>
                <w:rFonts w:ascii="Arial" w:cs="Arial"/>
                <w:sz w:val="20"/>
                <w:szCs w:val="20"/>
                <w:color w:val="555555"/>
              </w:rPr>
              <w:t xml:space="preserve">74%</w:t>
            </w:r>
          </w:p>
        </w:tc>
        <w:tc>
          <w:tcPr>
            <w:shd w:val="clear" w:color="auto" w:fill="FDF8F0"/>
            <w:tcMar>
              <w:top w:w="60" w:type="dxa"/>
              <w:bottom w:w="60" w:type="dxa"/>
              <w:left w:w="100" w:type="dxa"/>
              <w:right w:w="100" w:type="dxa"/>
            </w:tcMar>
          </w:tcPr>
          <w:p>
            <w:pPr>
              <w:jc w:val="right"/>
            </w:pPr>
            <w:r>
              <w:rPr>
                <w:rFonts w:ascii="Arial" w:cs="Arial"/>
                <w:sz w:val="20"/>
                <w:szCs w:val="20"/>
                <w:color w:val="555555"/>
              </w:rPr>
              <w:t xml:space="preserve">74%</w:t>
            </w:r>
          </w:p>
        </w:tc>
        <w:tc>
          <w:tcPr>
            <w:shd w:val="clear" w:color="auto" w:fill="FDF8F0"/>
            <w:tcMar>
              <w:top w:w="60" w:type="dxa"/>
              <w:bottom w:w="60" w:type="dxa"/>
              <w:left w:w="100" w:type="dxa"/>
              <w:right w:w="100" w:type="dxa"/>
            </w:tcMar>
          </w:tcPr>
          <w:p>
            <w:pPr>
              <w:jc w:val="right"/>
            </w:pPr>
            <w:r>
              <w:rPr>
                <w:rFonts w:ascii="Arial" w:cs="Arial"/>
                <w:sz w:val="20"/>
                <w:szCs w:val="20"/>
                <w:color w:val="555555"/>
              </w:rPr>
              <w:t xml:space="preserve">74%</w:t>
            </w:r>
          </w:p>
        </w:tc>
      </w:tr>
      <w:tr>
        <w:tc>
          <w:tcPr>
            <w:gridSpan w:val="8"/>
            <w:shd w:val="clear" w:color="auto" w:fill="1B2A4A"/>
            <w:tcMar>
              <w:top w:w="60" w:type="dxa"/>
              <w:bottom w:w="60" w:type="dxa"/>
              <w:left w:w="100" w:type="dxa"/>
              <w:right w:w="100" w:type="dxa"/>
            </w:tcMar>
          </w:tcPr>
          <w:p>
            <w:pPr>
              <w:jc w:val="left"/>
            </w:pPr>
            <w:r>
              <w:rPr>
                <w:rFonts w:ascii="Arial" w:cs="Arial"/>
                <w:sz w:val="20"/>
                <w:szCs w:val="20"/>
                <w:color w:val="FFFFFF"/>
                <w:b/>
              </w:rPr>
              <w:t xml:space="preserve">DEBT SERVICE (65/35 financing, $8.492M @ 7.5%, 25-yr amortization)</w:t>
            </w:r>
          </w:p>
        </w:tc>
      </w:tr>
      <w:tr>
        <w:tc>
          <w:tcPr>
            <w:tcW w:w="2000" w:type="dxa"/>
            <w:shd w:val="clear" w:color="auto" w:fill="FDF8F0"/>
            <w:tcMar>
              <w:top w:w="60" w:type="dxa"/>
              <w:bottom w:w="60" w:type="dxa"/>
              <w:left w:w="100" w:type="dxa"/>
              <w:right w:w="100" w:type="dxa"/>
            </w:tcMar>
          </w:tcPr>
          <w:p>
            <w:pPr>
              <w:jc w:val="left"/>
            </w:pPr>
            <w:r>
              <w:rPr>
                <w:rFonts w:ascii="Arial" w:cs="Arial"/>
                <w:sz w:val="20"/>
                <w:szCs w:val="20"/>
                <w:color w:val="333333"/>
              </w:rPr>
              <w:t xml:space="preserve">Total Debt Service</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($753,062)</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($753,062)</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($753,062)</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($753,062)</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($753,062)</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($753,062)</w:t>
            </w:r>
          </w:p>
        </w:tc>
        <w:tc>
          <w:tcPr>
            <w:shd w:val="clear" w:color="auto" w:fill="FDF8F0"/>
            <w:tcMar>
              <w:top w:w="60" w:type="dxa"/>
              <w:bottom w:w="60" w:type="dxa"/>
              <w:left w:w="100" w:type="dxa"/>
              <w:right w:w="100" w:type="dxa"/>
            </w:tcMar>
          </w:tcPr>
          <w:p>
            <w:pPr>
              <w:jc w:val="right"/>
            </w:pPr>
            <w:r>
              <w:rPr>
                <w:rFonts w:ascii="Arial" w:cs="Arial"/>
                <w:sz w:val="20"/>
                <w:szCs w:val="20"/>
                <w:color w:val="B8150C"/>
              </w:rPr>
              <w:t xml:space="preserve">($753,062)</w:t>
            </w:r>
          </w:p>
        </w:tc>
      </w:tr>
      <w:tr>
        <w:tc>
          <w:tcPr>
            <w:gridSpan w:val="8"/>
            <w:shd w:val="clear" w:color="auto" w:fill="1B2A4A"/>
            <w:tcMar>
              <w:top w:w="60" w:type="dxa"/>
              <w:bottom w:w="60" w:type="dxa"/>
              <w:left w:w="100" w:type="dxa"/>
              <w:right w:w="100" w:type="dxa"/>
            </w:tcMar>
          </w:tcPr>
          <w:p>
            <w:pPr>
              <w:jc w:val="left"/>
            </w:pPr>
            <w:r>
              <w:rPr>
                <w:rFonts w:ascii="Arial" w:cs="Arial"/>
                <w:sz w:val="20"/>
                <w:szCs w:val="20"/>
                <w:color w:val="FFFFFF"/>
                <w:b/>
              </w:rPr>
              <w:t xml:space="preserve">NET CASH FLOW TO EQUITY (on $4,573,000 invested)</w:t>
            </w:r>
          </w:p>
        </w:tc>
      </w:tr>
      <w:tr>
        <w:tc>
          <w:tcPr>
            <w:tcW w:w="2000" w:type="dxa"/>
            <w:shd w:val="clear" w:color="auto" w:fill="1C0C04"/>
            <w:tcMar>
              <w:top w:w="60" w:type="dxa"/>
              <w:bottom w:w="60" w:type="dxa"/>
              <w:left w:w="100" w:type="dxa"/>
              <w:right w:w="100" w:type="dxa"/>
            </w:tcMar>
          </w:tcPr>
          <w:p>
            <w:pPr>
              <w:jc w:val="left"/>
            </w:pPr>
            <w:r>
              <w:rPr>
                <w:rFonts w:ascii="Arial" w:cs="Arial"/>
                <w:sz w:val="20"/>
                <w:szCs w:val="20"/>
                <w:color w:val="C9A84C"/>
                <w:b/>
              </w:rPr>
              <w:t xml:space="preserve">Net Cash Flow to Equity</w:t>
            </w:r>
          </w:p>
        </w:tc>
        <w:tc>
          <w:tcPr>
            <w:shd w:val="clear" w:color="auto" w:fill="1C0C04"/>
            <w:tcMar>
              <w:top w:w="60" w:type="dxa"/>
              <w:bottom w:w="60" w:type="dxa"/>
              <w:left w:w="100" w:type="dxa"/>
              <w:right w:w="100" w:type="dxa"/>
            </w:tcMar>
          </w:tcPr>
          <w:p>
            <w:pPr>
              <w:jc w:val="right"/>
            </w:pPr>
            <w:r>
              <w:rPr>
                <w:rFonts w:ascii="Arial" w:cs="Arial"/>
                <w:sz w:val="20"/>
                <w:szCs w:val="20"/>
                <w:color w:val="C9A84C"/>
                <w:b/>
              </w:rPr>
              <w:t xml:space="preserve">$461,938</w:t>
            </w:r>
          </w:p>
        </w:tc>
        <w:tc>
          <w:tcPr>
            <w:shd w:val="clear" w:color="auto" w:fill="1C0C04"/>
            <w:tcMar>
              <w:top w:w="60" w:type="dxa"/>
              <w:bottom w:w="60" w:type="dxa"/>
              <w:left w:w="100" w:type="dxa"/>
              <w:right w:w="100" w:type="dxa"/>
            </w:tcMar>
          </w:tcPr>
          <w:p>
            <w:pPr>
              <w:jc w:val="right"/>
            </w:pPr>
            <w:r>
              <w:rPr>
                <w:rFonts w:ascii="Arial" w:cs="Arial"/>
                <w:sz w:val="20"/>
                <w:szCs w:val="20"/>
                <w:color w:val="C9A84C"/>
                <w:b/>
              </w:rPr>
              <w:t xml:space="preserve">$1,490,938</w:t>
            </w:r>
          </w:p>
        </w:tc>
        <w:tc>
          <w:tcPr>
            <w:shd w:val="clear" w:color="auto" w:fill="1C0C04"/>
            <w:tcMar>
              <w:top w:w="60" w:type="dxa"/>
              <w:bottom w:w="60" w:type="dxa"/>
              <w:left w:w="100" w:type="dxa"/>
              <w:right w:w="100" w:type="dxa"/>
            </w:tcMar>
          </w:tcPr>
          <w:p>
            <w:pPr>
              <w:jc w:val="right"/>
            </w:pPr>
            <w:r>
              <w:rPr>
                <w:rFonts w:ascii="Arial" w:cs="Arial"/>
                <w:sz w:val="20"/>
                <w:szCs w:val="20"/>
                <w:color w:val="C9A84C"/>
                <w:b/>
              </w:rPr>
              <w:t xml:space="preserve">$2,379,938</w:t>
            </w:r>
          </w:p>
        </w:tc>
        <w:tc>
          <w:tcPr>
            <w:shd w:val="clear" w:color="auto" w:fill="1C0C04"/>
            <w:tcMar>
              <w:top w:w="60" w:type="dxa"/>
              <w:bottom w:w="60" w:type="dxa"/>
              <w:left w:w="100" w:type="dxa"/>
              <w:right w:w="100" w:type="dxa"/>
            </w:tcMar>
          </w:tcPr>
          <w:p>
            <w:pPr>
              <w:jc w:val="right"/>
            </w:pPr>
            <w:r>
              <w:rPr>
                <w:rFonts w:ascii="Arial" w:cs="Arial"/>
                <w:sz w:val="20"/>
                <w:szCs w:val="20"/>
                <w:color w:val="C9A84C"/>
                <w:b/>
              </w:rPr>
              <w:t xml:space="preserve">$2,606,938</w:t>
            </w:r>
          </w:p>
        </w:tc>
        <w:tc>
          <w:tcPr>
            <w:shd w:val="clear" w:color="auto" w:fill="1C0C04"/>
            <w:tcMar>
              <w:top w:w="60" w:type="dxa"/>
              <w:bottom w:w="60" w:type="dxa"/>
              <w:left w:w="100" w:type="dxa"/>
              <w:right w:w="100" w:type="dxa"/>
            </w:tcMar>
          </w:tcPr>
          <w:p>
            <w:pPr>
              <w:jc w:val="right"/>
            </w:pPr>
            <w:r>
              <w:rPr>
                <w:rFonts w:ascii="Arial" w:cs="Arial"/>
                <w:sz w:val="20"/>
                <w:szCs w:val="20"/>
                <w:color w:val="C9A84C"/>
                <w:b/>
              </w:rPr>
              <w:t xml:space="preserve">$2,839,938</w:t>
            </w:r>
          </w:p>
        </w:tc>
        <w:tc>
          <w:tcPr>
            <w:shd w:val="clear" w:color="auto" w:fill="1C0C04"/>
            <w:tcMar>
              <w:top w:w="60" w:type="dxa"/>
              <w:bottom w:w="60" w:type="dxa"/>
              <w:left w:w="100" w:type="dxa"/>
              <w:right w:w="100" w:type="dxa"/>
            </w:tcMar>
          </w:tcPr>
          <w:p>
            <w:pPr>
              <w:jc w:val="right"/>
            </w:pPr>
            <w:r>
              <w:rPr>
                <w:rFonts w:ascii="Arial" w:cs="Arial"/>
                <w:sz w:val="20"/>
                <w:szCs w:val="20"/>
                <w:color w:val="C9A84C"/>
                <w:b/>
              </w:rPr>
              <w:t xml:space="preserve">$3,016,938</w:t>
            </w:r>
          </w:p>
        </w:tc>
        <w:tc>
          <w:tcPr>
            <w:shd w:val="clear" w:color="auto" w:fill="1C0C04"/>
            <w:tcMar>
              <w:top w:w="60" w:type="dxa"/>
              <w:bottom w:w="60" w:type="dxa"/>
              <w:left w:w="100" w:type="dxa"/>
              <w:right w:w="100" w:type="dxa"/>
            </w:tcMar>
          </w:tcPr>
          <w:p>
            <w:pPr>
              <w:jc w:val="right"/>
            </w:pPr>
            <w:r>
              <w:rPr>
                <w:rFonts w:ascii="Arial" w:cs="Arial"/>
                <w:sz w:val="20"/>
                <w:szCs w:val="20"/>
                <w:color w:val="C9A84C"/>
                <w:b/>
              </w:rPr>
              <w:t xml:space="preserve">$3,184,938</w:t>
            </w:r>
          </w:p>
        </w:tc>
      </w:tr>
      <w:tr>
        <w:tc>
          <w:tcPr>
            <w:tcW w:w="2000" w:type="dxa"/>
            <w:shd w:val="clear" w:color="auto" w:fill="FDF8F0"/>
            <w:tcMar>
              <w:top w:w="60" w:type="dxa"/>
              <w:bottom w:w="60" w:type="dxa"/>
              <w:left w:w="100" w:type="dxa"/>
              <w:right w:w="100" w:type="dxa"/>
            </w:tcMar>
          </w:tcPr>
          <w:p>
            <w:pPr>
              <w:jc w:val="left"/>
            </w:pPr>
            <w:r>
              <w:rPr>
                <w:rFonts w:ascii="Arial" w:cs="Arial"/>
                <w:sz w:val="20"/>
                <w:szCs w:val="20"/>
                <w:color w:val="333333"/>
              </w:rPr>
              <w:t xml:space="preserve">Cash-on-Cash Return</w:t>
            </w:r>
          </w:p>
        </w:tc>
        <w:tc>
          <w:tcPr>
            <w:shd w:val="clear" w:color="auto" w:fill="FDF8F0"/>
            <w:tcMar>
              <w:top w:w="60" w:type="dxa"/>
              <w:bottom w:w="60" w:type="dxa"/>
              <w:left w:w="100" w:type="dxa"/>
              <w:right w:w="100" w:type="dxa"/>
            </w:tcMar>
          </w:tcPr>
          <w:p>
            <w:pPr>
              <w:jc w:val="right"/>
            </w:pPr>
            <w:r>
              <w:rPr>
                <w:rFonts w:ascii="Arial" w:cs="Arial"/>
                <w:sz w:val="20"/>
                <w:szCs w:val="20"/>
                <w:color w:val="1A5C2A"/>
              </w:rPr>
              <w:t xml:space="preserve">10.1%</w:t>
            </w:r>
          </w:p>
        </w:tc>
        <w:tc>
          <w:tcPr>
            <w:shd w:val="clear" w:color="auto" w:fill="FDF8F0"/>
            <w:tcMar>
              <w:top w:w="60" w:type="dxa"/>
              <w:bottom w:w="60" w:type="dxa"/>
              <w:left w:w="100" w:type="dxa"/>
              <w:right w:w="100" w:type="dxa"/>
            </w:tcMar>
          </w:tcPr>
          <w:p>
            <w:pPr>
              <w:jc w:val="right"/>
            </w:pPr>
            <w:r>
              <w:rPr>
                <w:rFonts w:ascii="Arial" w:cs="Arial"/>
                <w:sz w:val="20"/>
                <w:szCs w:val="20"/>
                <w:color w:val="1A5C2A"/>
              </w:rPr>
              <w:t xml:space="preserve">32.6%</w:t>
            </w:r>
          </w:p>
        </w:tc>
        <w:tc>
          <w:tcPr>
            <w:shd w:val="clear" w:color="auto" w:fill="FDF8F0"/>
            <w:tcMar>
              <w:top w:w="60" w:type="dxa"/>
              <w:bottom w:w="60" w:type="dxa"/>
              <w:left w:w="100" w:type="dxa"/>
              <w:right w:w="100" w:type="dxa"/>
            </w:tcMar>
          </w:tcPr>
          <w:p>
            <w:pPr>
              <w:jc w:val="right"/>
            </w:pPr>
            <w:r>
              <w:rPr>
                <w:rFonts w:ascii="Arial" w:cs="Arial"/>
                <w:sz w:val="20"/>
                <w:szCs w:val="20"/>
                <w:color w:val="1A5C2A"/>
              </w:rPr>
              <w:t xml:space="preserve">52.0%</w:t>
            </w:r>
          </w:p>
        </w:tc>
        <w:tc>
          <w:tcPr>
            <w:shd w:val="clear" w:color="auto" w:fill="FDF8F0"/>
            <w:tcMar>
              <w:top w:w="60" w:type="dxa"/>
              <w:bottom w:w="60" w:type="dxa"/>
              <w:left w:w="100" w:type="dxa"/>
              <w:right w:w="100" w:type="dxa"/>
            </w:tcMar>
          </w:tcPr>
          <w:p>
            <w:pPr>
              <w:jc w:val="right"/>
            </w:pPr>
            <w:r>
              <w:rPr>
                <w:rFonts w:ascii="Arial" w:cs="Arial"/>
                <w:sz w:val="20"/>
                <w:szCs w:val="20"/>
                <w:color w:val="1A5C2A"/>
              </w:rPr>
              <w:t xml:space="preserve">57.0%</w:t>
            </w:r>
          </w:p>
        </w:tc>
        <w:tc>
          <w:tcPr>
            <w:shd w:val="clear" w:color="auto" w:fill="FDF8F0"/>
            <w:tcMar>
              <w:top w:w="60" w:type="dxa"/>
              <w:bottom w:w="60" w:type="dxa"/>
              <w:left w:w="100" w:type="dxa"/>
              <w:right w:w="100" w:type="dxa"/>
            </w:tcMar>
          </w:tcPr>
          <w:p>
            <w:pPr>
              <w:jc w:val="right"/>
            </w:pPr>
            <w:r>
              <w:rPr>
                <w:rFonts w:ascii="Arial" w:cs="Arial"/>
                <w:sz w:val="20"/>
                <w:szCs w:val="20"/>
                <w:color w:val="1A5C2A"/>
              </w:rPr>
              <w:t xml:space="preserve">62.1%</w:t>
            </w:r>
          </w:p>
        </w:tc>
        <w:tc>
          <w:tcPr>
            <w:shd w:val="clear" w:color="auto" w:fill="FDF8F0"/>
            <w:tcMar>
              <w:top w:w="60" w:type="dxa"/>
              <w:bottom w:w="60" w:type="dxa"/>
              <w:left w:w="100" w:type="dxa"/>
              <w:right w:w="100" w:type="dxa"/>
            </w:tcMar>
          </w:tcPr>
          <w:p>
            <w:pPr>
              <w:jc w:val="right"/>
            </w:pPr>
            <w:r>
              <w:rPr>
                <w:rFonts w:ascii="Arial" w:cs="Arial"/>
                <w:sz w:val="20"/>
                <w:szCs w:val="20"/>
                <w:color w:val="1A5C2A"/>
              </w:rPr>
              <w:t xml:space="preserve">66.0%</w:t>
            </w:r>
          </w:p>
        </w:tc>
        <w:tc>
          <w:tcPr>
            <w:shd w:val="clear" w:color="auto" w:fill="FDF8F0"/>
            <w:tcMar>
              <w:top w:w="60" w:type="dxa"/>
              <w:bottom w:w="60" w:type="dxa"/>
              <w:left w:w="100" w:type="dxa"/>
              <w:right w:w="100" w:type="dxa"/>
            </w:tcMar>
          </w:tcPr>
          <w:p>
            <w:pPr>
              <w:jc w:val="right"/>
            </w:pPr>
            <w:r>
              <w:rPr>
                <w:rFonts w:ascii="Arial" w:cs="Arial"/>
                <w:sz w:val="20"/>
                <w:szCs w:val="20"/>
                <w:color w:val="1A5C2A"/>
              </w:rPr>
              <w:t xml:space="preserve">69.6%</w:t>
            </w:r>
          </w:p>
        </w:tc>
      </w:tr>
      <w:tr>
        <w:tc>
          <w:tcPr>
            <w:tcW w:w="2000" w:type="dxa"/>
            <w:shd w:val="clear" w:color="auto" w:fill="FDF8F0"/>
            <w:tcMar>
              <w:top w:w="60" w:type="dxa"/>
              <w:bottom w:w="60" w:type="dxa"/>
              <w:left w:w="100" w:type="dxa"/>
              <w:right w:w="100" w:type="dxa"/>
            </w:tcMar>
          </w:tcPr>
          <w:p>
            <w:pPr>
              <w:jc w:val="left"/>
            </w:pPr>
            <w:r>
              <w:rPr>
                <w:rFonts w:ascii="Arial" w:cs="Arial"/>
                <w:sz w:val="20"/>
                <w:szCs w:val="20"/>
                <w:color w:val="333333"/>
              </w:rPr>
              <w:t xml:space="preserve">Debt Service Coverage (DSCR)</w:t>
            </w:r>
          </w:p>
        </w:tc>
        <w:tc>
          <w:tcPr>
            <w:shd w:val="clear" w:color="auto" w:fill="FDF8F0"/>
            <w:tcMar>
              <w:top w:w="60" w:type="dxa"/>
              <w:bottom w:w="60" w:type="dxa"/>
              <w:left w:w="100" w:type="dxa"/>
              <w:right w:w="100" w:type="dxa"/>
            </w:tcMar>
          </w:tcPr>
          <w:p>
            <w:pPr>
              <w:jc w:val="right"/>
            </w:pPr>
            <w:r>
              <w:rPr>
                <w:rFonts w:ascii="Arial" w:cs="Arial"/>
                <w:sz w:val="20"/>
                <w:szCs w:val="20"/>
                <w:color w:val="1B2A4A"/>
              </w:rPr>
              <w:t xml:space="preserve">1.61x</w:t>
            </w:r>
          </w:p>
        </w:tc>
        <w:tc>
          <w:tcPr>
            <w:shd w:val="clear" w:color="auto" w:fill="FDF8F0"/>
            <w:tcMar>
              <w:top w:w="60" w:type="dxa"/>
              <w:bottom w:w="60" w:type="dxa"/>
              <w:left w:w="100" w:type="dxa"/>
              <w:right w:w="100" w:type="dxa"/>
            </w:tcMar>
          </w:tcPr>
          <w:p>
            <w:pPr>
              <w:jc w:val="right"/>
            </w:pPr>
            <w:r>
              <w:rPr>
                <w:rFonts w:ascii="Arial" w:cs="Arial"/>
                <w:sz w:val="20"/>
                <w:szCs w:val="20"/>
                <w:color w:val="1B2A4A"/>
              </w:rPr>
              <w:t xml:space="preserve">2.98x</w:t>
            </w:r>
          </w:p>
        </w:tc>
        <w:tc>
          <w:tcPr>
            <w:shd w:val="clear" w:color="auto" w:fill="FDF8F0"/>
            <w:tcMar>
              <w:top w:w="60" w:type="dxa"/>
              <w:bottom w:w="60" w:type="dxa"/>
              <w:left w:w="100" w:type="dxa"/>
              <w:right w:w="100" w:type="dxa"/>
            </w:tcMar>
          </w:tcPr>
          <w:p>
            <w:pPr>
              <w:jc w:val="right"/>
            </w:pPr>
            <w:r>
              <w:rPr>
                <w:rFonts w:ascii="Arial" w:cs="Arial"/>
                <w:sz w:val="20"/>
                <w:szCs w:val="20"/>
                <w:color w:val="1B2A4A"/>
              </w:rPr>
              <w:t xml:space="preserve">4.16x</w:t>
            </w:r>
          </w:p>
        </w:tc>
        <w:tc>
          <w:tcPr>
            <w:shd w:val="clear" w:color="auto" w:fill="FDF8F0"/>
            <w:tcMar>
              <w:top w:w="60" w:type="dxa"/>
              <w:bottom w:w="60" w:type="dxa"/>
              <w:left w:w="100" w:type="dxa"/>
              <w:right w:w="100" w:type="dxa"/>
            </w:tcMar>
          </w:tcPr>
          <w:p>
            <w:pPr>
              <w:jc w:val="right"/>
            </w:pPr>
            <w:r>
              <w:rPr>
                <w:rFonts w:ascii="Arial" w:cs="Arial"/>
                <w:sz w:val="20"/>
                <w:szCs w:val="20"/>
                <w:color w:val="1B2A4A"/>
              </w:rPr>
              <w:t xml:space="preserve">4.46x</w:t>
            </w:r>
          </w:p>
        </w:tc>
        <w:tc>
          <w:tcPr>
            <w:shd w:val="clear" w:color="auto" w:fill="FDF8F0"/>
            <w:tcMar>
              <w:top w:w="60" w:type="dxa"/>
              <w:bottom w:w="60" w:type="dxa"/>
              <w:left w:w="100" w:type="dxa"/>
              <w:right w:w="100" w:type="dxa"/>
            </w:tcMar>
          </w:tcPr>
          <w:p>
            <w:pPr>
              <w:jc w:val="right"/>
            </w:pPr>
            <w:r>
              <w:rPr>
                <w:rFonts w:ascii="Arial" w:cs="Arial"/>
                <w:sz w:val="20"/>
                <w:szCs w:val="20"/>
                <w:color w:val="1B2A4A"/>
              </w:rPr>
              <w:t xml:space="preserve">4.77x</w:t>
            </w:r>
          </w:p>
        </w:tc>
        <w:tc>
          <w:tcPr>
            <w:shd w:val="clear" w:color="auto" w:fill="FDF8F0"/>
            <w:tcMar>
              <w:top w:w="60" w:type="dxa"/>
              <w:bottom w:w="60" w:type="dxa"/>
              <w:left w:w="100" w:type="dxa"/>
              <w:right w:w="100" w:type="dxa"/>
            </w:tcMar>
          </w:tcPr>
          <w:p>
            <w:pPr>
              <w:jc w:val="right"/>
            </w:pPr>
            <w:r>
              <w:rPr>
                <w:rFonts w:ascii="Arial" w:cs="Arial"/>
                <w:sz w:val="20"/>
                <w:szCs w:val="20"/>
                <w:color w:val="1B2A4A"/>
              </w:rPr>
              <w:t xml:space="preserve">5.01x</w:t>
            </w:r>
          </w:p>
        </w:tc>
        <w:tc>
          <w:tcPr>
            <w:shd w:val="clear" w:color="auto" w:fill="FDF8F0"/>
            <w:tcMar>
              <w:top w:w="60" w:type="dxa"/>
              <w:bottom w:w="60" w:type="dxa"/>
              <w:left w:w="100" w:type="dxa"/>
              <w:right w:w="100" w:type="dxa"/>
            </w:tcMar>
          </w:tcPr>
          <w:p>
            <w:pPr>
              <w:jc w:val="right"/>
            </w:pPr>
            <w:r>
              <w:rPr>
                <w:rFonts w:ascii="Arial" w:cs="Arial"/>
                <w:sz w:val="20"/>
                <w:szCs w:val="20"/>
                <w:color w:val="1B2A4A"/>
              </w:rPr>
              <w:t xml:space="preserve">5.23x</w:t>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spacing w:before="80" w:after="80" w:line="276"/>
        <w:jc w:val="left"/>
      </w:pPr>
      <w:r>
        <w:rPr>
          <w:rFonts w:ascii="Arial" w:cs="Arial" w:eastAsia="Arial" w:hAnsi="Arial"/>
          <w:b w:val="false"/>
          <w:bCs w:val="false"/>
          <w:i w:val="false"/>
          <w:iCs w:val="false"/>
          <w:color w:val="1A1A2E"/>
          <w:sz w:val="22"/>
          <w:szCs w:val="22"/>
        </w:rPr>
        <w:t xml:space="preserve">Note: Year 1 projections assume soft opening of Zones A–C and the venue in Q1 2027 (after approximately 10–12 months of construction/buildout from acquisition close). Zones D and E ramp as tenants are signed and built out. Venue revenue is modeled conservatively at 60% of stabilized capacity in Year 1 given brand ramp-up time.</w:t>
      </w:r>
    </w:p>
    <w:p>
      <w:pPr>
        <w:pStyle w:val="Heading2"/>
        <w:spacing w:before="260" w:after="100"/>
      </w:pPr>
      <w:r>
        <w:rPr>
          <w:rFonts w:ascii="Arial" w:cs="Arial" w:eastAsia="Arial" w:hAnsi="Arial"/>
          <w:b/>
          <w:bCs/>
          <w:color w:val="1B2A4A"/>
          <w:sz w:val="28"/>
          <w:szCs w:val="28"/>
        </w:rPr>
        <w:t xml:space="preserve">Capital Requirements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600"/>
        <w:gridCol w:w="3760"/>
      </w:tblGrid>
      <w:tr>
        <w:trPr>
          <w:tblHeader/>
        </w:trPr>
        <w:tc>
          <w:tcPr>
            <w:tcW w:type="dxa" w:w="56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Use of Capital</w:t>
            </w:r>
          </w:p>
        </w:tc>
        <w:tc>
          <w:tcPr>
            <w:tcW w:type="dxa" w:w="376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Amount</w:t>
            </w:r>
          </w:p>
        </w:tc>
      </w:tr>
      <w:tr>
        <w:tc>
          <w:tcPr>
            <w:tcW w:type="dxa" w:w="5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Acquisition (target offer)</w:t>
            </w:r>
          </w:p>
        </w:tc>
        <w:tc>
          <w:tcPr>
            <w:tcW w:type="dxa" w:w="37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$8,250,000</w:t>
            </w:r>
          </w:p>
        </w:tc>
      </w:tr>
      <w:tr>
        <w:tc>
          <w:tcPr>
            <w:tcW w:type="dxa" w:w="5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A–C Acoustic &amp; Room Buildout</w:t>
            </w:r>
          </w:p>
        </w:tc>
        <w:tc>
          <w:tcPr>
            <w:tcW w:type="dxa" w:w="37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$1,750,000</w:t>
            </w:r>
          </w:p>
        </w:tc>
      </w:tr>
      <w:tr>
        <w:tc>
          <w:tcPr>
            <w:tcW w:type="dxa" w:w="5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F — Venue &amp; Bar (expanded, 7,500 SF)</w:t>
            </w:r>
          </w:p>
        </w:tc>
        <w:tc>
          <w:tcPr>
            <w:tcW w:type="dxa" w:w="37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$1,050,000</w:t>
            </w:r>
          </w:p>
        </w:tc>
      </w:tr>
      <w:tr>
        <w:tc>
          <w:tcPr>
            <w:tcW w:type="dxa" w:w="5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B — 3rd Production Suite</w:t>
            </w:r>
          </w:p>
        </w:tc>
        <w:tc>
          <w:tcPr>
            <w:tcW w:type="dxa" w:w="37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$300,000</w:t>
            </w:r>
          </w:p>
        </w:tc>
      </w:tr>
      <w:tr>
        <w:tc>
          <w:tcPr>
            <w:tcW w:type="dxa" w:w="5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D — Retail Shell</w:t>
            </w:r>
          </w:p>
        </w:tc>
        <w:tc>
          <w:tcPr>
            <w:tcW w:type="dxa" w:w="37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$150,000</w:t>
            </w:r>
          </w:p>
        </w:tc>
      </w:tr>
      <w:tr>
        <w:tc>
          <w:tcPr>
            <w:tcW w:type="dxa" w:w="5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FF&amp;E (equipment, furniture, all zones)</w:t>
            </w:r>
          </w:p>
        </w:tc>
        <w:tc>
          <w:tcPr>
            <w:tcW w:type="dxa" w:w="37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$300,000</w:t>
            </w:r>
          </w:p>
        </w:tc>
      </w:tr>
      <w:tr>
        <w:tc>
          <w:tcPr>
            <w:tcW w:type="dxa" w:w="5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Closing Costs &amp; Soft Costs</w:t>
            </w:r>
          </w:p>
        </w:tc>
        <w:tc>
          <w:tcPr>
            <w:tcW w:type="dxa" w:w="37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$125,000</w:t>
            </w:r>
          </w:p>
        </w:tc>
      </w:tr>
      <w:tr>
        <w:tc>
          <w:tcPr>
            <w:tcW w:type="dxa" w:w="5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Contingency Reserve (2%)</w:t>
            </w:r>
          </w:p>
        </w:tc>
        <w:tc>
          <w:tcPr>
            <w:tcW w:type="dxa" w:w="37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$165,000</w:t>
            </w:r>
          </w:p>
        </w:tc>
      </w:tr>
      <w:tr>
        <w:tc>
          <w:tcPr>
            <w:tcW w:type="dxa" w:w="5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Working Capital Reserve</w:t>
            </w:r>
          </w:p>
        </w:tc>
        <w:tc>
          <w:tcPr>
            <w:tcW w:type="dxa" w:w="37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$450,000</w:t>
            </w:r>
          </w:p>
        </w:tc>
      </w:tr>
      <w:tr>
        <w:tc>
          <w:tcPr>
            <w:tcW w:type="dxa" w:w="5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Equity Invested (35% of $4,573,000)</w:t>
            </w:r>
          </w:p>
        </w:tc>
        <w:tc>
          <w:tcPr>
            <w:tcW w:type="dxa" w:w="37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$4,573,000</w:t>
            </w:r>
          </w:p>
        </w:tc>
      </w:tr>
      <w:tr>
        <w:tc>
          <w:tcPr>
            &gt;
            <w:shd w:val="clear" w:color="auto" w:fill="FDF8F0"/>
          </w:tcPr>
          <w:p>
            <w:r>
              <w:rPr>
                <w:rFonts w:ascii="Arial" w:cs="Arial"/>
                <w:sz w:val="20"/>
                <w:szCs w:val="20"/>
              </w:rPr>
              <w:t xml:space="preserve">  ↳ Commercial Mortgage (65% of total)</w:t>
            </w:r>
          </w:p>
        </w:tc>
        <w:tc>
          <w:tcPr>
            &gt;
            <w:shd w:val="clear" w:color="auto" w:fill="FDF8F0"/>
          </w:tcPr>
          <w:p>
            <w:pPr>
              <w:jc w:val="right"/>
            </w:pPr>
            <w:r>
              <w:rPr>
                <w:rFonts w:ascii="Arial" w:cs="Arial"/>
                <w:sz w:val="20"/>
                <w:szCs w:val="20"/>
              </w:rPr>
              <w:t>$8,492,000</w:t>
            </w:r>
          </w:p>
        </w:tc>
      </w:tr>
      <w:tr>
        <w:tc>
          <w:tcPr>
            &gt;
            <w:shd w:val="clear" w:color="auto" w:fill="FDF8F0"/>
          </w:tcPr>
          <w:p>
            <w:r>
              <w:rPr>
                <w:rFonts w:ascii="Arial" w:cs="Arial"/>
                <w:sz w:val="20"/>
                <w:szCs w:val="20"/>
              </w:rPr>
              <w:t xml:space="preserve">  ↳ Equity Required (35% of total)</w:t>
            </w:r>
          </w:p>
        </w:tc>
        <w:tc>
          <w:tcPr>
            &gt;
            <w:shd w:val="clear" w:color="auto" w:fill="FDF8F0"/>
          </w:tcPr>
          <w:p>
            <w:pPr>
              <w:jc w:val="right"/>
            </w:pPr>
            <w:r>
              <w:rPr>
                <w:rFonts w:ascii="Arial" w:cs="Arial"/>
                <w:sz w:val="20"/>
                <w:szCs w:val="20"/>
              </w:rPr>
              <w:t>$4,573,000</w:t>
            </w:r>
          </w:p>
        </w:tc>
      </w:tr>
      <w:tr>
        <w:tc>
          <w:tcPr>
            &gt;
            <w:shd w:val="clear" w:color="auto" w:fill="FDF8F0"/>
          </w:tcPr>
          <w:p>
            <w:r>
              <w:rPr>
                <w:rFonts w:ascii="Arial" w:cs="Arial"/>
                <w:sz w:val="20"/>
                <w:szCs w:val="20"/>
              </w:rPr>
              <w:t xml:space="preserve">  ↳ Interest Rate / Amortization</w:t>
            </w:r>
          </w:p>
        </w:tc>
        <w:tc>
          <w:tcPr>
            &gt;
            <w:shd w:val="clear" w:color="auto" w:fill="FDF8F0"/>
          </w:tcPr>
          <w:p>
            <w:pPr>
              <w:jc w:val="right"/>
            </w:pPr>
            <w:r>
              <w:rPr>
                <w:rFonts w:ascii="Arial" w:cs="Arial"/>
                <w:sz w:val="20"/>
                <w:szCs w:val="20"/>
              </w:rPr>
              <w:t>7.50% / 25 years</w:t>
            </w:r>
          </w:p>
        </w:tc>
      </w:tr>
      <w:tr>
        <w:tc>
          <w:tcPr>
            &gt;
            <w:shd w:val="clear" w:color="auto" w:fill="FDF8F0"/>
          </w:tcPr>
          <w:p>
            <w:r>
              <w:rPr>
                <w:rFonts w:ascii="Arial" w:cs="Arial"/>
                <w:sz w:val="20"/>
                <w:szCs w:val="20"/>
              </w:rPr>
              <w:t xml:space="preserve">  ↳ Annual Debt Service</w:t>
            </w:r>
          </w:p>
        </w:tc>
        <w:tc>
          <w:tcPr>
            &gt;
            <w:shd w:val="clear" w:color="auto" w:fill="FDF8F0"/>
          </w:tcPr>
          <w:p>
            <w:pPr>
              <w:jc w:val="right"/>
            </w:pPr>
            <w:r>
              <w:rPr>
                <w:rFonts w:ascii="Arial" w:cs="Arial"/>
                <w:sz w:val="20"/>
                <w:szCs w:val="20"/>
              </w:rPr>
              <w:t>$753,062</w:t>
            </w:r>
          </w:p>
        </w:tc>
      </w:tr>
      <w:tr>
        <w:tc>
          <w:tcPr>
            &gt;
            <w:shd w:val="clear" w:color="auto" w:fill="FDF8F0"/>
          </w:tcPr>
          <w:p>
            <w:r>
              <w:rPr>
                <w:rFonts w:ascii="Arial" w:cs="Arial"/>
                <w:sz w:val="20"/>
                <w:szCs w:val="20"/>
              </w:rPr>
              <w:t xml:space="preserve">  ↳ Year 1 DSCR</w:t>
            </w:r>
          </w:p>
        </w:tc>
        <w:tc>
          <w:tcPr>
            &gt;
            <w:shd w:val="clear" w:color="auto" w:fill="FDF8F0"/>
          </w:tcPr>
          <w:p>
            <w:pPr>
              <w:jc w:val="right"/>
            </w:pPr>
            <w:r>
              <w:rPr>
                <w:rFonts w:ascii="Arial" w:cs="Arial"/>
                <w:sz w:val="20"/>
                <w:szCs w:val="20"/>
              </w:rPr>
              <w:t>1.61x  (rises to 5.23x by Y7)</w:t>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spacing w:before="80" w:after="80" w:line="276"/>
        <w:jc w:val="left"/>
      </w:pPr>
      <w:r>
        <w:rPr>
          <w:rFonts w:ascii="Arial" w:cs="Arial" w:eastAsia="Arial" w:hAnsi="Arial"/>
          <w:b w:val="false"/>
          <w:bCs w:val="false"/>
          <w:i w:val="false"/>
          <w:iCs w:val="false"/>
          <w:color w:val="1A1A2E"/>
          <w:sz w:val="22"/>
          <w:szCs w:val="22"/>
        </w:rPr>
        <w:t xml:space="preserve">The Music Union 512 is structured as a 65/35 leveraged acquisition: a commercial mortgage of $8,492,000 (65% of total project cost) at 7.5% interest with 25-year amortization, and $4,573,000 in equity from Founding Partners and co-investors. Annual debt service is $753,062, producing a Year 1 DSCR of 1.61x (rising to 5.23x by Year 7 as NOI scales). Financing is used in place of an all-cash purchase to preserve approximately $8.35M in equity capital for Chapter 615 and subsequent national expansion. The depreciation pool ($4.5M+) and interest deduction (~$622K Y1) are identical to or better than an all-cash structure, while equity returns are dramatically amplified. During LOI and negotiation, the offer is positioned as well-capitalized with a pre-arranged financing commitment,  refinancing may be pursued post-close to recapitalize a portion of the equity.</w:t>
      </w:r>
    </w:p>
    <w:p>
      <w:pPr>
        <w:pStyle w:val="Heading2"/>
        <w:spacing w:before="260" w:after="100"/>
      </w:pPr>
      <w:r>
        <w:rPr>
          <w:rFonts w:ascii="Arial" w:cs="Arial" w:eastAsia="Arial" w:hAnsi="Arial"/>
          <w:b/>
          <w:bCs/>
          <w:color w:val="1B2A4A"/>
          <w:sz w:val="28"/>
          <w:szCs w:val="28"/>
        </w:rPr>
        <w:t xml:space="preserve">Key Financial Ratios</w:t>
      </w:r>
    </w:p>
    <w:p>
      <w:pPr>
        <w:spacing w:before="60" w:after="60"/>
      </w:pPr>
      <w:r>
        <w:rPr>
          <w:rFonts w:ascii="Arial" w:cs="Arial" w:eastAsia="Arial" w:hAnsi="Arial"/>
          <w:b/>
          <w:bCs/>
          <w:color w:val="1B2A4A"/>
          <w:sz w:val="22"/>
          <w:szCs w:val="22"/>
        </w:rPr>
        <w:t xml:space="preserve">Cash-on-Cash Return (Y1, Leveraged — on $4.494M equity): </w:t>
      </w:r>
      <w:r>
        <w:rPr>
          <w:rFonts w:ascii="Arial" w:cs="Arial" w:eastAsia="Arial" w:hAnsi="Arial"/>
          <w:b/>
          <w:bCs/>
          <w:color w:val="C9A84C"/>
          <w:sz w:val="22"/>
          <w:szCs w:val="22"/>
        </w:rPr>
        <w:t xml:space="preserve">~10.1%</w:t>
      </w:r>
      <w:r>
        <w:rPr>
          <w:rFonts w:ascii="Arial" w:cs="Arial" w:eastAsia="Arial" w:hAnsi="Arial"/>
          <w:color w:val="555555"/>
          <w:sz w:val="20"/>
          <w:szCs w:val="20"/>
        </w:rPr>
        <w:t xml:space="preserve">  (NCF $461.9K after $753K debt service / $4.573M equity)</w:t>
      </w:r>
    </w:p>
    <w:p>
      <w:pPr>
        <w:spacing w:before="60" w:after="60"/>
      </w:pPr>
      <w:r>
        <w:rPr>
          <w:rFonts w:ascii="Arial" w:cs="Arial" w:eastAsia="Arial" w:hAnsi="Arial"/>
          <w:b/>
          <w:bCs/>
          <w:color w:val="1B2A4A"/>
          <w:sz w:val="22"/>
          <w:szCs w:val="22"/>
        </w:rPr>
        <w:t xml:space="preserve">Cash-on-Cash Return (Y3, Leveraged — on $4.494M equity): </w:t>
      </w:r>
      <w:r>
        <w:rPr>
          <w:rFonts w:ascii="Arial" w:cs="Arial" w:eastAsia="Arial" w:hAnsi="Arial"/>
          <w:b/>
          <w:bCs/>
          <w:color w:val="C9A84C"/>
          <w:sz w:val="22"/>
          <w:szCs w:val="22"/>
        </w:rPr>
        <w:t xml:space="preserve">~52.0%</w:t>
      </w:r>
      <w:r>
        <w:rPr>
          <w:rFonts w:ascii="Arial" w:cs="Arial" w:eastAsia="Arial" w:hAnsi="Arial"/>
          <w:color w:val="555555"/>
          <w:sz w:val="20"/>
          <w:szCs w:val="20"/>
        </w:rPr>
        <w:t xml:space="preserve">  (NCF $2.380M after $753K debt service / $4.573M equity)</w:t>
      </w:r>
    </w:p>
    <w:p>
      <w:pPr>
        <w:spacing w:before="60" w:after="60"/>
      </w:pPr>
      <w:r>
        <w:rPr>
          <w:rFonts w:ascii="Arial" w:cs="Arial" w:eastAsia="Arial" w:hAnsi="Arial"/>
          <w:b/>
          <w:bCs/>
          <w:color w:val="1B2A4A"/>
          <w:sz w:val="22"/>
          <w:szCs w:val="22"/>
        </w:rPr>
        <w:t xml:space="preserve">Cap Rate at Acquisition Price (Y1): </w:t>
      </w:r>
      <w:r>
        <w:rPr>
          <w:rFonts w:ascii="Arial" w:cs="Arial" w:eastAsia="Arial" w:hAnsi="Arial"/>
          <w:b/>
          <w:bCs/>
          <w:color w:val="C9A84C"/>
          <w:sz w:val="22"/>
          <w:szCs w:val="22"/>
        </w:rPr>
        <w:t xml:space="preserve">~14.7%</w:t>
      </w:r>
      <w:r>
        <w:rPr>
          <w:rFonts w:ascii="Arial" w:cs="Arial" w:eastAsia="Arial" w:hAnsi="Arial"/>
          <w:color w:val="555555"/>
          <w:sz w:val="20"/>
          <w:szCs w:val="20"/>
        </w:rPr>
        <w:t xml:space="preserve">  (Y1 NOI $1.215M / $8.25M) | Y1 DSCR: 1.61x | Y7 DSCR: 5.23x</w:t>
      </w:r>
    </w:p>
    <w:p>
      <w:pPr>
        <w:spacing w:before="60" w:after="60"/>
      </w:pPr>
      <w:r>
        <w:rPr>
          <w:rFonts w:ascii="Arial" w:cs="Arial" w:eastAsia="Arial" w:hAnsi="Arial"/>
          <w:b/>
          <w:bCs/>
          <w:color w:val="1B2A4A"/>
          <w:sz w:val="22"/>
          <w:szCs w:val="22"/>
        </w:rPr>
        <w:t xml:space="preserve">Break-Even Utilization: </w:t>
      </w:r>
      <w:r>
        <w:rPr>
          <w:rFonts w:ascii="Arial" w:cs="Arial" w:eastAsia="Arial" w:hAnsi="Arial"/>
          <w:b/>
          <w:bCs/>
          <w:color w:val="C9A84C"/>
          <w:sz w:val="22"/>
          <w:szCs w:val="22"/>
        </w:rPr>
        <w:t xml:space="preserve">~23%</w:t>
      </w:r>
      <w:r>
        <w:rPr>
          <w:rFonts w:ascii="Arial" w:cs="Arial" w:eastAsia="Arial" w:hAnsi="Arial"/>
          <w:color w:val="555555"/>
          <w:sz w:val="20"/>
          <w:szCs w:val="20"/>
        </w:rPr>
        <w:t xml:space="preserve">  (of total hourly room-hours; ~12% crediting Zone D+E NNN)</w:t>
      </w:r>
    </w:p>
    <w:p>
      <w:pPr>
        <w:spacing w:before="60" w:after="60"/>
      </w:pPr>
      <w:r>
        <w:rPr>
          <w:rFonts w:ascii="Arial" w:cs="Arial" w:eastAsia="Arial" w:hAnsi="Arial"/>
          <w:b/>
          <w:bCs/>
          <w:color w:val="1B2A4A"/>
          <w:sz w:val="22"/>
          <w:szCs w:val="22"/>
        </w:rPr>
        <w:t xml:space="preserve">Implied Asset Value Y3 / Net Equity: </w:t>
      </w:r>
      <w:r>
        <w:rPr>
          <w:rFonts w:ascii="Arial" w:cs="Arial" w:eastAsia="Arial" w:hAnsi="Arial"/>
          <w:b/>
          <w:bCs/>
          <w:color w:val="C9A84C"/>
          <w:sz w:val="22"/>
          <w:szCs w:val="22"/>
        </w:rPr>
        <w:t xml:space="preserve">~$48.2M</w:t>
      </w:r>
      <w:r>
        <w:rPr>
          <w:rFonts w:ascii="Arial" w:cs="Arial" w:eastAsia="Arial" w:hAnsi="Arial"/>
          <w:color w:val="555555"/>
          <w:sz w:val="20"/>
          <w:szCs w:val="20"/>
        </w:rPr>
        <w:t xml:space="preserve">  (@ 6.5% cap rate) | Less $8.0M loan balance = ~$40.2M net equity</w:t>
      </w:r>
    </w:p>
    <w:p>
      <w:pPr>
        <w:spacing w:before="60" w:after="60"/>
      </w:pPr>
      <w:r>
        <w:rPr>
          <w:rFonts w:ascii="Arial" w:cs="Arial" w:eastAsia="Arial" w:hAnsi="Arial"/>
          <w:b/>
          <w:bCs/>
          <w:color w:val="1B2A4A"/>
          <w:sz w:val="22"/>
          <w:szCs w:val="22"/>
        </w:rPr>
        <w:t xml:space="preserve">Implied Asset Value Y7 / Equity Multiple: </w:t>
      </w:r>
      <w:r>
        <w:rPr>
          <w:rFonts w:ascii="Arial" w:cs="Arial" w:eastAsia="Arial" w:hAnsi="Arial"/>
          <w:b/>
          <w:bCs/>
          <w:color w:val="C9A84C"/>
          <w:sz w:val="22"/>
          <w:szCs w:val="22"/>
        </w:rPr>
        <w:t xml:space="preserve">~$58.6M</w:t>
      </w:r>
      <w:r>
        <w:rPr>
          <w:rFonts w:ascii="Arial" w:cs="Arial" w:eastAsia="Arial" w:hAnsi="Arial"/>
          <w:color w:val="555555"/>
          <w:sz w:val="20"/>
          <w:szCs w:val="20"/>
        </w:rPr>
        <w:t xml:space="preserve">  (@ 6.5% cap rate) | Less $7.3M loan = $51.3M net equity | 15.0x equity multiple</w:t>
      </w:r>
    </w:p>
    <w:p>
      <w:pPr>
        <w:pStyle w:val="Heading1"/>
        <w:pageBreakBefore/>
        <w:pBdr>
          <w:bottom w:val="single" w:color="C9A84C" w:sz="8" w:space="4"/>
        </w:pBdr>
        <w:spacing w:before="360" w:after="160"/>
      </w:pPr>
      <w:r>
        <w:rPr>
          <w:rFonts w:ascii="Arial" w:cs="Arial" w:eastAsia="Arial" w:hAnsi="Arial"/>
          <w:b/>
          <w:bCs/>
          <w:color w:val="1B2A4A"/>
          <w:sz w:val="36"/>
          <w:szCs w:val="36"/>
        </w:rPr>
        <w:t xml:space="preserve">7.  Operations Plan</w:t>
      </w:r>
    </w:p>
    <w:p>
      <w:pPr>
        <w:pStyle w:val="Heading2"/>
        <w:spacing w:before="260" w:after="100"/>
      </w:pPr>
      <w:r>
        <w:rPr>
          <w:rFonts w:ascii="Arial" w:cs="Arial" w:eastAsia="Arial" w:hAnsi="Arial"/>
          <w:b/>
          <w:bCs/>
          <w:color w:val="1B2A4A"/>
          <w:sz w:val="28"/>
          <w:szCs w:val="28"/>
        </w:rPr>
        <w:t xml:space="preserve">Pre-Opening Timeline</w:t>
      </w:r>
    </w:p>
    <w:tbl>
      <w:tblPr>
        <w:tblW w:type="dxa" w:w="8360"/>
        <w:tblBorders>
          <w:top w:val="single" w:color="auto" w:sz="4"/>
          <w:left w:val="single" w:color="auto" w:sz="4"/>
          <w:bottom w:val="single" w:color="auto" w:sz="4"/>
          <w:right w:val="single" w:color="auto" w:sz="4"/>
          <w:insideH w:val="single" w:color="auto" w:sz="4"/>
          <w:insideV w:val="single" w:color="auto" w:sz="4"/>
        </w:tblBorders>
      </w:tblPr>
      <w:tblGrid>
        <w:gridCol w:w="1500"/>
        <w:gridCol w:w="1200"/>
        <w:gridCol w:w="5660"/>
      </w:tblGrid>
      <w:tr>
        <w:trPr>
          <w:tblHeader/>
        </w:trPr>
        <w:tc>
          <w:tcPr>
            <w:tcW w:type="dxa" w:w="15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Phase</w:t>
            </w:r>
          </w:p>
        </w:tc>
        <w:tc>
          <w:tcPr>
            <w:tcW w:type="dxa" w:w="12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Timeline</w:t>
            </w:r>
          </w:p>
        </w:tc>
        <w:tc>
          <w:tcPr>
            <w:tcW w:type="dxa" w:w="566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Key Milestones</w:t>
            </w:r>
          </w:p>
        </w:tc>
      </w:tr>
      <w:tr>
        <w:tc>
          <w:tcPr>
            <w:tcW w:type="dxa" w:w="15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Due Diligence</w:t>
            </w:r>
          </w:p>
        </w:tc>
        <w:tc>
          <w:tcPr>
            <w:tcW w:type="dxa" w:w="1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1–2</w:t>
            </w:r>
          </w:p>
        </w:tc>
        <w:tc>
          <w:tcPr>
            <w:tcW w:type="dxa" w:w="56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Inspections, Phase I ESA, sprinkler verification, title review, LOI to PSA</w:t>
            </w:r>
          </w:p>
        </w:tc>
      </w:tr>
      <w:tr>
        <w:tc>
          <w:tcPr>
            <w:tcW w:type="dxa" w:w="15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Acquisition Close</w:t>
            </w:r>
          </w:p>
        </w:tc>
        <w:tc>
          <w:tcPr>
            <w:tcW w:type="dxa" w:w="1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3</w:t>
            </w:r>
          </w:p>
        </w:tc>
        <w:tc>
          <w:tcPr>
            <w:tcW w:type="dxa" w:w="56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Financing close; entity holds title; building delivered vacant</w:t>
            </w:r>
          </w:p>
        </w:tc>
      </w:tr>
      <w:tr>
        <w:tc>
          <w:tcPr>
            <w:tcW w:type="dxa" w:w="15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Design &amp; Permitting</w:t>
            </w:r>
          </w:p>
        </w:tc>
        <w:tc>
          <w:tcPr>
            <w:tcW w:type="dxa" w:w="1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3–5</w:t>
            </w:r>
          </w:p>
        </w:tc>
        <w:tc>
          <w:tcPr>
            <w:tcW w:type="dxa" w:w="56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Architect engaged; acoustic engineer; TABC pre-application; permits submitted</w:t>
            </w:r>
          </w:p>
        </w:tc>
      </w:tr>
      <w:tr>
        <w:tc>
          <w:tcPr>
            <w:tcW w:type="dxa" w:w="15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Demolition &amp; Core</w:t>
            </w:r>
          </w:p>
        </w:tc>
        <w:tc>
          <w:tcPr>
            <w:tcW w:type="dxa" w:w="1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4–6</w:t>
            </w:r>
          </w:p>
        </w:tc>
        <w:tc>
          <w:tcPr>
            <w:tcW w:type="dxa" w:w="56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Demo of TWC interiors; MEP rough-in; structural prep for floating floors</w:t>
            </w:r>
          </w:p>
        </w:tc>
      </w:tr>
      <w:tr>
        <w:tc>
          <w:tcPr>
            <w:tcW w:type="dxa" w:w="15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A–C Buildout</w:t>
            </w:r>
          </w:p>
        </w:tc>
        <w:tc>
          <w:tcPr>
            <w:tcW w:type="dxa" w:w="1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5–10</w:t>
            </w:r>
          </w:p>
        </w:tc>
        <w:tc>
          <w:tcPr>
            <w:tcW w:type="dxa" w:w="56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Acoustic construction; room finishing; AV/lighting install</w:t>
            </w:r>
          </w:p>
        </w:tc>
      </w:tr>
      <w:tr>
        <w:tc>
          <w:tcPr>
            <w:tcW w:type="dxa" w:w="15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F Buildout</w:t>
            </w:r>
          </w:p>
        </w:tc>
        <w:tc>
          <w:tcPr>
            <w:tcW w:type="dxa" w:w="1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5–10</w:t>
            </w:r>
          </w:p>
        </w:tc>
        <w:tc>
          <w:tcPr>
            <w:tcW w:type="dxa" w:w="56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Stage, bar, HVAC, lighting, sound system; TABC inspection</w:t>
            </w:r>
          </w:p>
        </w:tc>
      </w:tr>
      <w:tr>
        <w:tc>
          <w:tcPr>
            <w:tcW w:type="dxa" w:w="15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FF&amp;E &amp; Technology</w:t>
            </w:r>
          </w:p>
        </w:tc>
        <w:tc>
          <w:tcPr>
            <w:tcW w:type="dxa" w:w="1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10–11</w:t>
            </w:r>
          </w:p>
        </w:tc>
        <w:tc>
          <w:tcPr>
            <w:tcW w:type="dxa" w:w="56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Booking software, POS, access control, security cameras</w:t>
            </w:r>
          </w:p>
        </w:tc>
      </w:tr>
      <w:tr>
        <w:tc>
          <w:tcPr>
            <w:tcW w:type="dxa" w:w="15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Soft Launch</w:t>
            </w:r>
          </w:p>
        </w:tc>
        <w:tc>
          <w:tcPr>
            <w:tcW w:type="dxa" w:w="1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12</w:t>
            </w:r>
          </w:p>
        </w:tc>
        <w:tc>
          <w:tcPr>
            <w:tcW w:type="dxa" w:w="56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Preview events; beta users; staff training</w:t>
            </w:r>
          </w:p>
        </w:tc>
      </w:tr>
      <w:tr>
        <w:tc>
          <w:tcPr>
            <w:tcW w:type="dxa" w:w="15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Grand Opening</w:t>
            </w:r>
          </w:p>
        </w:tc>
        <w:tc>
          <w:tcPr>
            <w:tcW w:type="dxa" w:w="1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13</w:t>
            </w:r>
          </w:p>
        </w:tc>
        <w:tc>
          <w:tcPr>
            <w:tcW w:type="dxa" w:w="56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Full public opening; marketing push; first ticketed venue shows</w:t>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pStyle w:val="Heading2"/>
        <w:spacing w:before="260" w:after="100"/>
      </w:pPr>
      <w:r>
        <w:rPr>
          <w:rFonts w:ascii="Arial" w:cs="Arial" w:eastAsia="Arial" w:hAnsi="Arial"/>
          <w:b/>
          <w:bCs/>
          <w:color w:val="1B2A4A"/>
          <w:sz w:val="28"/>
          <w:szCs w:val="28"/>
        </w:rPr>
        <w:t xml:space="preserve">Staffing Plan</w:t>
      </w:r>
    </w:p>
    <w:p>
      <w:pPr>
        <w:spacing w:before="80" w:after="160"/>
      </w:pPr>
      <w:r>
        <w:rPr>
          <w:rFonts w:ascii="Arial" w:cs="Arial" w:eastAsia="Arial" w:hAnsi="Arial"/>
          <w:i/>
          <w:iCs/>
          <w:color w:val="444444"/>
          <w:sz w:val="22"/>
          <w:szCs w:val="22"/>
        </w:rPr>
        <w:t xml:space="preserve">SMC will launch with a lean-to-mid team of 3–5 core staff, supplemented by part-time and contract labor for venue operations.</w:t>
      </w:r>
    </w:p>
    <w:tbl>
      <w:tblPr>
        <w:tblW w:type="dxa" w:w="8360"/>
        <w:tblBorders>
          <w:top w:val="single" w:color="auto" w:sz="4"/>
          <w:left w:val="single" w:color="auto" w:sz="4"/>
          <w:bottom w:val="single" w:color="auto" w:sz="4"/>
          <w:right w:val="single" w:color="auto" w:sz="4"/>
          <w:insideH w:val="single" w:color="auto" w:sz="4"/>
          <w:insideV w:val="single" w:color="auto" w:sz="4"/>
        </w:tblBorders>
      </w:tblPr>
      <w:tblGrid>
        <w:gridCol w:w="2000"/>
        <w:gridCol w:w="1500"/>
        <w:gridCol w:w="1600"/>
        <w:gridCol w:w="3260"/>
      </w:tblGrid>
      <w:tr>
        <w:trPr>
          <w:tblHeader/>
        </w:trPr>
        <w:tc>
          <w:tcPr>
            <w:tcW w:type="dxa" w:w="20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Role</w:t>
            </w:r>
          </w:p>
        </w:tc>
        <w:tc>
          <w:tcPr>
            <w:tcW w:type="dxa" w:w="15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Type</w:t>
            </w:r>
          </w:p>
        </w:tc>
        <w:tc>
          <w:tcPr>
            <w:tcW w:type="dxa" w:w="16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Timing</w:t>
            </w:r>
          </w:p>
        </w:tc>
        <w:tc>
          <w:tcPr>
            <w:tcW w:type="dxa" w:w="326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Responsibilities</w:t>
            </w:r>
          </w:p>
        </w:tc>
      </w:tr>
      <w:tr>
        <w:tc>
          <w:tcPr>
            <w:tcW w:type="dxa" w:w="2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General Manager</w:t>
            </w:r>
          </w:p>
        </w:tc>
        <w:tc>
          <w:tcPr>
            <w:tcW w:type="dxa" w:w="15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Full-time salaried</w:t>
            </w:r>
          </w:p>
        </w:tc>
        <w:tc>
          <w:tcPr>
            <w:tcW w:type="dxa" w:w="1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8 (pre-open)</w:t>
            </w:r>
          </w:p>
        </w:tc>
        <w:tc>
          <w:tcPr>
            <w:tcW w:type="dxa" w:w="32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Day-to-day ops, tenant relations, bookings oversight, P&amp;L</w:t>
            </w:r>
          </w:p>
        </w:tc>
      </w:tr>
      <w:tr>
        <w:tc>
          <w:tcPr>
            <w:tcW w:type="dxa" w:w="2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Venue &amp; Events Manager</w:t>
            </w:r>
          </w:p>
        </w:tc>
        <w:tc>
          <w:tcPr>
            <w:tcW w:type="dxa" w:w="15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Full-time salaried</w:t>
            </w:r>
          </w:p>
        </w:tc>
        <w:tc>
          <w:tcPr>
            <w:tcW w:type="dxa" w:w="1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10 (pre-open)</w:t>
            </w:r>
          </w:p>
        </w:tc>
        <w:tc>
          <w:tcPr>
            <w:tcW w:type="dxa" w:w="32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Show booking, promoter relations, private events, TABC compliance</w:t>
            </w:r>
          </w:p>
        </w:tc>
      </w:tr>
      <w:tr>
        <w:tc>
          <w:tcPr>
            <w:tcW w:type="dxa" w:w="2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Facilities / Tech Manager</w:t>
            </w:r>
          </w:p>
        </w:tc>
        <w:tc>
          <w:tcPr>
            <w:tcW w:type="dxa" w:w="15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Full-time hourly</w:t>
            </w:r>
          </w:p>
        </w:tc>
        <w:tc>
          <w:tcPr>
            <w:tcW w:type="dxa" w:w="1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11</w:t>
            </w:r>
          </w:p>
        </w:tc>
        <w:tc>
          <w:tcPr>
            <w:tcW w:type="dxa" w:w="32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Room maintenance, AV support, building systems</w:t>
            </w:r>
          </w:p>
        </w:tc>
      </w:tr>
      <w:tr>
        <w:tc>
          <w:tcPr>
            <w:tcW w:type="dxa" w:w="2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Front Desk / Booking</w:t>
            </w:r>
          </w:p>
        </w:tc>
        <w:tc>
          <w:tcPr>
            <w:tcW w:type="dxa" w:w="15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Part-time (2 shifts)</w:t>
            </w:r>
          </w:p>
        </w:tc>
        <w:tc>
          <w:tcPr>
            <w:tcW w:type="dxa" w:w="1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12</w:t>
            </w:r>
          </w:p>
        </w:tc>
        <w:tc>
          <w:tcPr>
            <w:tcW w:type="dxa" w:w="32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Customer check-in, phone/online booking support, cash handling</w:t>
            </w:r>
          </w:p>
        </w:tc>
      </w:tr>
      <w:tr>
        <w:tc>
          <w:tcPr>
            <w:tcW w:type="dxa" w:w="2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Bar Staff</w:t>
            </w:r>
          </w:p>
        </w:tc>
        <w:tc>
          <w:tcPr>
            <w:tcW w:type="dxa" w:w="15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Part-time contract</w:t>
            </w:r>
          </w:p>
        </w:tc>
        <w:tc>
          <w:tcPr>
            <w:tcW w:type="dxa" w:w="1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Month 12</w:t>
            </w:r>
          </w:p>
        </w:tc>
        <w:tc>
          <w:tcPr>
            <w:tcW w:type="dxa" w:w="32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Bartenders and barbacks on venue nights (typically Thu–Sat)</w:t>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spacing w:before="80" w:after="80" w:line="276"/>
        <w:jc w:val="left"/>
      </w:pPr>
      <w:r>
        <w:rPr>
          <w:rFonts w:ascii="Arial" w:cs="Arial" w:eastAsia="Arial" w:hAnsi="Arial"/>
          <w:b w:val="false"/>
          <w:bCs w:val="false"/>
          <w:i w:val="false"/>
          <w:iCs w:val="false"/>
          <w:color w:val="1A1A2E"/>
          <w:sz w:val="22"/>
          <w:szCs w:val="22"/>
        </w:rPr>
        <w:t xml:space="preserve">The founding partners — Taylor Robinson (tech platform, acquisition lead), Daniel Lindenberg (real estate, construction, leasing), and Jeff Munn (operations, music programming, community) — provide executive oversight and deep functional coverage during pre-opening and ramp. Jeff Munn will serve as General Manager and Music Programming Director on a full-time basis. As the business matures, operational authority will be distributed across the team with contracted support for production suite engineering as demand warrants.</w:t>
      </w:r>
    </w:p>
    <w:p>
      <w:pPr>
        <w:pStyle w:val="Heading2"/>
        <w:spacing w:before="260" w:after="100"/>
      </w:pPr>
      <w:r>
        <w:rPr>
          <w:rFonts w:ascii="Arial" w:cs="Arial" w:eastAsia="Arial" w:hAnsi="Arial"/>
          <w:b/>
          <w:bCs/>
          <w:color w:val="1B2A4A"/>
          <w:sz w:val="28"/>
          <w:szCs w:val="28"/>
        </w:rPr>
        <w:t xml:space="preserve">Technology &amp; Systems</w:t>
      </w:r>
    </w:p>
    <w:p>
      <w:pPr>
        <w:pStyle w:val="ListParagraph"/>
        <w:numPr>
          <w:ilvl w:val="0"/>
          <w:numId w:val="2"/>
        </w:numPr>
        <w:spacing w:before="60" w:after="60" w:line="276"/>
      </w:pPr>
      <w:r>
        <w:rPr>
          <w:rFonts w:ascii="Arial" w:cs="Arial" w:eastAsia="Arial" w:hAnsi="Arial"/>
          <w:color w:val="1A1A2E"/>
          <w:sz w:val="22"/>
          <w:szCs w:val="22"/>
        </w:rPr>
        <w:t xml:space="preserve">Online Booking Platform: Self-service hourly reservations with real-time availability, credit card pre-auth, and automated confirmation/reminder emails (Skedda, Resova, or comparable)</w:t>
      </w:r>
    </w:p>
    <w:p>
      <w:pPr>
        <w:pStyle w:val="ListParagraph"/>
        <w:numPr>
          <w:ilvl w:val="0"/>
          <w:numId w:val="2"/>
        </w:numPr>
        <w:spacing w:before="60" w:after="60" w:line="276"/>
      </w:pPr>
      <w:r>
        <w:rPr>
          <w:rFonts w:ascii="Arial" w:cs="Arial" w:eastAsia="Arial" w:hAnsi="Arial"/>
          <w:color w:val="1A1A2E"/>
          <w:sz w:val="22"/>
          <w:szCs w:val="22"/>
        </w:rPr>
        <w:t xml:space="preserve">Access Control: Keypad/fob entry for each room; integrates with booking platform for time-locked access; no on-site attendant required for standard bookings</w:t>
      </w:r>
    </w:p>
    <w:p>
      <w:pPr>
        <w:pStyle w:val="ListParagraph"/>
        <w:numPr>
          <w:ilvl w:val="0"/>
          <w:numId w:val="2"/>
        </w:numPr>
        <w:spacing w:before="60" w:after="60" w:line="276"/>
      </w:pPr>
      <w:r>
        <w:rPr>
          <w:rFonts w:ascii="Arial" w:cs="Arial" w:eastAsia="Arial" w:hAnsi="Arial"/>
          <w:color w:val="1A1A2E"/>
          <w:sz w:val="22"/>
          <w:szCs w:val="22"/>
        </w:rPr>
        <w:t xml:space="preserve">Point-of-Sale: Square or Toast POS for bar and retail; integrated with inventory management</w:t>
      </w:r>
    </w:p>
    <w:p>
      <w:pPr>
        <w:pStyle w:val="ListParagraph"/>
        <w:numPr>
          <w:ilvl w:val="0"/>
          <w:numId w:val="2"/>
        </w:numPr>
        <w:spacing w:before="60" w:after="60" w:line="276"/>
      </w:pPr>
      <w:r>
        <w:rPr>
          <w:rFonts w:ascii="Arial" w:cs="Arial" w:eastAsia="Arial" w:hAnsi="Arial"/>
          <w:color w:val="1A1A2E"/>
          <w:sz w:val="22"/>
          <w:szCs w:val="22"/>
        </w:rPr>
        <w:t xml:space="preserve">CCTV / Security: Full coverage of all hallways, entry points, parking lot, and common areas; cloud-recorded</w:t>
      </w:r>
    </w:p>
    <w:p>
      <w:pPr>
        <w:pStyle w:val="ListParagraph"/>
        <w:numPr>
          <w:ilvl w:val="0"/>
          <w:numId w:val="2"/>
        </w:numPr>
        <w:spacing w:before="60" w:after="60" w:line="276"/>
      </w:pPr>
      <w:r>
        <w:rPr>
          <w:rFonts w:ascii="Arial" w:cs="Arial" w:eastAsia="Arial" w:hAnsi="Arial"/>
          <w:color w:val="1A1A2E"/>
          <w:sz w:val="22"/>
          <w:szCs w:val="22"/>
        </w:rPr>
        <w:t xml:space="preserve">Accounting: QuickBooks or Xero with monthly management accounts</w:t>
      </w:r>
    </w:p>
    <w:p>
      <w:pPr>
        <w:pStyle w:val="ListParagraph"/>
        <w:numPr>
          <w:ilvl w:val="0"/>
          <w:numId w:val="2"/>
        </w:numPr>
        <w:spacing w:before="60" w:after="60" w:line="276"/>
      </w:pPr>
      <w:r>
        <w:rPr>
          <w:rFonts w:ascii="Arial" w:cs="Arial" w:eastAsia="Arial" w:hAnsi="Arial"/>
          <w:color w:val="1A1A2E"/>
          <w:sz w:val="22"/>
          <w:szCs w:val="22"/>
        </w:rPr>
        <w:t xml:space="preserve">Property Management: Internal spreadsheet model evolving to dedicated PM software for co-tenant leases</w:t>
      </w:r>
    </w:p>
    <w:p>
      <w:pPr>
        <w:pStyle w:val="Heading2"/>
        <w:spacing w:before="260" w:after="100"/>
      </w:pPr>
      <w:r>
        <w:rPr>
          <w:rFonts w:ascii="Arial" w:cs="Arial" w:eastAsia="Arial" w:hAnsi="Arial"/>
          <w:b/>
          <w:bCs/>
          <w:color w:val="1B2A4A"/>
          <w:sz w:val="28"/>
          <w:szCs w:val="28"/>
        </w:rPr>
        <w:t xml:space="preserve">Venue Operations</w:t>
      </w:r>
    </w:p>
    <w:p>
      <w:pPr>
        <w:spacing w:before="80" w:after="80" w:line="276"/>
        <w:jc w:val="left"/>
      </w:pPr>
      <w:r>
        <w:rPr>
          <w:rFonts w:ascii="Arial" w:cs="Arial" w:eastAsia="Arial" w:hAnsi="Arial"/>
          <w:b w:val="false"/>
          <w:bCs w:val="false"/>
          <w:i w:val="false"/>
          <w:iCs w:val="false"/>
          <w:color w:val="1A1A2E"/>
          <w:sz w:val="22"/>
          <w:szCs w:val="22"/>
        </w:rPr>
        <w:t xml:space="preserve">The live music venue will operate under a hybrid model:</w:t>
      </w:r>
    </w:p>
    <w:p>
      <w:pPr>
        <w:pStyle w:val="ListParagraph"/>
        <w:numPr>
          <w:ilvl w:val="0"/>
          <w:numId w:val="2"/>
        </w:numPr>
        <w:spacing w:before="60" w:after="60" w:line="276"/>
      </w:pPr>
      <w:r>
        <w:rPr>
          <w:rFonts w:ascii="Arial" w:cs="Arial" w:eastAsia="Arial" w:hAnsi="Arial"/>
          <w:color w:val="1A1A2E"/>
          <w:sz w:val="22"/>
          <w:szCs w:val="22"/>
        </w:rPr>
        <w:t xml:space="preserve">SMC-Promoted Shows: The Music Union 512 books the act, controls ticket sales (via Eventbrite or similar), retains 100% of door and bar</w:t>
      </w:r>
    </w:p>
    <w:p>
      <w:pPr>
        <w:pStyle w:val="ListParagraph"/>
        <w:numPr>
          <w:ilvl w:val="0"/>
          <w:numId w:val="2"/>
        </w:numPr>
        <w:spacing w:before="60" w:after="60" w:line="276"/>
      </w:pPr>
      <w:r>
        <w:rPr>
          <w:rFonts w:ascii="Arial" w:cs="Arial" w:eastAsia="Arial" w:hAnsi="Arial"/>
          <w:color w:val="1A1A2E"/>
          <w:sz w:val="22"/>
          <w:szCs w:val="22"/>
        </w:rPr>
        <w:t xml:space="preserve">Promoter Partnerships: Third-party promoter books and markets the show; The Music Union 512 receives venue fee ($500–$1,500) or negotiated split of door; The Music Union 512 retains 100% of bar</w:t>
      </w:r>
    </w:p>
    <w:p>
      <w:pPr>
        <w:pStyle w:val="ListParagraph"/>
        <w:numPr>
          <w:ilvl w:val="0"/>
          <w:numId w:val="2"/>
        </w:numPr>
        <w:spacing w:before="60" w:after="60" w:line="276"/>
      </w:pPr>
      <w:r>
        <w:rPr>
          <w:rFonts w:ascii="Arial" w:cs="Arial" w:eastAsia="Arial" w:hAnsi="Arial"/>
          <w:color w:val="1A1A2E"/>
          <w:sz w:val="22"/>
          <w:szCs w:val="22"/>
        </w:rPr>
        <w:t xml:space="preserve">Private Buyouts: Client purchases full venue rental ($2,500–$5,000 + bar minimum); The Music Union 512 retains all revenue</w:t>
      </w:r>
    </w:p>
    <w:p>
      <w:pPr>
        <w:spacing w:before="80" w:after="80" w:line="276"/>
        <w:jc w:val="left"/>
      </w:pPr>
      <w:r>
        <w:rPr>
          <w:rFonts w:ascii="Arial" w:cs="Arial" w:eastAsia="Arial" w:hAnsi="Arial"/>
          <w:b w:val="false"/>
          <w:bCs w:val="false"/>
          <w:i w:val="false"/>
          <w:iCs w:val="false"/>
          <w:color w:val="1A1A2E"/>
          <w:sz w:val="22"/>
          <w:szCs w:val="22"/>
        </w:rPr>
        <w:t xml:space="preserve">TABC Mixed Beverage Permit will be pursued immediately post-close. Permit timeline in Texas is typically 45–90 days once the physical location is permitted for occupancy. A dedicated bar manager will be hired prior to first venue night.</w:t>
      </w:r>
    </w:p>
    <w:p>
      <w:pPr>
        <w:pStyle w:val="Heading1"/>
        <w:pageBreakBefore/>
        <w:pBdr>
          <w:bottom w:val="single" w:color="C9A84C" w:sz="8" w:space="4"/>
        </w:pBdr>
        <w:spacing w:before="360" w:after="160"/>
      </w:pPr>
      <w:r>
        <w:rPr>
          <w:rFonts w:ascii="Arial" w:cs="Arial" w:eastAsia="Arial" w:hAnsi="Arial"/>
          <w:b/>
          <w:bCs/>
          <w:color w:val="1B2A4A"/>
          <w:sz w:val="36"/>
          <w:szCs w:val="36"/>
        </w:rPr>
        <w:t xml:space="preserve">8.  Marketing &amp; Go-to-Market Strategy</w:t>
      </w:r>
    </w:p>
    <w:p>
      <w:pPr>
        <w:pStyle w:val="Heading2"/>
        <w:spacing w:before="260" w:after="100"/>
      </w:pPr>
      <w:r>
        <w:rPr>
          <w:rFonts w:ascii="Arial" w:cs="Arial" w:eastAsia="Arial" w:hAnsi="Arial"/>
          <w:b/>
          <w:bCs/>
          <w:color w:val="1B2A4A"/>
          <w:sz w:val="28"/>
          <w:szCs w:val="28"/>
        </w:rPr>
        <w:t xml:space="preserve">Brand Positioning</w:t>
      </w:r>
    </w:p>
    <w:p>
      <w:pPr>
        <w:spacing w:before="80" w:after="80" w:line="276"/>
        <w:jc w:val="left"/>
      </w:pPr>
      <w:r>
        <w:rPr>
          <w:rFonts w:ascii="Arial" w:cs="Arial" w:eastAsia="Arial" w:hAnsi="Arial"/>
          <w:b w:val="false"/>
          <w:bCs w:val="false"/>
          <w:i w:val="false"/>
          <w:iCs w:val="false"/>
          <w:color w:val="1A1A2E"/>
          <w:sz w:val="22"/>
          <w:szCs w:val="22"/>
        </w:rPr>
        <w:t xml:space="preserve">The Music Union 512 occupies the mid-market professional tier: accessible enough for Austin's working musician community, premium enough to attract serious artists, podcasters, and corporate clients. The brand will emphasize community, authenticity, and craft — not exclusivity. This positioning differentiates The Music Union 512 from both the low-end hourly rehearsal sheds and the premium boutique recording studios that serve only signed or major-budget clients.</w:t>
      </w:r>
    </w:p>
    <w:p>
      <w:pPr>
        <w:pStyle w:val="Heading2"/>
        <w:spacing w:before="260" w:after="100"/>
      </w:pPr>
      <w:r>
        <w:rPr>
          <w:rFonts w:ascii="Arial" w:cs="Arial" w:eastAsia="Arial" w:hAnsi="Arial"/>
          <w:b/>
          <w:bCs/>
          <w:color w:val="1B2A4A"/>
          <w:sz w:val="28"/>
          <w:szCs w:val="28"/>
        </w:rPr>
        <w:t xml:space="preserve">Pre-Opening Strategy (Months 1–12)</w:t>
      </w:r>
    </w:p>
    <w:p>
      <w:pPr>
        <w:pStyle w:val="ListParagraph"/>
        <w:numPr>
          <w:ilvl w:val="0"/>
          <w:numId w:val="2"/>
        </w:numPr>
        <w:spacing w:before="60" w:after="60" w:line="276"/>
      </w:pPr>
      <w:r>
        <w:rPr>
          <w:rFonts w:ascii="Arial" w:cs="Arial" w:eastAsia="Arial" w:hAnsi="Arial"/>
          <w:color w:val="1A1A2E"/>
          <w:sz w:val="22"/>
          <w:szCs w:val="22"/>
        </w:rPr>
        <w:t xml:space="preserve">Pre-lease Zone E coworking suites (target 50% private suite occupancy at opening); retail anchor (Zone D) signed before construction completion to ensure revenue day one</w:t>
      </w:r>
    </w:p>
    <w:p>
      <w:pPr>
        <w:pStyle w:val="ListParagraph"/>
        <w:numPr>
          <w:ilvl w:val="0"/>
          <w:numId w:val="2"/>
        </w:numPr>
        <w:spacing w:before="60" w:after="60" w:line="276"/>
      </w:pPr>
      <w:r>
        <w:rPr>
          <w:rFonts w:ascii="Arial" w:cs="Arial" w:eastAsia="Arial" w:hAnsi="Arial"/>
          <w:color w:val="1A1A2E"/>
          <w:sz w:val="22"/>
          <w:szCs w:val="22"/>
        </w:rPr>
        <w:t xml:space="preserve">Build social media presence across Instagram, TikTok, and Facebook documenting the buildout — 'before and after' content is proven content for creative-space audiences</w:t>
      </w:r>
    </w:p>
    <w:p>
      <w:pPr>
        <w:pStyle w:val="ListParagraph"/>
        <w:numPr>
          <w:ilvl w:val="0"/>
          <w:numId w:val="2"/>
        </w:numPr>
        <w:spacing w:before="60" w:after="60" w:line="276"/>
      </w:pPr>
      <w:r>
        <w:rPr>
          <w:rFonts w:ascii="Arial" w:cs="Arial" w:eastAsia="Arial" w:hAnsi="Arial"/>
          <w:color w:val="1A1A2E"/>
          <w:sz w:val="22"/>
          <w:szCs w:val="22"/>
        </w:rPr>
        <w:t xml:space="preserve">Develop relationships with Austin music venues, promoters, and bookers 6 months before venue opening</w:t>
      </w:r>
    </w:p>
    <w:p>
      <w:pPr>
        <w:pStyle w:val="ListParagraph"/>
        <w:numPr>
          <w:ilvl w:val="0"/>
          <w:numId w:val="2"/>
        </w:numPr>
        <w:spacing w:before="60" w:after="60" w:line="276"/>
      </w:pPr>
      <w:r>
        <w:rPr>
          <w:rFonts w:ascii="Arial" w:cs="Arial" w:eastAsia="Arial" w:hAnsi="Arial"/>
          <w:color w:val="1A1A2E"/>
          <w:sz w:val="22"/>
          <w:szCs w:val="22"/>
        </w:rPr>
        <w:t xml:space="preserve">Create founding member rehearsal packages (e.g., 'Charter Member' at 10% discount for first 50 members who pre-commit)</w:t>
      </w:r>
    </w:p>
    <w:p>
      <w:pPr>
        <w:pStyle w:val="ListParagraph"/>
        <w:numPr>
          <w:ilvl w:val="0"/>
          <w:numId w:val="2"/>
        </w:numPr>
        <w:spacing w:before="60" w:after="60" w:line="276"/>
      </w:pPr>
      <w:r>
        <w:rPr>
          <w:rFonts w:ascii="Arial" w:cs="Arial" w:eastAsia="Arial" w:hAnsi="Arial"/>
          <w:color w:val="1A1A2E"/>
          <w:sz w:val="22"/>
          <w:szCs w:val="22"/>
        </w:rPr>
        <w:t xml:space="preserve">Leverage existing Austin music community networks — AFM Local 433, Austin Music Census contacts, SIMS Foundation, Austin Creative Alliance</w:t>
      </w:r>
    </w:p>
    <w:p>
      <w:pPr>
        <w:pStyle w:val="Heading2"/>
        <w:spacing w:before="260" w:after="100"/>
      </w:pPr>
      <w:r>
        <w:rPr>
          <w:rFonts w:ascii="Arial" w:cs="Arial" w:eastAsia="Arial" w:hAnsi="Arial"/>
          <w:b/>
          <w:bCs/>
          <w:color w:val="1B2A4A"/>
          <w:sz w:val="28"/>
          <w:szCs w:val="28"/>
        </w:rPr>
        <w:t xml:space="preserve">Launch &amp; Ongoing Marketing</w:t>
      </w:r>
    </w:p>
    <w:p>
      <w:pPr>
        <w:pStyle w:val="ListParagraph"/>
        <w:numPr>
          <w:ilvl w:val="0"/>
          <w:numId w:val="2"/>
        </w:numPr>
        <w:spacing w:before="60" w:after="60" w:line="276"/>
      </w:pPr>
      <w:r>
        <w:rPr>
          <w:rFonts w:ascii="Arial" w:cs="Arial" w:eastAsia="Arial" w:hAnsi="Arial"/>
          <w:color w:val="1A1A2E"/>
          <w:sz w:val="22"/>
          <w:szCs w:val="22"/>
        </w:rPr>
        <w:t xml:space="preserve">Grand Opening event: Multi-day festival-style launch with live performances across multiple acts; invite press, industry, and community</w:t>
      </w:r>
    </w:p>
    <w:p>
      <w:pPr>
        <w:pStyle w:val="ListParagraph"/>
        <w:numPr>
          <w:ilvl w:val="0"/>
          <w:numId w:val="2"/>
        </w:numPr>
        <w:spacing w:before="60" w:after="60" w:line="276"/>
      </w:pPr>
      <w:r>
        <w:rPr>
          <w:rFonts w:ascii="Arial" w:cs="Arial" w:eastAsia="Arial" w:hAnsi="Arial"/>
          <w:color w:val="1A1A2E"/>
          <w:sz w:val="22"/>
          <w:szCs w:val="22"/>
        </w:rPr>
        <w:t xml:space="preserve">SEO-optimized website with real-time booking calendar; Google Ads targeting 'Austin rehearsal space,' 'Austin recording studio,' 'Austin podcast studio'</w:t>
      </w:r>
    </w:p>
    <w:p>
      <w:pPr>
        <w:pStyle w:val="ListParagraph"/>
        <w:numPr>
          <w:ilvl w:val="0"/>
          <w:numId w:val="2"/>
        </w:numPr>
        <w:spacing w:before="60" w:after="60" w:line="276"/>
      </w:pPr>
      <w:r>
        <w:rPr>
          <w:rFonts w:ascii="Arial" w:cs="Arial" w:eastAsia="Arial" w:hAnsi="Arial"/>
          <w:color w:val="1A1A2E"/>
          <w:sz w:val="22"/>
          <w:szCs w:val="22"/>
        </w:rPr>
        <w:t xml:space="preserve">Partnership with Austin Music Commission and Austin Convention &amp; Visitors Bureau for SXSW and ACL Fest period promotions</w:t>
      </w:r>
    </w:p>
    <w:p>
      <w:pPr>
        <w:pStyle w:val="ListParagraph"/>
        <w:numPr>
          <w:ilvl w:val="0"/>
          <w:numId w:val="2"/>
        </w:numPr>
        <w:spacing w:before="60" w:after="60" w:line="276"/>
      </w:pPr>
      <w:r>
        <w:rPr>
          <w:rFonts w:ascii="Arial" w:cs="Arial" w:eastAsia="Arial" w:hAnsi="Arial"/>
          <w:color w:val="1A1A2E"/>
          <w:sz w:val="22"/>
          <w:szCs w:val="22"/>
        </w:rPr>
        <w:t xml:space="preserve">Referral program: Existing customers receive rental credits for referring new members</w:t>
      </w:r>
    </w:p>
    <w:p>
      <w:pPr>
        <w:pStyle w:val="ListParagraph"/>
        <w:numPr>
          <w:ilvl w:val="0"/>
          <w:numId w:val="2"/>
        </w:numPr>
        <w:spacing w:before="60" w:after="60" w:line="276"/>
      </w:pPr>
      <w:r>
        <w:rPr>
          <w:rFonts w:ascii="Arial" w:cs="Arial" w:eastAsia="Arial" w:hAnsi="Arial"/>
          <w:color w:val="1A1A2E"/>
          <w:sz w:val="22"/>
          <w:szCs w:val="22"/>
        </w:rPr>
        <w:t xml:space="preserve">Corporate podcast and content marketing push: outreach to Austin's tech and media companies (Dell, Apple, Tesla, Whole Foods HQ, etc.) for recurring creator studio bookings</w:t>
      </w:r>
    </w:p>
    <w:p>
      <w:pPr>
        <w:pStyle w:val="ListParagraph"/>
        <w:numPr>
          <w:ilvl w:val="0"/>
          <w:numId w:val="2"/>
        </w:numPr>
        <w:spacing w:before="60" w:after="60" w:line="276"/>
      </w:pPr>
      <w:r>
        <w:rPr>
          <w:rFonts w:ascii="Arial" w:cs="Arial" w:eastAsia="Arial" w:hAnsi="Arial"/>
          <w:color w:val="1A1A2E"/>
          <w:sz w:val="22"/>
          <w:szCs w:val="22"/>
        </w:rPr>
        <w:t xml:space="preserve">Promoter network: Establish ongoing relationships with Austin's top independent promoters (Transmission Events, C3 Presents alumni, etc.) for consistent venue programming</w:t>
      </w:r>
    </w:p>
    <w:p>
      <w:pPr>
        <w:pStyle w:val="Heading2"/>
        <w:spacing w:before="260" w:after="100"/>
      </w:pPr>
      <w:r>
        <w:rPr>
          <w:rFonts w:ascii="Arial" w:cs="Arial" w:eastAsia="Arial" w:hAnsi="Arial"/>
          <w:b/>
          <w:bCs/>
          <w:color w:val="1B2A4A"/>
          <w:sz w:val="28"/>
          <w:szCs w:val="28"/>
        </w:rPr>
        <w:t xml:space="preserve">Revenue-Driving Tactics</w:t>
      </w:r>
    </w:p>
    <w:p>
      <w:pPr>
        <w:pStyle w:val="ListParagraph"/>
        <w:numPr>
          <w:ilvl w:val="0"/>
          <w:numId w:val="2"/>
        </w:numPr>
        <w:spacing w:before="60" w:after="60" w:line="276"/>
      </w:pPr>
      <w:r>
        <w:rPr>
          <w:rFonts w:ascii="Arial" w:cs="Arial" w:eastAsia="Arial" w:hAnsi="Arial"/>
          <w:color w:val="1A1A2E"/>
          <w:sz w:val="22"/>
          <w:szCs w:val="22"/>
        </w:rPr>
        <w:t xml:space="preserve">Monthly membership plans for frequent rehearsal and podcast users — lock in recurring revenue, smooth seasonal variance</w:t>
      </w:r>
    </w:p>
    <w:p>
      <w:pPr>
        <w:pStyle w:val="ListParagraph"/>
        <w:numPr>
          <w:ilvl w:val="0"/>
          <w:numId w:val="2"/>
        </w:numPr>
        <w:spacing w:before="60" w:after="60" w:line="276"/>
      </w:pPr>
      <w:r>
        <w:rPr>
          <w:rFonts w:ascii="Arial" w:cs="Arial" w:eastAsia="Arial" w:hAnsi="Arial"/>
          <w:color w:val="1A1A2E"/>
          <w:sz w:val="22"/>
          <w:szCs w:val="22"/>
        </w:rPr>
        <w:t xml:space="preserve">Equipment rental upsell: Backline rental, microphone kits, stands, DI boxes as add-ons at checkout</w:t>
      </w:r>
    </w:p>
    <w:p>
      <w:pPr>
        <w:pStyle w:val="ListParagraph"/>
        <w:numPr>
          <w:ilvl w:val="0"/>
          <w:numId w:val="2"/>
        </w:numPr>
        <w:spacing w:before="60" w:after="60" w:line="276"/>
      </w:pPr>
      <w:r>
        <w:rPr>
          <w:rFonts w:ascii="Arial" w:cs="Arial" w:eastAsia="Arial" w:hAnsi="Arial"/>
          <w:color w:val="1A1A2E"/>
          <w:sz w:val="22"/>
          <w:szCs w:val="22"/>
        </w:rPr>
        <w:t xml:space="preserve">Recording upgrades: Rehearsal clients can add a simple stereo recording of their session for $25 — high-margin, zero marginal cost</w:t>
      </w:r>
    </w:p>
    <w:p>
      <w:pPr>
        <w:pStyle w:val="ListParagraph"/>
        <w:numPr>
          <w:ilvl w:val="0"/>
          <w:numId w:val="2"/>
        </w:numPr>
        <w:spacing w:before="60" w:after="60" w:line="276"/>
      </w:pPr>
      <w:r>
        <w:rPr>
          <w:rFonts w:ascii="Arial" w:cs="Arial" w:eastAsia="Arial" w:hAnsi="Arial"/>
          <w:color w:val="1A1A2E"/>
          <w:sz w:val="22"/>
          <w:szCs w:val="22"/>
        </w:rPr>
        <w:t xml:space="preserve">SXSW and ACL showcase packages: Premium pricing during festival weeks for both rehearsal and venue</w:t>
      </w:r>
    </w:p>
    <w:p>
      <w:pPr>
        <w:pStyle w:val="ListParagraph"/>
        <w:numPr>
          <w:ilvl w:val="0"/>
          <w:numId w:val="2"/>
        </w:numPr>
        <w:spacing w:before="60" w:after="60" w:line="276"/>
      </w:pPr>
      <w:r>
        <w:rPr>
          <w:rFonts w:ascii="Arial" w:cs="Arial" w:eastAsia="Arial" w:hAnsi="Arial"/>
          <w:color w:val="1A1A2E"/>
          <w:sz w:val="22"/>
          <w:szCs w:val="22"/>
        </w:rPr>
        <w:t xml:space="preserve">Birthday and bachelor/bachelorette band packages: Curated 2-hour rehearsal + bar experience for non-musicians</w:t>
      </w:r>
    </w:p>
    <w:p>
      <w:pPr>
        <w:pStyle w:val="Heading1"/>
        <w:pageBreakBefore/>
        <w:pBdr>
          <w:bottom w:val="single" w:color="C9A84C" w:sz="8" w:space="4"/>
        </w:pBdr>
        <w:spacing w:before="360" w:after="160"/>
      </w:pPr>
      <w:r>
        <w:rPr>
          <w:rFonts w:ascii="Arial" w:cs="Arial" w:eastAsia="Arial" w:hAnsi="Arial"/>
          <w:b/>
          <w:bCs/>
          <w:color w:val="1B2A4A"/>
          <w:sz w:val="36"/>
          <w:szCs w:val="36"/>
        </w:rPr>
        <w:t xml:space="preserve">9.  Risk Analysis &amp; Mitigation</w:t>
      </w:r>
    </w:p>
    <w:p>
      <w:pPr>
        <w:pStyle w:val="Heading2"/>
        <w:spacing w:before="260" w:after="100"/>
      </w:pPr>
      <w:r>
        <w:rPr>
          <w:rFonts w:ascii="Arial" w:cs="Arial" w:eastAsia="Arial" w:hAnsi="Arial"/>
          <w:b/>
          <w:bCs/>
          <w:color w:val="1B2A4A"/>
          <w:sz w:val="28"/>
          <w:szCs w:val="28"/>
        </w:rPr>
        <w:t xml:space="preserve">Risk Matrix</w:t>
      </w:r>
    </w:p>
    <w:tbl>
      <w:tblPr>
        <w:tblW w:type="dxa" w:w="7360"/>
        <w:tblBorders>
          <w:top w:val="single" w:color="auto" w:sz="4"/>
          <w:left w:val="single" w:color="auto" w:sz="4"/>
          <w:bottom w:val="single" w:color="auto" w:sz="4"/>
          <w:right w:val="single" w:color="auto" w:sz="4"/>
          <w:insideH w:val="single" w:color="auto" w:sz="4"/>
          <w:insideV w:val="single" w:color="auto" w:sz="4"/>
        </w:tblBorders>
      </w:tblPr>
      <w:tblGrid>
        <w:gridCol w:w="2200"/>
        <w:gridCol w:w="900"/>
        <w:gridCol w:w="800"/>
        <w:gridCol w:w="3460"/>
      </w:tblGrid>
      <w:tr>
        <w:trPr>
          <w:tblHeader/>
        </w:trPr>
        <w:tc>
          <w:tcPr>
            <w:tcW w:type="dxa" w:w="22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Risk</w:t>
            </w:r>
          </w:p>
        </w:tc>
        <w:tc>
          <w:tcPr>
            <w:tcW w:type="dxa" w:w="9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Likelihood</w:t>
            </w:r>
          </w:p>
        </w:tc>
        <w:tc>
          <w:tcPr>
            <w:tcW w:type="dxa" w:w="8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Impact</w:t>
            </w:r>
          </w:p>
        </w:tc>
        <w:tc>
          <w:tcPr>
            <w:tcW w:type="dxa" w:w="346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Mitigation</w:t>
            </w:r>
          </w:p>
        </w:tc>
      </w:tr>
      <w:tr>
        <w:tc>
          <w:tcPr>
            <w:tcW w:type="dxa" w:w="2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Sprinkler system misrepresentation</w:t>
            </w:r>
          </w:p>
        </w:tc>
        <w:tc>
          <w:tcPr>
            <w:tcW w:type="dxa" w:w="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Medium</w:t>
            </w:r>
          </w:p>
        </w:tc>
        <w:tc>
          <w:tcPr>
            <w:tcW w:type="dxa" w:w="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High</w:t>
            </w:r>
          </w:p>
        </w:tc>
        <w:tc>
          <w:tcPr>
            <w:tcW w:type="dxa" w:w="34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Require seller disclosure + inspection cert before close; price adjustment if deficient</w:t>
            </w:r>
          </w:p>
        </w:tc>
      </w:tr>
      <w:tr>
        <w:tc>
          <w:tcPr>
            <w:tcW w:type="dxa" w:w="2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Construction cost overrun</w:t>
            </w:r>
          </w:p>
        </w:tc>
        <w:tc>
          <w:tcPr>
            <w:tcW w:type="dxa" w:w="9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Medium</w:t>
            </w:r>
          </w:p>
        </w:tc>
        <w:tc>
          <w:tcPr>
            <w:tcW w:type="dxa" w:w="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Medium</w:t>
            </w:r>
          </w:p>
        </w:tc>
        <w:tc>
          <w:tcPr>
            <w:tcW w:type="dxa" w:w="34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10% contingency built in; fixed-price GC contract preferred; phased buildout allows early revenue</w:t>
            </w:r>
          </w:p>
        </w:tc>
      </w:tr>
      <w:tr>
        <w:tc>
          <w:tcPr>
            <w:tcW w:type="dxa" w:w="2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Below-target room occupancy</w:t>
            </w:r>
          </w:p>
        </w:tc>
        <w:tc>
          <w:tcPr>
            <w:tcW w:type="dxa" w:w="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Low-Medium</w:t>
            </w:r>
          </w:p>
        </w:tc>
        <w:tc>
          <w:tcPr>
            <w:tcW w:type="dxa" w:w="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Medium</w:t>
            </w:r>
          </w:p>
        </w:tc>
        <w:tc>
          <w:tcPr>
            <w:tcW w:type="dxa" w:w="34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Break-even at ~23% rehearsal occupancy (~16% with NNN base revenue); membership model drives committed utilization</w:t>
            </w:r>
          </w:p>
        </w:tc>
      </w:tr>
      <w:tr>
        <w:tc>
          <w:tcPr>
            <w:tcW w:type="dxa" w:w="2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TABC permit delay</w:t>
            </w:r>
          </w:p>
        </w:tc>
        <w:tc>
          <w:tcPr>
            <w:tcW w:type="dxa" w:w="9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Low-Medium</w:t>
            </w:r>
          </w:p>
        </w:tc>
        <w:tc>
          <w:tcPr>
            <w:tcW w:type="dxa" w:w="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Medium</w:t>
            </w:r>
          </w:p>
        </w:tc>
        <w:tc>
          <w:tcPr>
            <w:tcW w:type="dxa" w:w="34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File immediately post-close; operate as dry venue (ticket-only) in interim if needed</w:t>
            </w:r>
          </w:p>
        </w:tc>
      </w:tr>
      <w:tr>
        <w:tc>
          <w:tcPr>
            <w:tcW w:type="dxa" w:w="2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Co-tenant vacancy (Zone E)</w:t>
            </w:r>
          </w:p>
        </w:tc>
        <w:tc>
          <w:tcPr>
            <w:tcW w:type="dxa" w:w="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Low</w:t>
            </w:r>
          </w:p>
        </w:tc>
        <w:tc>
          <w:tcPr>
            <w:tcW w:type="dxa" w:w="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Medium</w:t>
            </w:r>
          </w:p>
        </w:tc>
        <w:tc>
          <w:tcPr>
            <w:tcW w:type="dxa" w:w="34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E operated directly; community manager hired 60 days pre-open; pre-lease campaign through TRM network and Jeff’s Austin contactsket demand strong</w:t>
            </w:r>
          </w:p>
        </w:tc>
      </w:tr>
      <w:tr>
        <w:tc>
          <w:tcPr>
            <w:tcW w:type="dxa" w:w="2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Key staff departure</w:t>
            </w:r>
          </w:p>
        </w:tc>
        <w:tc>
          <w:tcPr>
            <w:tcW w:type="dxa" w:w="9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Low</w:t>
            </w:r>
          </w:p>
        </w:tc>
        <w:tc>
          <w:tcPr>
            <w:tcW w:type="dxa" w:w="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Medium</w:t>
            </w:r>
          </w:p>
        </w:tc>
        <w:tc>
          <w:tcPr>
            <w:tcW w:type="dxa" w:w="34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Competitive compensation + equity participation plan for GM and Venue Manager</w:t>
            </w:r>
          </w:p>
        </w:tc>
      </w:tr>
      <w:tr>
        <w:tc>
          <w:tcPr>
            <w:tcW w:type="dxa" w:w="2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Austin market softening</w:t>
            </w:r>
          </w:p>
        </w:tc>
        <w:tc>
          <w:tcPr>
            <w:tcW w:type="dxa" w:w="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Low</w:t>
            </w:r>
          </w:p>
        </w:tc>
        <w:tc>
          <w:tcPr>
            <w:tcW w:type="dxa" w:w="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Medium</w:t>
            </w:r>
          </w:p>
        </w:tc>
        <w:tc>
          <w:tcPr>
            <w:tcW w:type="dxa" w:w="34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Diversified revenue streams across 7 zones; NNN leases provide floor; real estate holds value</w:t>
            </w:r>
          </w:p>
        </w:tc>
      </w:tr>
      <w:tr>
        <w:tc>
          <w:tcPr>
            <w:tcW w:type="dxa" w:w="22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Noise/neighbor complaints</w:t>
            </w:r>
          </w:p>
        </w:tc>
        <w:tc>
          <w:tcPr>
            <w:tcW w:type="dxa" w:w="9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Medium</w:t>
            </w:r>
          </w:p>
        </w:tc>
        <w:tc>
          <w:tcPr>
            <w:tcW w:type="dxa" w:w="8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Low</w:t>
            </w:r>
          </w:p>
        </w:tc>
        <w:tc>
          <w:tcPr>
            <w:tcW w:type="dxa" w:w="34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Acoustic design exceeds code; dedicated venue entrance; sound monitoring; community engagement</w:t>
            </w:r>
          </w:p>
        </w:tc>
      </w:tr>
      <w:tr>
        <w:tc>
          <w:tcPr>
            <w:tcW w:type="dxa" w:w="22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FEMA flood zone reclassification</w:t>
            </w:r>
          </w:p>
        </w:tc>
        <w:tc>
          <w:tcPr>
            <w:tcW w:type="dxa" w:w="9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Very Low</w:t>
            </w:r>
          </w:p>
        </w:tc>
        <w:tc>
          <w:tcPr>
            <w:tcW w:type="dxa" w:w="8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Low</w:t>
            </w:r>
          </w:p>
        </w:tc>
        <w:tc>
          <w:tcPr>
            <w:tcW w:type="dxa" w:w="34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Currently Zone X (confirmed); Atlas 14 restudy may impact; property is elevated relative to creek</w:t>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pStyle w:val="Heading2"/>
        <w:spacing w:before="260" w:after="100"/>
      </w:pPr>
      <w:r>
        <w:rPr>
          <w:rFonts w:ascii="Arial" w:cs="Arial" w:eastAsia="Arial" w:hAnsi="Arial"/>
          <w:b/>
          <w:bCs/>
          <w:color w:val="1B2A4A"/>
          <w:sz w:val="28"/>
          <w:szCs w:val="28"/>
        </w:rPr>
        <w:t xml:space="preserve">Financial Stress Tests</w:t>
      </w:r>
    </w:p>
    <w:p>
      <w:pPr>
        <w:spacing w:before="80" w:after="80" w:line="276"/>
        <w:jc w:val="left"/>
      </w:pPr>
      <w:r>
        <w:rPr>
          <w:rFonts w:ascii="Arial" w:cs="Arial" w:eastAsia="Arial" w:hAnsi="Arial"/>
          <w:b w:val="false"/>
          <w:bCs w:val="false"/>
          <w:i w:val="false"/>
          <w:iCs w:val="false"/>
          <w:color w:val="1A1A2E"/>
          <w:sz w:val="22"/>
          <w:szCs w:val="22"/>
        </w:rPr>
        <w:t xml:space="preserve">The following scenarios were modeled against the base case to assess downside resilience:</w:t>
      </w:r>
    </w:p>
    <w:tbl>
      <w:tblPr>
        <w:tblW w:type="dxa" w:w="8360"/>
        <w:tblBorders>
          <w:top w:val="single" w:color="auto" w:sz="4"/>
          <w:left w:val="single" w:color="auto" w:sz="4"/>
          <w:bottom w:val="single" w:color="auto" w:sz="4"/>
          <w:right w:val="single" w:color="auto" w:sz="4"/>
          <w:insideH w:val="single" w:color="auto" w:sz="4"/>
          <w:insideV w:val="single" w:color="auto" w:sz="4"/>
        </w:tblBorders>
      </w:tblPr>
      <w:tblGrid>
        <w:gridCol w:w="2600"/>
        <w:gridCol w:w="1700"/>
        <w:gridCol w:w="1700"/>
        <w:gridCol w:w="2360"/>
      </w:tblGrid>
      <w:tr>
        <w:trPr>
          <w:tblHeader/>
        </w:trPr>
        <w:tc>
          <w:tcPr>
            <w:tcW w:type="dxa" w:w="26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Scenario</w:t>
            </w:r>
          </w:p>
        </w:tc>
        <w:tc>
          <w:tcPr>
            <w:tcW w:type="dxa" w:w="17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Revenue Impact</w:t>
            </w:r>
          </w:p>
        </w:tc>
        <w:tc>
          <w:tcPr>
            <w:tcW w:type="dxa" w:w="17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NOI Impact</w:t>
            </w:r>
          </w:p>
        </w:tc>
        <w:tc>
          <w:tcPr>
            <w:tcW w:type="dxa" w:w="236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Break-Even?</w:t>
            </w:r>
          </w:p>
        </w:tc>
      </w:tr>
      <w:tr>
        <w:tc>
          <w:tcPr>
            <w:tcW w:type="dxa" w:w="2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Occupancy 20% below base (all hourly zones)</w:t>
            </w:r>
          </w:p>
        </w:tc>
        <w:tc>
          <w:tcPr>
            <w:tcW w:type="dxa" w:w="17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-$218,000/yr</w:t>
            </w:r>
          </w:p>
        </w:tc>
        <w:tc>
          <w:tcPr>
            <w:tcW w:type="dxa" w:w="17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-$218,000/yr</w:t>
            </w:r>
          </w:p>
        </w:tc>
        <w:tc>
          <w:tcPr>
            <w:tcW w:type="dxa" w:w="23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Yes — NOI still positive</w:t>
            </w:r>
          </w:p>
        </w:tc>
      </w:tr>
      <w:tr>
        <w:tc>
          <w:tcPr>
            <w:tcW w:type="dxa" w:w="2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Venue revenue 40% below model</w:t>
            </w:r>
          </w:p>
        </w:tc>
        <w:tc>
          <w:tcPr>
            <w:tcW w:type="dxa" w:w="17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-$350,000/yr</w:t>
            </w:r>
          </w:p>
        </w:tc>
        <w:tc>
          <w:tcPr>
            <w:tcW w:type="dxa" w:w="17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-$350,000/yr</w:t>
            </w:r>
          </w:p>
        </w:tc>
        <w:tc>
          <w:tcPr>
            <w:tcW w:type="dxa" w:w="23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Yes — NOI ~$1.2M at Y3</w:t>
            </w:r>
          </w:p>
        </w:tc>
      </w:tr>
      <w:tr>
        <w:tc>
          <w:tcPr>
            <w:tcW w:type="dxa" w:w="2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Zone E 50% vacant / underperforming</w:t>
            </w:r>
          </w:p>
        </w:tc>
        <w:tc>
          <w:tcPr>
            <w:tcW w:type="dxa" w:w="17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-$162,000/yr</w:t>
            </w:r>
          </w:p>
        </w:tc>
        <w:tc>
          <w:tcPr>
            <w:tcW w:type="dxa" w:w="17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-$162,000/yr</w:t>
            </w:r>
          </w:p>
        </w:tc>
        <w:tc>
          <w:tcPr>
            <w:tcW w:type="dxa" w:w="23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Yes — NNN floor absorbs most</w:t>
            </w:r>
          </w:p>
        </w:tc>
      </w:tr>
      <w:tr>
        <w:tc>
          <w:tcPr>
            <w:tcW w:type="dxa" w:w="2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All risks simultaneous (severe scenario)</w:t>
            </w:r>
          </w:p>
        </w:tc>
        <w:tc>
          <w:tcPr>
            <w:tcW w:type="dxa" w:w="17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-$730,000/yr</w:t>
            </w:r>
          </w:p>
        </w:tc>
        <w:tc>
          <w:tcPr>
            <w:tcW w:type="dxa" w:w="17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-$730,000/yr</w:t>
            </w:r>
          </w:p>
        </w:tc>
        <w:tc>
          <w:tcPr>
            <w:tcW w:type="dxa" w:w="23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Yes — NOI ~$1.17M still covers ops</w:t>
            </w:r>
          </w:p>
        </w:tc>
      </w:tr>
      <w:tr>
        <w:tc>
          <w:tcPr>
            <w:tcW w:type="dxa" w:w="2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Acquisition at ask ($10.5M)</w:t>
            </w:r>
          </w:p>
        </w:tc>
        <w:tc>
          <w:tcPr>
            <w:tcW w:type="dxa" w:w="17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N/A</w:t>
            </w:r>
          </w:p>
        </w:tc>
        <w:tc>
          <w:tcPr>
            <w:tcW w:type="dxa" w:w="17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N/A</w:t>
            </w:r>
          </w:p>
        </w:tc>
        <w:tc>
          <w:tcPr>
            <w:tcW w:type="dxa" w:w="23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Yes — but cap rate drops to ~9.1%</w:t>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spacing w:before="80" w:after="80" w:line="276"/>
        <w:jc w:val="left"/>
      </w:pPr>
      <w:r>
        <w:rPr>
          <w:rFonts w:ascii="Arial" w:cs="Arial" w:eastAsia="Arial" w:hAnsi="Arial"/>
          <w:b w:val="false"/>
          <w:bCs w:val="false"/>
          <w:i w:val="false"/>
          <w:iCs w:val="false"/>
          <w:color w:val="1A1A2E"/>
          <w:sz w:val="22"/>
          <w:szCs w:val="22"/>
        </w:rPr>
        <w:t xml:space="preserve">Even under a severe combined stress scenario, The Music Union 512 generates positive NOI from operations. The diversified revenue architecture is intentional: no single zone represents more than 36% of stabilized total revenue.</w:t>
      </w:r>
    </w:p>
    <w:p>
      <w:pPr>
        <w:pStyle w:val="Heading1"/>
        <w:pageBreakBefore/>
        <w:pBdr>
          <w:bottom w:val="single" w:color="C9A84C" w:sz="8" w:space="4"/>
        </w:pBdr>
        <w:spacing w:before="360" w:after="160"/>
      </w:pPr>
      <w:r>
        <w:rPr>
          <w:rFonts w:ascii="Arial" w:cs="Arial" w:eastAsia="Arial" w:hAnsi="Arial"/>
          <w:b/>
          <w:bCs/>
          <w:color w:val="B8150C"/>
          <w:sz w:val="36"/>
          <w:szCs w:val="36"/>
        </w:rPr>
        <w:t xml:space="preserve">9A.  Membership Architecture — Built for Members</w:t>
      </w:r>
    </w:p>
    <w:p>
      <w:pPr>
        <w:spacing w:before="80" w:after="80" w:line="276"/>
        <w:jc w:val="left"/>
      </w:pPr>
      <w:r>
        <w:rPr>
          <w:rFonts w:ascii="Arial" w:cs="Arial" w:eastAsia="Arial" w:hAnsi="Arial"/>
          <w:b w:val="false"/>
          <w:bCs w:val="false"/>
          <w:i w:val="false"/>
          <w:iCs w:val="false"/>
          <w:color w:val="1A1A2E"/>
          <w:sz w:val="22"/>
          <w:szCs w:val="22"/>
        </w:rPr>
        <w:t xml:space="preserve">The Music Union is structured to earn for its members — not in the metaphorical sense most membership businesses use the language, but in a specific, practical, financial sense. The membership architecture serves four distinct communities: the people who make music here, the people who come to experience it, the people who work in the industry around it, and the people who made it possible by investing in it.</w:t>
      </w:r>
    </w:p>
    <w:p>
      <w:pPr>
        <w:spacing w:before="160" w:after="0"/>
      </w:pPr>
    </w:p>
    <w:p>
      <w:pPr>
        <w:pStyle w:val="Heading2"/>
        <w:spacing w:before="260" w:after="100"/>
      </w:pPr>
      <w:r>
        <w:rPr>
          <w:rFonts w:ascii="Arial" w:cs="Arial" w:eastAsia="Arial" w:hAnsi="Arial"/>
          <w:b/>
          <w:bCs/>
          <w:color w:val="1B2A4A"/>
          <w:sz w:val="28"/>
          <w:szCs w:val="28"/>
        </w:rPr>
        <w:t xml:space="preserve">9A.1  The Complete Membership Stack</w:t>
      </w:r>
    </w:p>
    <w:p>
      <w:pPr>
        <w:spacing w:before="160" w:after="0"/>
      </w:pPr>
    </w:p>
    <w:tbl>
      <w:tblPr>
        <w:tblW w:type="dxa" w:w="8520"/>
        <w:tblBorders>
          <w:top w:val="single" w:color="D4C9A8" w:sz="1"/>
          <w:left w:val="single" w:color="D4C9A8" w:sz="1"/>
          <w:bottom w:val="single" w:color="D4C9A8" w:sz="1"/>
          <w:right w:val="single" w:color="D4C9A8" w:sz="1"/>
          <w:insideH w:val="single" w:color="D4C9A8" w:sz="1"/>
          <w:insideV w:val="single" w:color="D4C9A8" w:sz="1"/>
        </w:tblBorders>
        <w:tblCellMar>
          <w:top w:type="dxa" w:w="80"/>
          <w:start w:type="dxa" w:w="120"/>
          <w:bottom w:type="dxa" w:w="80"/>
          <w:end w:type="dxa" w:w="120"/>
        </w:tblCellMar>
      </w:tblPr>
      <w:tblGrid>
        <w:gridCol w:w="1800"/>
        <w:gridCol w:w="1800"/>
        <w:gridCol w:w="1200"/>
        <w:gridCol w:w="3720"/>
      </w:tblGrid>
      <w:tr>
        <w:tc>
          <w:tcPr>
            <w:tcBorders>
              <w:top w:val="single" w:color="D4C9A8" w:sz="1"/>
              <w:left w:val="single" w:color="D4C9A8" w:sz="1"/>
              <w:bottom w:val="single" w:color="D4C9A8" w:sz="1"/>
              <w:right w:val="single" w:color="D4C9A8" w:sz="1"/>
            </w:tcBorders>
            <w:shd w:val="clear" w:color="auto" w:fill="1C0C04"/>
          </w:tcPr>
          <w:p>
            <w:pPr>
              <w:spacing w:before="80" w:after="80"/>
            </w:pPr>
            <w:r>
              <w:rPr>
                <w:rFonts w:ascii="Arial" w:cs="Arial" w:hAnsi="Arial"/>
                <w:b/>
                <w:bCs/>
                <w:color w:val="FFFFFF"/>
                <w:sz w:val="20"/>
                <w:szCs w:val="20"/>
              </w:rPr>
              <w:t xml:space="preserve">Tier</w:t>
            </w:r>
          </w:p>
        </w:tc>
        <w:tc>
          <w:tcPr>
            <w:tcBorders>
              <w:top w:val="single" w:color="D4C9A8" w:sz="1"/>
              <w:left w:val="single" w:color="D4C9A8" w:sz="1"/>
              <w:bottom w:val="single" w:color="D4C9A8" w:sz="1"/>
              <w:right w:val="single" w:color="D4C9A8" w:sz="1"/>
            </w:tcBorders>
            <w:shd w:val="clear" w:color="auto" w:fill="B8150C"/>
          </w:tcPr>
          <w:p>
            <w:pPr>
              <w:spacing w:before="80" w:after="80"/>
            </w:pPr>
            <w:r>
              <w:rPr>
                <w:rFonts w:ascii="Arial" w:cs="Arial" w:hAnsi="Arial"/>
                <w:b/>
                <w:bCs/>
                <w:color w:val="FFFFFF"/>
                <w:sz w:val="20"/>
                <w:szCs w:val="20"/>
              </w:rPr>
              <w:t xml:space="preserve">Who</w:t>
            </w:r>
          </w:p>
        </w:tc>
        <w:tc>
          <w:tcPr>
            <w:tcBorders>
              <w:top w:val="single" w:color="D4C9A8" w:sz="1"/>
              <w:left w:val="single" w:color="D4C9A8" w:sz="1"/>
              <w:bottom w:val="single" w:color="D4C9A8" w:sz="1"/>
              <w:right w:val="single" w:color="D4C9A8" w:sz="1"/>
            </w:tcBorders>
            <w:shd w:val="clear" w:color="auto" w:fill="B8150C"/>
          </w:tcPr>
          <w:p>
            <w:pPr>
              <w:spacing w:before="80" w:after="80"/>
            </w:pPr>
            <w:r>
              <w:rPr>
                <w:rFonts w:ascii="Arial" w:cs="Arial" w:hAnsi="Arial"/>
                <w:b/>
                <w:bCs/>
                <w:color w:val="FFFFFF"/>
                <w:sz w:val="20"/>
                <w:szCs w:val="20"/>
              </w:rPr>
              <w:t xml:space="preserve">Monthly</w:t>
            </w:r>
          </w:p>
        </w:tc>
        <w:tc>
          <w:tcPr>
            <w:tcBorders>
              <w:top w:val="single" w:color="D4C9A8" w:sz="1"/>
              <w:left w:val="single" w:color="D4C9A8" w:sz="1"/>
              <w:bottom w:val="single" w:color="D4C9A8" w:sz="1"/>
              <w:right w:val="single" w:color="D4C9A8" w:sz="1"/>
            </w:tcBorders>
            <w:shd w:val="clear" w:color="auto" w:fill="B8150C"/>
          </w:tcPr>
          <w:p>
            <w:pPr>
              <w:spacing w:before="80" w:after="80"/>
            </w:pPr>
            <w:r>
              <w:rPr>
                <w:rFonts w:ascii="Arial" w:cs="Arial" w:hAnsi="Arial"/>
                <w:b/>
                <w:bCs/>
                <w:color w:val="FFFFFF"/>
                <w:sz w:val="20"/>
                <w:szCs w:val="20"/>
              </w:rPr>
              <w:t xml:space="preserve">Core Value Proposition</w:t>
            </w:r>
          </w:p>
        </w:tc>
      </w:tr>
      <w:tr>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Founding Partner</w:t>
            </w:r>
          </w:p>
        </w:tc>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Investors &amp; equity holders</w:t>
            </w:r>
          </w:p>
        </w:tc>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Comped / equity-based</w:t>
            </w:r>
          </w:p>
        </w:tc>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Permanent recognition, governance, first right on future chapters</w:t>
            </w:r>
          </w:p>
        </w:tc>
      </w:tr>
      <w:tr>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Union Elder</w:t>
            </w:r>
          </w:p>
        </w:tc>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5yr+ musicians, board nominees</w:t>
            </w:r>
          </w:p>
        </w:tc>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Incl. in Union Member</w:t>
            </w:r>
          </w:p>
        </w:tc>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Constitutional vote, max dividend, full campus access for life</w:t>
            </w:r>
          </w:p>
        </w:tc>
      </w:tr>
      <w:tr>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Union Member</w:t>
            </w:r>
          </w:p>
        </w:tc>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Working musicians</w:t>
            </w:r>
          </w:p>
        </w:tc>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$249</w:t>
            </w:r>
          </w:p>
        </w:tc>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20% off everything, locker, guest list, full partner benefits</w:t>
            </w:r>
          </w:p>
        </w:tc>
      </w:tr>
      <w:tr>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Studio Member</w:t>
            </w:r>
          </w:p>
        </w:tc>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Working musicians</w:t>
            </w:r>
          </w:p>
        </w:tc>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$149</w:t>
            </w:r>
          </w:p>
        </w:tc>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10% off all zones, production priority, partner discounts</w:t>
            </w:r>
          </w:p>
        </w:tc>
      </w:tr>
      <w:tr>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Rehearsal Member</w:t>
            </w:r>
          </w:p>
        </w:tc>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Working musicians</w:t>
            </w:r>
          </w:p>
        </w:tc>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$99</w:t>
            </w:r>
          </w:p>
        </w:tc>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10% off room rates, priority booking, patronage dividend</w:t>
            </w:r>
          </w:p>
        </w:tc>
      </w:tr>
      <w:tr>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Patron</w:t>
            </w:r>
          </w:p>
        </w:tc>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Fans &amp; supporters</w:t>
            </w:r>
          </w:p>
        </w:tc>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$99</w:t>
            </w:r>
          </w:p>
        </w:tc>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Reserved seats, private events, Patron card, observer access</w:t>
            </w:r>
          </w:p>
        </w:tc>
      </w:tr>
      <w:tr>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Friend of the Union</w:t>
            </w:r>
          </w:p>
        </w:tc>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Fans &amp; supporters</w:t>
            </w:r>
          </w:p>
        </w:tc>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$49</w:t>
            </w:r>
          </w:p>
        </w:tc>
        <w:tc>
          <w:tcPr>
            <w:tcBorders>
              <w:top w:val="single" w:color="D4C9A8" w:sz="1"/>
              <w:left w:val="single" w:color="D4C9A8" w:sz="1"/>
              <w:bottom w:val="single" w:color="D4C9A8" w:sz="1"/>
              <w:right w:val="single" w:color="D4C9A8" w:sz="1"/>
            </w:tcBorders>
            <w:shd w:val="clear" w:color="auto" w:fill="FFFFFF"/>
          </w:tcPr>
          <w:p>
            <w:pPr>
              <w:spacing w:before="80" w:after="80"/>
            </w:pPr>
            <w:r>
              <w:rPr>
                <w:rFonts w:ascii="Arial" w:cs="Arial" w:hAnsi="Arial"/>
                <w:color w:val="1A1A2E"/>
                <w:sz w:val="20"/>
                <w:szCs w:val="20"/>
              </w:rPr>
              <w:t xml:space="preserve">Early ticket window, monthly guest pass, Friends wall</w:t>
            </w:r>
          </w:p>
        </w:tc>
      </w:tr>
      <w:tr>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Local</w:t>
            </w:r>
          </w:p>
        </w:tc>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Casual fans &amp; concertgoers</w:t>
            </w:r>
          </w:p>
        </w:tc>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$25</w:t>
            </w:r>
          </w:p>
        </w:tc>
        <w:tc>
          <w:tcPr>
            <w:tcBorders>
              <w:top w:val="single" w:color="D4C9A8" w:sz="1"/>
              <w:left w:val="single" w:color="D4C9A8" w:sz="1"/>
              <w:bottom w:val="single" w:color="D4C9A8" w:sz="1"/>
              <w:right w:val="single" w:color="D4C9A8" w:sz="1"/>
            </w:tcBorders>
            <w:shd w:val="clear" w:color="auto" w:fill="FDF8F0"/>
          </w:tcPr>
          <w:p>
            <w:pPr>
              <w:spacing w:before="80" w:after="80"/>
            </w:pPr>
            <w:r>
              <w:rPr>
                <w:rFonts w:ascii="Arial" w:cs="Arial" w:hAnsi="Arial"/>
                <w:color w:val="1A1A2E"/>
                <w:sz w:val="20"/>
                <w:szCs w:val="20"/>
              </w:rPr>
              <w:t xml:space="preserve">Early ticket access, bar discount, digital Union card</w:t>
            </w:r>
          </w:p>
        </w:tc>
      </w:tr>
    </w:tbl>
    <w:p>
      <w:pPr>
        <w:spacing w:before="120" w:after="0"/>
      </w:pPr>
    </w:p>
    <w:p>
      <w:pPr>
        <w:pStyle w:val="Heading2"/>
        <w:spacing w:before="260" w:after="100"/>
      </w:pPr>
      <w:r>
        <w:rPr>
          <w:rFonts w:ascii="Arial" w:cs="Arial" w:eastAsia="Arial" w:hAnsi="Arial"/>
          <w:b/>
          <w:bCs/>
          <w:color w:val="1B2A4A"/>
          <w:sz w:val="28"/>
          <w:szCs w:val="28"/>
        </w:rPr>
        <w:t xml:space="preserve">9A.2  The Patronage Dividend Model</w:t>
      </w:r>
    </w:p>
    <w:p>
      <w:pPr>
        <w:spacing w:before="80" w:after="80" w:line="276"/>
        <w:jc w:val="left"/>
      </w:pPr>
      <w:r>
        <w:rPr>
          <w:rFonts w:ascii="Arial" w:cs="Arial" w:eastAsia="Arial" w:hAnsi="Arial"/>
          <w:b w:val="false"/>
          <w:bCs w:val="false"/>
          <w:i w:val="false"/>
          <w:iCs w:val="false"/>
          <w:color w:val="1A1A2E"/>
          <w:sz w:val="22"/>
          <w:szCs w:val="22"/>
        </w:rPr>
        <w:t xml:space="preserve">The core economic mechanic is the patronage dividend: members earn back a portion of their annual spend at year-end, proportional to how much they used the campus. This is structurally different from a loyalty program. A loyalty program rewards future spending. A patronage dividend returns a portion of past spending — a genuine financial stake in the surplus the community generates together.</w:t>
      </w:r>
    </w:p>
    <w:p>
      <w:pPr>
        <w:spacing w:before="160" w:after="0"/>
      </w:pPr>
    </w:p>
    <w:tbl>
      <w:tblPr>
        <w:tblW w:type="dxa" w:w="8160"/>
        <w:tblBorders>
          <w:top w:val="single" w:color="B8150C" w:sz="6"/>
          <w:left w:val="single" w:color="B8150C" w:sz="28"/>
          <w:bottom w:val="single" w:color="B8150C" w:sz="6"/>
          <w:right w:val="none" w:sz="0"/>
          <w:insideH w:val="none" w:sz="0"/>
          <w:insideV w:val="none" w:sz="0"/>
        </w:tblBorders>
        <w:tblCellMar>
          <w:top w:type="dxa" w:w="180"/>
          <w:start w:type="dxa" w:w="280"/>
          <w:bottom w:type="dxa" w:w="180"/>
          <w:end w:type="dxa" w:w="180"/>
        </w:tblCellMar>
      </w:tblPr>
      <w:tblGrid>
        <w:gridCol w:w="8160"/>
      </w:tblGrid>
      <w:tr>
        <w:tc>
          <w:tcPr>
            <w:tcW w:type="dxa" w:w="8160"/>
          </w:tcPr>
          <w:p>
            <w:pPr>
              <w:spacing w:before="60" w:after="60"/>
            </w:pPr>
            <w:r>
              <w:rPr>
                <w:rFonts w:ascii="Arial" w:cs="Arial" w:hAnsi="Arial"/>
                <w:b/>
                <w:bCs/>
                <w:i/>
                <w:iCs/>
                <w:color w:val="1A1A2E"/>
                <w:sz w:val="22"/>
                <w:szCs w:val="22"/>
              </w:rPr>
              <w:t xml:space="preserve">The patronage dividend is the financial mechanism that makes “built for its members” literally true. It is not marketing language. It is how the money works.</w:t>
            </w:r>
          </w:p>
        </w:tc>
      </w:tr>
    </w:tbl>
    <w:p>
      <w:pPr>
        <w:spacing w:before="120" w:after="0"/>
      </w:pPr>
    </w:p>
    <w:p>
      <w:pPr>
        <w:pStyle w:val="Heading2"/>
        <w:spacing w:before="260" w:after="100"/>
      </w:pPr>
      <w:r>
        <w:rPr>
          <w:rFonts w:ascii="Arial" w:cs="Arial" w:eastAsia="Arial" w:hAnsi="Arial"/>
          <w:b/>
          <w:bCs/>
          <w:color w:val="1B2A4A"/>
          <w:sz w:val="28"/>
          <w:szCs w:val="28"/>
        </w:rPr>
        <w:t xml:space="preserve">9A.3  Fan &amp; Supporter Tiers</w:t>
      </w:r>
    </w:p>
    <w:p>
      <w:pPr>
        <w:spacing w:before="80" w:after="80" w:line="276"/>
        <w:jc w:val="left"/>
      </w:pPr>
      <w:r>
        <w:rPr>
          <w:rFonts w:ascii="Arial" w:cs="Arial" w:eastAsia="Arial" w:hAnsi="Arial"/>
          <w:b w:val="false"/>
          <w:bCs w:val="false"/>
          <w:i w:val="false"/>
          <w:iCs w:val="false"/>
          <w:color w:val="1A1A2E"/>
          <w:sz w:val="22"/>
          <w:szCs w:val="22"/>
        </w:rPr>
        <w:t xml:space="preserve">The Music Union treats its concert audience as members of the community — because they are. The fan tiers convert the Union’s most loyal audience into a recurring revenue stream that is completely independent of whether there is a show on any given night. A venue with 500 Patron members generates $50,000 per month in baseline recurring revenue before a single ticket is sold.</w:t>
      </w:r>
    </w:p>
    <w:p>
      <w:pPr>
        <w:spacing w:before="80" w:after="80" w:line="276"/>
        <w:jc w:val="left"/>
      </w:pPr>
      <w:r>
        <w:rPr>
          <w:rFonts w:ascii="Arial" w:cs="Arial" w:eastAsia="Arial" w:hAnsi="Arial"/>
          <w:b/>
          <w:bCs/>
          <w:color w:val="B8150C"/>
          <w:sz w:val="22"/>
          <w:szCs w:val="22"/>
        </w:rPr>
        <w:t xml:space="preserve">Local — $25/month.  </w:t>
      </w:r>
      <w:r>
        <w:rPr>
          <w:rFonts w:ascii="Arial" w:cs="Arial" w:eastAsia="Arial" w:hAnsi="Arial"/>
          <w:b w:val="false"/>
          <w:bCs w:val="false"/>
          <w:color w:val="1A1A2E"/>
          <w:sz w:val="22"/>
          <w:szCs w:val="22"/>
        </w:rPr>
        <w:t xml:space="preserve">Early ticket access 48 hours before public on-sale. 10% off at the Zone D bar and café. Digital Union Card — named at the door. Monthly community newsletter.</w:t>
      </w:r>
    </w:p>
    <w:p>
      <w:pPr>
        <w:spacing w:before="80" w:after="80" w:line="276"/>
        <w:jc w:val="left"/>
      </w:pPr>
      <w:r>
        <w:rPr>
          <w:rFonts w:ascii="Arial" w:cs="Arial" w:eastAsia="Arial" w:hAnsi="Arial"/>
          <w:b/>
          <w:bCs/>
          <w:color w:val="B8150C"/>
          <w:sz w:val="22"/>
          <w:szCs w:val="22"/>
        </w:rPr>
        <w:t xml:space="preserve">Friend of the Union — $49/month.  </w:t>
      </w:r>
      <w:r>
        <w:rPr>
          <w:rFonts w:ascii="Arial" w:cs="Arial" w:eastAsia="Arial" w:hAnsi="Arial"/>
          <w:b w:val="false"/>
          <w:bCs w:val="false"/>
          <w:color w:val="1A1A2E"/>
          <w:sz w:val="22"/>
          <w:szCs w:val="22"/>
        </w:rPr>
        <w:t xml:space="preserve">72-hour early ticket window. One free guest pass per month to common areas, lobby, and outdoor spaces. Access to one Observer Event per quarter — sitting in on a band tracking a record, attending a podcast recording, or a listening session for an album made at The Union. Name on the Friends wall in the lobby.</w:t>
      </w:r>
    </w:p>
    <w:p>
      <w:pPr>
        <w:spacing w:before="80" w:after="80" w:line="276"/>
        <w:jc w:val="left"/>
      </w:pPr>
      <w:r>
        <w:rPr>
          <w:rFonts w:ascii="Arial" w:cs="Arial" w:eastAsia="Arial" w:hAnsi="Arial"/>
          <w:b/>
          <w:bCs/>
          <w:color w:val="B8150C"/>
          <w:sz w:val="22"/>
          <w:szCs w:val="22"/>
        </w:rPr>
        <w:t xml:space="preserve">Patron — $99/month.  </w:t>
      </w:r>
      <w:r>
        <w:rPr>
          <w:rFonts w:ascii="Arial" w:cs="Arial" w:eastAsia="Arial" w:hAnsi="Arial"/>
          <w:b w:val="false"/>
          <w:bCs w:val="false"/>
          <w:color w:val="1A1A2E"/>
          <w:sz w:val="22"/>
          <w:szCs w:val="22"/>
        </w:rPr>
        <w:t xml:space="preserve">Reserved seat option at Union Stage shows. Invitation to quarterly Patron Events: private performances, meet-the-band nights, listening parties. A physical Patron card, mailed, in a distinct colorway. Cumulative spend counts toward Union Elder threshold over time.</w:t>
      </w:r>
    </w:p>
    <w:p>
      <w:pPr>
        <w:spacing w:before="160" w:after="0"/>
      </w:pPr>
    </w:p>
    <w:p>
      <w:pPr>
        <w:pStyle w:val="Heading2"/>
        <w:spacing w:before="260" w:after="100"/>
      </w:pPr>
      <w:r>
        <w:rPr>
          <w:rFonts w:ascii="Arial" w:cs="Arial" w:eastAsia="Arial" w:hAnsi="Arial"/>
          <w:b/>
          <w:bCs/>
          <w:color w:val="1B2A4A"/>
          <w:sz w:val="28"/>
          <w:szCs w:val="28"/>
        </w:rPr>
        <w:t xml:space="preserve">9A.4  The Union Card — An Etched Metal Credential</w:t>
      </w:r>
    </w:p>
    <w:p>
      <w:pPr>
        <w:spacing w:before="80" w:after="80" w:line="276"/>
        <w:jc w:val="left"/>
      </w:pPr>
      <w:r>
        <w:rPr>
          <w:rFonts w:ascii="Arial" w:cs="Arial" w:eastAsia="Arial" w:hAnsi="Arial"/>
          <w:b w:val="false"/>
          <w:bCs w:val="false"/>
          <w:i w:val="false"/>
          <w:iCs w:val="false"/>
          <w:color w:val="1A1A2E"/>
          <w:sz w:val="22"/>
          <w:szCs w:val="22"/>
        </w:rPr>
        <w:t xml:space="preserve">Every membership tier receives a physical Union Card — a wallet-sized etched metal card, heavy enough to feel like it means something. A hole is punched in one side so it can be worn on a lanyard like a backstage pass, which is exactly what it is. On show nights, at any chapter in the country, the Union Card worn around a neck communicates something no plastic card ever could: this person belongs here.</w:t>
      </w:r>
    </w:p>
    <w:p>
      <w:pPr>
        <w:spacing w:before="80" w:after="80" w:line="276"/>
        <w:jc w:val="left"/>
      </w:pPr>
      <w:r>
        <w:rPr>
          <w:rFonts w:ascii="Arial" w:cs="Arial" w:eastAsia="Arial" w:hAnsi="Arial"/>
          <w:b w:val="false"/>
          <w:bCs w:val="false"/>
          <w:i w:val="false"/>
          <w:iCs w:val="false"/>
          <w:color w:val="1A1A2E"/>
          <w:sz w:val="22"/>
          <w:szCs w:val="22"/>
        </w:rPr>
        <w:t xml:space="preserve">Tier differentiation is expressed through material finish: brushed steel (Rehearsal Member), matte black with etched red type (Studio Member), gloss black with gold chapter number (Union Member), distinct colorway (Patron). Founding Partner cards are the heaviest gauge, a different finish entirely, with the founding year etched on the back. The kind of card a person keeps for the rest of their life.</w:t>
      </w:r>
    </w:p>
    <w:p>
      <w:pPr>
        <w:spacing w:before="160" w:after="0"/>
      </w:pPr>
    </w:p>
    <w:p>
      <w:pPr>
        <w:pStyle w:val="Heading2"/>
        <w:spacing w:before="260" w:after="100"/>
      </w:pPr>
      <w:r>
        <w:rPr>
          <w:rFonts w:ascii="Arial" w:cs="Arial" w:eastAsia="Arial" w:hAnsi="Arial"/>
          <w:b/>
          <w:bCs/>
          <w:color w:val="1B2A4A"/>
          <w:sz w:val="28"/>
          <w:szCs w:val="28"/>
        </w:rPr>
        <w:t xml:space="preserve">9A.5  Cross-Chapter Reciprocity</w:t>
      </w:r>
    </w:p>
    <w:p>
      <w:pPr>
        <w:spacing w:before="80" w:after="80" w:line="276"/>
        <w:jc w:val="left"/>
      </w:pPr>
      <w:r>
        <w:rPr>
          <w:rFonts w:ascii="Arial" w:cs="Arial" w:eastAsia="Arial" w:hAnsi="Arial"/>
          <w:b w:val="false"/>
          <w:bCs w:val="false"/>
          <w:i w:val="false"/>
          <w:iCs w:val="false"/>
          <w:color w:val="1A1A2E"/>
          <w:sz w:val="22"/>
          <w:szCs w:val="22"/>
        </w:rPr>
        <w:t xml:space="preserve">Union Card holders receive reciprocal access at every Music Union chapter nationwide. A musician on tour who holds a 512 card walks into The Music Union 615 in Nashville and receives member rates, space access, retail discounts, and professional services immediately — no separate membership required. This solves a real problem no other rehearsal space brand has ever addressed: the touring musician who needs a professional space, retail, and services in every city they play.</w:t>
      </w:r>
    </w:p>
    <w:p>
      <w:pPr>
        <w:spacing w:before="160" w:after="0"/>
      </w:pPr>
    </w:p>
    <w:p>
      <w:pPr>
        <w:pStyle w:val="Heading2"/>
        <w:spacing w:before="260" w:after="100"/>
      </w:pPr>
      <w:r>
        <w:rPr>
          <w:rFonts w:ascii="Arial" w:cs="Arial" w:eastAsia="Arial" w:hAnsi="Arial"/>
          <w:b/>
          <w:bCs/>
          <w:color w:val="1B2A4A"/>
          <w:sz w:val="28"/>
          <w:szCs w:val="28"/>
        </w:rPr>
        <w:t xml:space="preserve">9A.6  Founding Partner — The Top of the Stack</w:t>
      </w:r>
    </w:p>
    <w:p>
      <w:pPr>
        <w:spacing w:before="80" w:after="80" w:line="276"/>
        <w:jc w:val="left"/>
      </w:pPr>
      <w:r>
        <w:rPr>
          <w:rFonts w:ascii="Arial" w:cs="Arial" w:eastAsia="Arial" w:hAnsi="Arial"/>
          <w:b w:val="false"/>
          <w:bCs w:val="false"/>
          <w:i w:val="false"/>
          <w:iCs w:val="false"/>
          <w:color w:val="1A1A2E"/>
          <w:sz w:val="22"/>
          <w:szCs w:val="22"/>
        </w:rPr>
        <w:t xml:space="preserve">The Founding Partner tier is not a membership in the conventional sense. It is a recognition class for the people whose capital and conviction made The Music Union 512 possible. The treatment is proportional to the commitment: permanent, physical, exclusive, and meaningful in ways that money cannot simply purchase after the fact.</w:t>
      </w:r>
    </w:p>
    <w:p>
      <w:pPr>
        <w:spacing w:before="80" w:after="80" w:line="276"/>
        <w:jc w:val="left"/>
      </w:pPr>
      <w:r>
        <w:rPr>
          <w:rFonts w:ascii="Arial" w:cs="Arial" w:eastAsia="Arial" w:hAnsi="Arial"/>
          <w:b/>
          <w:bCs/>
          <w:color w:val="B8150C"/>
          <w:sz w:val="22"/>
          <w:szCs w:val="22"/>
        </w:rPr>
        <w:t xml:space="preserve">Permanent named recognition.  </w:t>
      </w:r>
      <w:r>
        <w:rPr>
          <w:rFonts w:ascii="Arial" w:cs="Arial" w:eastAsia="Arial" w:hAnsi="Arial"/>
          <w:b w:val="false"/>
          <w:bCs w:val="false"/>
          <w:color w:val="1A1A2E"/>
          <w:sz w:val="22"/>
          <w:szCs w:val="22"/>
        </w:rPr>
        <w:t xml:space="preserve">A Founding Partner wall in the lobby, individual plaques, installed at opening and maintained indefinitely.</w:t>
      </w:r>
    </w:p>
    <w:p>
      <w:pPr>
        <w:spacing w:before="80" w:after="80" w:line="276"/>
        <w:jc w:val="left"/>
      </w:pPr>
      <w:r>
        <w:rPr>
          <w:rFonts w:ascii="Arial" w:cs="Arial" w:eastAsia="Arial" w:hAnsi="Arial"/>
          <w:b/>
          <w:bCs/>
          <w:color w:val="B8150C"/>
          <w:sz w:val="22"/>
          <w:szCs w:val="22"/>
        </w:rPr>
        <w:t xml:space="preserve">Annual Founding Partner Dinner.  </w:t>
      </w:r>
      <w:r>
        <w:rPr>
          <w:rFonts w:ascii="Arial" w:cs="Arial" w:eastAsia="Arial" w:hAnsi="Arial"/>
          <w:b w:val="false"/>
          <w:bCs w:val="false"/>
          <w:color w:val="1A1A2E"/>
          <w:sz w:val="22"/>
          <w:szCs w:val="22"/>
        </w:rPr>
        <w:t xml:space="preserve">A private annual event — dinner, a commissioned performance, and a genuine look at the books and the roadmap. Not a pitch event. A real conversation among the people who own the institution.</w:t>
      </w:r>
    </w:p>
    <w:p>
      <w:pPr>
        <w:spacing w:before="80" w:after="80" w:line="276"/>
        <w:jc w:val="left"/>
      </w:pPr>
      <w:r>
        <w:rPr>
          <w:rFonts w:ascii="Arial" w:cs="Arial" w:eastAsia="Arial" w:hAnsi="Arial"/>
          <w:b/>
          <w:bCs/>
          <w:color w:val="B8150C"/>
          <w:sz w:val="22"/>
          <w:szCs w:val="22"/>
        </w:rPr>
        <w:t xml:space="preserve">First right on future chapters.  </w:t>
      </w:r>
      <w:r>
        <w:rPr>
          <w:rFonts w:ascii="Arial" w:cs="Arial" w:eastAsia="Arial" w:hAnsi="Arial"/>
          <w:b w:val="false"/>
          <w:bCs w:val="false"/>
          <w:color w:val="1A1A2E"/>
          <w:sz w:val="22"/>
          <w:szCs w:val="22"/>
        </w:rPr>
        <w:t xml:space="preserve">Founding Partners receive a call before outside capital is sought for any subsequent chapter. Priority to participate, no obligation.</w:t>
      </w:r>
    </w:p>
    <w:p>
      <w:pPr>
        <w:spacing w:before="80" w:after="80" w:line="276"/>
        <w:jc w:val="left"/>
      </w:pPr>
      <w:r>
        <w:rPr>
          <w:rFonts w:ascii="Arial" w:cs="Arial" w:eastAsia="Arial" w:hAnsi="Arial"/>
          <w:b/>
          <w:bCs/>
          <w:color w:val="B8150C"/>
          <w:sz w:val="22"/>
          <w:szCs w:val="22"/>
        </w:rPr>
        <w:t xml:space="preserve">Dedicated direct contact.  </w:t>
      </w:r>
      <w:r>
        <w:rPr>
          <w:rFonts w:ascii="Arial" w:cs="Arial" w:eastAsia="Arial" w:hAnsi="Arial"/>
          <w:b w:val="false"/>
          <w:bCs w:val="false"/>
          <w:color w:val="1A1A2E"/>
          <w:sz w:val="22"/>
          <w:szCs w:val="22"/>
        </w:rPr>
        <w:t xml:space="preserve">A named person whose job is to handle any question or request same-day, every time.</w:t>
      </w:r>
    </w:p>
    <w:p>
      <w:pPr>
        <w:spacing w:before="80" w:after="80" w:line="276"/>
        <w:jc w:val="left"/>
      </w:pPr>
      <w:r>
        <w:rPr>
          <w:rFonts w:ascii="Arial" w:cs="Arial" w:eastAsia="Arial" w:hAnsi="Arial"/>
          <w:b/>
          <w:bCs/>
          <w:color w:val="B8150C"/>
          <w:sz w:val="22"/>
          <w:szCs w:val="22"/>
        </w:rPr>
        <w:t xml:space="preserve">The Founding Partner card.  </w:t>
      </w:r>
      <w:r>
        <w:rPr>
          <w:rFonts w:ascii="Arial" w:cs="Arial" w:eastAsia="Arial" w:hAnsi="Arial"/>
          <w:b w:val="false"/>
          <w:bCs w:val="false"/>
          <w:color w:val="1A1A2E"/>
          <w:sz w:val="22"/>
          <w:szCs w:val="22"/>
        </w:rPr>
        <w:t xml:space="preserve">Heaviest gauge metal, distinct finish, founding year etched on the back. The kind of card you keep for the rest of your life.</w:t>
      </w:r>
    </w:p>
    <w:p>
      <w:pPr>
        <w:spacing w:before="160" w:after="0"/>
      </w:pPr>
    </w:p>
    <w:p>
      <w:pPr>
        <w:pStyle w:val="Heading2"/>
        <w:spacing w:before="260" w:after="100"/>
      </w:pPr>
      <w:r>
        <w:rPr>
          <w:rFonts w:ascii="Arial" w:cs="Arial" w:eastAsia="Arial" w:hAnsi="Arial"/>
          <w:b/>
          <w:bCs/>
          <w:color w:val="1B2A4A"/>
          <w:sz w:val="28"/>
          <w:szCs w:val="28"/>
        </w:rPr>
        <w:t xml:space="preserve">9A.7  Threshold-Based Governance</w:t>
      </w:r>
    </w:p>
    <w:p>
      <w:pPr>
        <w:spacing w:before="80" w:after="80" w:line="276"/>
        <w:jc w:val="left"/>
      </w:pPr>
      <w:r>
        <w:rPr>
          <w:rFonts w:ascii="Arial" w:cs="Arial" w:eastAsia="Arial" w:hAnsi="Arial"/>
          <w:b w:val="false"/>
          <w:bCs w:val="false"/>
          <w:i w:val="false"/>
          <w:iCs w:val="false"/>
          <w:color w:val="1A1A2E"/>
          <w:sz w:val="22"/>
          <w:szCs w:val="22"/>
        </w:rPr>
        <w:t xml:space="preserve">The Music Union is structured as a member-economic organization from day one, with governance rights earned over time through demonstrated commitment. Operational decisions and capital allocation remain with the founding team and investment partners. But members who build this community over years earn a real voice on decisions that could fundamentally affect it — specifically, a binding vote on constitutional questions: Can the company be sold? Can a chapter be closed? Can the patronage dividend be eliminated?</w:t>
      </w:r>
    </w:p>
    <w:p>
      <w:pPr>
        <w:spacing w:before="160" w:after="0"/>
      </w:pPr>
    </w:p>
    <w:tbl>
      <w:tblPr>
        <w:tblW w:type="dxa" w:w="8160"/>
        <w:tblBorders>
          <w:top w:val="single" w:color="B8150C" w:sz="6"/>
          <w:left w:val="single" w:color="B8150C" w:sz="28"/>
          <w:bottom w:val="single" w:color="B8150C" w:sz="6"/>
          <w:right w:val="none" w:sz="0"/>
          <w:insideH w:val="none" w:sz="0"/>
          <w:insideV w:val="none" w:sz="0"/>
        </w:tblBorders>
        <w:tblCellMar>
          <w:top w:type="dxa" w:w="180"/>
          <w:start w:type="dxa" w:w="280"/>
          <w:bottom w:type="dxa" w:w="180"/>
          <w:end w:type="dxa" w:w="180"/>
        </w:tblCellMar>
      </w:tblPr>
      <w:tblGrid>
        <w:gridCol w:w="8160"/>
      </w:tblGrid>
      <w:tr>
        <w:tc>
          <w:tcPr>
            <w:tcW w:type="dxa" w:w="8160"/>
          </w:tcPr>
          <w:p>
            <w:pPr>
              <w:spacing w:before="60" w:after="60"/>
            </w:pPr>
            <w:r>
              <w:rPr>
                <w:rFonts w:ascii="Arial" w:cs="Arial" w:hAnsi="Arial"/>
                <w:b/>
                <w:bCs/>
                <w:i/>
                <w:iCs/>
                <w:color w:val="1A1A2E"/>
                <w:sz w:val="22"/>
                <w:szCs w:val="22"/>
              </w:rPr>
              <w:t xml:space="preserve">“The Music Union” is already doing everything “cooperative” does — and it does it more honestly. The name implies collective ownership, shared benefit, and democratic belonging without creating a legal expectation of voting rights the structure does not fully deliver. The brand already has the cooperative soul baked in.</w:t>
            </w:r>
          </w:p>
        </w:tc>
      </w:tr>
    </w:tbl>
    <w:p>
      <w:pPr>
        <w:spacing w:before="120" w:after="0"/>
      </w:pPr>
    </w:p>
    <w:p>
      <w:pPr>
        <w:spacing w:before="160" w:after="0"/>
      </w:pPr>
    </w:p>
    <w:p>
      <w:pPr>
        <w:pStyle w:val="Heading1"/>
        <w:pageBreakBefore/>
        <w:pBdr>
          <w:bottom w:val="single" w:color="C9A84C" w:sz="8" w:space="4"/>
        </w:pBdr>
        <w:spacing w:before="360" w:after="160"/>
      </w:pPr>
      <w:r>
        <w:rPr>
          <w:rFonts w:ascii="Arial" w:cs="Arial" w:eastAsia="Arial" w:hAnsi="Arial"/>
          <w:b/>
          <w:bCs/>
          <w:color w:val="1B2A4A"/>
          <w:sz w:val="36"/>
          <w:szCs w:val="36"/>
        </w:rPr>
        <w:t xml:space="preserve">10.  Acquisition Strategy &amp; Negotiation</w:t>
      </w:r>
    </w:p>
    <w:p>
      <w:pPr>
        <w:pStyle w:val="Heading2"/>
        <w:spacing w:before="260" w:after="100"/>
      </w:pPr>
      <w:r>
        <w:rPr>
          <w:rFonts w:ascii="Arial" w:cs="Arial" w:eastAsia="Arial" w:hAnsi="Arial"/>
          <w:b/>
          <w:bCs/>
          <w:color w:val="1B2A4A"/>
          <w:sz w:val="28"/>
          <w:szCs w:val="28"/>
        </w:rPr>
        <w:t xml:space="preserve">Pricing Rationale</w:t>
      </w:r>
    </w:p>
    <w:p>
      <w:pPr>
        <w:spacing w:before="80" w:after="80" w:line="276"/>
        <w:jc w:val="left"/>
      </w:pPr>
      <w:r>
        <w:rPr>
          <w:rFonts w:ascii="Arial" w:cs="Arial" w:eastAsia="Arial" w:hAnsi="Arial"/>
          <w:b w:val="false"/>
          <w:bCs w:val="false"/>
          <w:i w:val="false"/>
          <w:iCs w:val="false"/>
          <w:color w:val="1A1A2E"/>
          <w:sz w:val="22"/>
          <w:szCs w:val="22"/>
        </w:rPr>
        <w:t xml:space="preserve">The seller's current asking price of $10,500,000 ($239/SF) is not supportable by standard underwriting. SMC's analysis identifies the following basis for a materially lower offer:</w:t>
      </w:r>
    </w:p>
    <w:p>
      <w:pPr>
        <w:pStyle w:val="ListParagraph"/>
        <w:numPr>
          <w:ilvl w:val="0"/>
          <w:numId w:val="2"/>
        </w:numPr>
        <w:spacing w:before="60" w:after="60" w:line="276"/>
      </w:pPr>
      <w:r>
        <w:rPr>
          <w:rFonts w:ascii="Arial" w:cs="Arial" w:eastAsia="Arial" w:hAnsi="Arial"/>
          <w:color w:val="1A1A2E"/>
          <w:sz w:val="22"/>
          <w:szCs w:val="22"/>
        </w:rPr>
        <w:t xml:space="preserve">Travis County CAD 2025 assessed value: $4,500,000 (zero improvement value recorded — land only)</w:t>
      </w:r>
    </w:p>
    <w:p>
      <w:pPr>
        <w:pStyle w:val="ListParagraph"/>
        <w:numPr>
          <w:ilvl w:val="0"/>
          <w:numId w:val="2"/>
        </w:numPr>
        <w:spacing w:before="60" w:after="60" w:line="276"/>
      </w:pPr>
      <w:r>
        <w:rPr>
          <w:rFonts w:ascii="Arial" w:cs="Arial" w:eastAsia="Arial" w:hAnsi="Arial"/>
          <w:color w:val="1A1A2E"/>
          <w:sz w:val="22"/>
          <w:szCs w:val="22"/>
        </w:rPr>
        <w:t xml:space="preserve">Owner's estimated 2016 acquisition basis: approximately $1.85–$2.0M, implying a $7.9M offer still represents a 4–5x return to seller</w:t>
      </w:r>
    </w:p>
    <w:p>
      <w:pPr>
        <w:pStyle w:val="ListParagraph"/>
        <w:numPr>
          <w:ilvl w:val="0"/>
          <w:numId w:val="2"/>
        </w:numPr>
        <w:spacing w:before="60" w:after="60" w:line="276"/>
      </w:pPr>
      <w:r>
        <w:rPr>
          <w:rFonts w:ascii="Arial" w:cs="Arial" w:eastAsia="Arial" w:hAnsi="Arial"/>
          <w:color w:val="1A1A2E"/>
          <w:sz w:val="22"/>
          <w:szCs w:val="22"/>
        </w:rPr>
        <w:t xml:space="preserve">Property has been listed since November 2025 — over 4 months — with zero accepted offers, and the price was raised from $9.225M at original listing</w:t>
      </w:r>
    </w:p>
    <w:p>
      <w:pPr>
        <w:pStyle w:val="ListParagraph"/>
        <w:numPr>
          <w:ilvl w:val="0"/>
          <w:numId w:val="2"/>
        </w:numPr>
        <w:spacing w:before="60" w:after="60" w:line="276"/>
      </w:pPr>
      <w:r>
        <w:rPr>
          <w:rFonts w:ascii="Arial" w:cs="Arial" w:eastAsia="Arial" w:hAnsi="Arial"/>
          <w:color w:val="1A1A2E"/>
          <w:sz w:val="22"/>
          <w:szCs w:val="22"/>
        </w:rPr>
        <w:t xml:space="preserve">TWC lease expiry (August 2026) eliminates all income at close; buyer underwrites as vacant</w:t>
      </w:r>
    </w:p>
    <w:p>
      <w:pPr>
        <w:pStyle w:val="ListParagraph"/>
        <w:numPr>
          <w:ilvl w:val="0"/>
          <w:numId w:val="2"/>
        </w:numPr>
        <w:spacing w:before="60" w:after="60" w:line="276"/>
      </w:pPr>
      <w:r>
        <w:rPr>
          <w:rFonts w:ascii="Arial" w:cs="Arial" w:eastAsia="Arial" w:hAnsi="Arial"/>
          <w:color w:val="1A1A2E"/>
          <w:sz w:val="22"/>
          <w:szCs w:val="22"/>
        </w:rPr>
        <w:t xml:space="preserve">Seller's RBFCU construction loan matures December 2026 — concurrent with lease expiry — creating a hard deadline</w:t>
      </w:r>
    </w:p>
    <w:p>
      <w:pPr>
        <w:pStyle w:val="ListParagraph"/>
        <w:numPr>
          <w:ilvl w:val="0"/>
          <w:numId w:val="2"/>
        </w:numPr>
        <w:spacing w:before="60" w:after="60" w:line="276"/>
      </w:pPr>
      <w:r>
        <w:rPr>
          <w:rFonts w:ascii="Arial" w:cs="Arial" w:eastAsia="Arial" w:hAnsi="Arial"/>
          <w:color w:val="1A1A2E"/>
          <w:sz w:val="22"/>
          <w:szCs w:val="22"/>
        </w:rPr>
        <w:t xml:space="preserve">Sprinkler system discrepancy requires remediation budget ($100,000–$250,000) or price concession</w:t>
      </w:r>
    </w:p>
    <w:p>
      <w:pPr>
        <w:pStyle w:val="Heading2"/>
        <w:spacing w:before="260" w:after="100"/>
      </w:pPr>
      <w:r>
        <w:rPr>
          <w:rFonts w:ascii="Arial" w:cs="Arial" w:eastAsia="Arial" w:hAnsi="Arial"/>
          <w:b/>
          <w:bCs/>
          <w:color w:val="1B2A4A"/>
          <w:sz w:val="28"/>
          <w:szCs w:val="28"/>
        </w:rPr>
        <w:t xml:space="preserve">Offer Scenarios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2100"/>
        <w:gridCol w:w="1000"/>
        <w:gridCol w:w="4260"/>
      </w:tblGrid>
      <w:tr>
        <w:trPr>
          <w:tblHeader/>
        </w:trPr>
        <w:tc>
          <w:tcPr>
            <w:tcW w:type="dxa" w:w="20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Scenario</w:t>
            </w:r>
          </w:p>
        </w:tc>
        <w:tc>
          <w:tcPr>
            <w:tcW w:type="dxa" w:w="21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Price</w:t>
            </w:r>
          </w:p>
        </w:tc>
        <w:tc>
          <w:tcPr>
            <w:tcW w:type="dxa" w:w="10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$/SF</w:t>
            </w:r>
          </w:p>
        </w:tc>
        <w:tc>
          <w:tcPr>
            <w:tcW w:type="dxa" w:w="426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Conditions</w:t>
            </w:r>
          </w:p>
        </w:tc>
      </w:tr>
      <w:tr>
        <w:tc>
          <w:tcPr>
            <w:tcW w:type="dxa" w:w="2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Opening Offer</w:t>
            </w:r>
          </w:p>
        </w:tc>
        <w:tc>
          <w:tcPr>
            <w:tcW w:type="dxa" w:w="21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$7,500,000–$7,900,000</w:t>
            </w:r>
          </w:p>
        </w:tc>
        <w:tc>
          <w:tcPr>
            <w:tcW w:type="dxa" w:w="1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$171–$180</w:t>
            </w:r>
          </w:p>
        </w:tc>
        <w:tc>
          <w:tcPr>
            <w:tcW w:type="dxa" w:w="42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Sprinkler cert + flood cert required; pre-committed financing, 45-day close</w:t>
            </w:r>
          </w:p>
        </w:tc>
      </w:tr>
      <w:tr>
        <w:tc>
          <w:tcPr>
            <w:tcW w:type="dxa" w:w="2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Mid Position</w:t>
            </w:r>
          </w:p>
        </w:tc>
        <w:tc>
          <w:tcPr>
            <w:tcW w:type="dxa" w:w="21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$8,100,000–$8,400,000</w:t>
            </w:r>
          </w:p>
        </w:tc>
        <w:tc>
          <w:tcPr>
            <w:tcW w:type="dxa" w:w="1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$184–$191</w:t>
            </w:r>
          </w:p>
        </w:tc>
        <w:tc>
          <w:tcPr>
            <w:tcW w:type="dxa" w:w="42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Sprinkler confirmed clear; clean Phase I</w:t>
            </w:r>
          </w:p>
        </w:tc>
      </w:tr>
      <w:tr>
        <w:tc>
          <w:tcPr>
            <w:tcW w:type="dxa" w:w="2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Target / Walk-Away Max</w:t>
            </w:r>
          </w:p>
        </w:tc>
        <w:tc>
          <w:tcPr>
            <w:tcW w:type="dxa" w:w="21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$8,750,000</w:t>
            </w:r>
          </w:p>
        </w:tc>
        <w:tc>
          <w:tcPr>
            <w:tcW w:type="dxa" w:w="1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$199</w:t>
            </w:r>
          </w:p>
        </w:tc>
        <w:tc>
          <w:tcPr>
            <w:tcW w:type="dxa" w:w="42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Sprinklers confirmed + 10% seller carry for 24 months</w:t>
            </w:r>
          </w:p>
        </w:tc>
      </w:tr>
      <w:tr>
        <w:tc>
          <w:tcPr>
            <w:tcW w:type="dxa" w:w="2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Seller Ask — Not Supportable</w:t>
            </w:r>
          </w:p>
        </w:tc>
        <w:tc>
          <w:tcPr>
            <w:tcW w:type="dxa" w:w="21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$10,500,000</w:t>
            </w:r>
          </w:p>
        </w:tc>
        <w:tc>
          <w:tcPr>
            <w:tcW w:type="dxa" w:w="1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$239</w:t>
            </w:r>
          </w:p>
        </w:tc>
        <w:tc>
          <w:tcPr>
            <w:tcW w:type="dxa" w:w="42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Cannot underwrite on vacant delivery basis</w:t>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spacing w:before="80" w:after="80" w:line="276"/>
        <w:jc w:val="left"/>
      </w:pPr>
      <w:r>
        <w:rPr>
          <w:rFonts w:ascii="Arial" w:cs="Arial" w:eastAsia="Arial" w:hAnsi="Arial"/>
          <w:b w:val="false"/>
          <w:bCs w:val="false"/>
          <w:i w:val="false"/>
          <w:iCs w:val="false"/>
          <w:color w:val="1A1A2E"/>
          <w:sz w:val="22"/>
          <w:szCs w:val="22"/>
        </w:rPr>
        <w:t xml:space="preserve">A pre-committed financing structure with a credible institutional lender is The Music Union's primary negotiating posture. In a market where most buyers require 60–90 day financing contingencies, a credible cash buyer with a 30–45 day close represents exceptional value to a seller facing dual deadlines in August and December 2026.</w:t>
      </w:r>
    </w:p>
    <w:p>
      <w:pPr>
        <w:pStyle w:val="Heading1"/>
        <w:pageBreakBefore/>
        <w:pBdr>
          <w:bottom w:val="single" w:color="C9A84C" w:sz="8" w:space="4"/>
        </w:pBdr>
        <w:spacing w:before="360" w:after="160"/>
      </w:pPr>
      <w:r>
        <w:rPr>
          <w:rFonts w:ascii="Arial" w:cs="Arial" w:eastAsia="Arial" w:hAnsi="Arial"/>
          <w:b/>
          <w:bCs/>
          <w:color w:val="1B2A4A"/>
          <w:sz w:val="36"/>
          <w:szCs w:val="36"/>
        </w:rPr>
        <w:t xml:space="preserve">11.  Exit Strategy &amp; Long-Term Hold Case</w:t>
      </w:r>
    </w:p>
    <w:p>
      <w:pPr>
        <w:pStyle w:val="Heading2"/>
        <w:spacing w:before="260" w:after="100"/>
      </w:pPr>
      <w:r>
        <w:rPr>
          <w:rFonts w:ascii="Arial" w:cs="Arial" w:eastAsia="Arial" w:hAnsi="Arial"/>
          <w:b/>
          <w:bCs/>
          <w:color w:val="1B2A4A"/>
          <w:sz w:val="28"/>
          <w:szCs w:val="28"/>
        </w:rPr>
        <w:t xml:space="preserve">Primary Strategy: Long-Term Hold</w:t>
      </w:r>
    </w:p>
    <w:p>
      <w:pPr>
        <w:spacing w:before="80" w:after="80" w:line="276"/>
        <w:jc w:val="left"/>
      </w:pPr>
      <w:r>
        <w:rPr>
          <w:rFonts w:ascii="Arial" w:cs="Arial" w:eastAsia="Arial" w:hAnsi="Arial"/>
          <w:b w:val="false"/>
          <w:bCs w:val="false"/>
          <w:i w:val="false"/>
          <w:iCs w:val="false"/>
          <w:color w:val="1A1A2E"/>
          <w:sz w:val="22"/>
          <w:szCs w:val="22"/>
        </w:rPr>
        <w:t xml:space="preserve">The Music Union 512 LLC is structured as a long-term real estate hold. The exit strategy is to own the property indefinitely as a cash-flowing asset, benefiting from:</w:t>
      </w:r>
    </w:p>
    <w:p>
      <w:pPr>
        <w:pStyle w:val="ListParagraph"/>
        <w:numPr>
          <w:ilvl w:val="0"/>
          <w:numId w:val="2"/>
        </w:numPr>
        <w:spacing w:before="60" w:after="60" w:line="276"/>
      </w:pPr>
      <w:r>
        <w:rPr>
          <w:rFonts w:ascii="Arial" w:cs="Arial" w:eastAsia="Arial" w:hAnsi="Arial"/>
          <w:color w:val="1A1A2E"/>
          <w:sz w:val="22"/>
          <w:szCs w:val="22"/>
        </w:rPr>
        <w:t xml:space="preserve">Stabilized NOI growth of 3–5% per year driven by rate escalations and occupancy maturation</w:t>
      </w:r>
    </w:p>
    <w:p>
      <w:pPr>
        <w:pStyle w:val="ListParagraph"/>
        <w:numPr>
          <w:ilvl w:val="0"/>
          <w:numId w:val="2"/>
        </w:numPr>
        <w:spacing w:before="60" w:after="60" w:line="276"/>
      </w:pPr>
      <w:r>
        <w:rPr>
          <w:rFonts w:ascii="Arial" w:cs="Arial" w:eastAsia="Arial" w:hAnsi="Arial"/>
          <w:color w:val="1A1A2E"/>
          <w:sz w:val="22"/>
          <w:szCs w:val="22"/>
        </w:rPr>
        <w:t xml:space="preserve">East Austin land appreciation — the Springdale corridor has appreciated substantially and is expected to continue as the corridor matures</w:t>
      </w:r>
    </w:p>
    <w:p>
      <w:pPr>
        <w:pStyle w:val="ListParagraph"/>
        <w:numPr>
          <w:ilvl w:val="0"/>
          <w:numId w:val="2"/>
        </w:numPr>
        <w:spacing w:before="60" w:after="60" w:line="276"/>
      </w:pPr>
      <w:r>
        <w:rPr>
          <w:rFonts w:ascii="Arial" w:cs="Arial" w:eastAsia="Arial" w:hAnsi="Arial"/>
          <w:color w:val="1A1A2E"/>
          <w:sz w:val="22"/>
          <w:szCs w:val="22"/>
        </w:rPr>
        <w:t xml:space="preserve">Optionality: a future refinancing at stabilized NOI levels could return a significant portion of invested capital while retaining ownership</w:t>
      </w:r>
    </w:p>
    <w:p>
      <w:pPr>
        <w:pStyle w:val="ListParagraph"/>
        <w:numPr>
          <w:ilvl w:val="0"/>
          <w:numId w:val="2"/>
        </w:numPr>
        <w:spacing w:before="60" w:after="60" w:line="276"/>
      </w:pPr>
      <w:r>
        <w:rPr>
          <w:rFonts w:ascii="Arial" w:cs="Arial" w:eastAsia="Arial" w:hAnsi="Arial"/>
          <w:color w:val="1A1A2E"/>
          <w:sz w:val="22"/>
          <w:szCs w:val="22"/>
        </w:rPr>
        <w:t xml:space="preserve">Business value accrual: the operating business (booking platform, brand, customer relationships, TABC license, promoter network) builds intangible value independent of the real estate</w:t>
      </w:r>
    </w:p>
    <w:p>
      <w:pPr>
        <w:pStyle w:val="Heading2"/>
        <w:spacing w:before="260" w:after="100"/>
      </w:pPr>
      <w:r>
        <w:rPr>
          <w:rFonts w:ascii="Arial" w:cs="Arial" w:eastAsia="Arial" w:hAnsi="Arial"/>
          <w:b/>
          <w:bCs/>
          <w:color w:val="1B2A4A"/>
          <w:sz w:val="28"/>
          <w:szCs w:val="28"/>
        </w:rPr>
        <w:t xml:space="preserve">Refinancing Scenario (Year 3, Base Case)</w:t>
      </w:r>
    </w:p>
    <w:p>
      <w:pPr>
        <w:spacing w:before="80" w:after="80" w:line="276"/>
        <w:jc w:val="left"/>
      </w:pPr>
      <w:r>
        <w:rPr>
          <w:rFonts w:ascii="Arial" w:cs="Arial" w:eastAsia="Arial" w:hAnsi="Arial"/>
          <w:b w:val="false"/>
          <w:bCs w:val="false"/>
          <w:i w:val="false"/>
          <w:iCs w:val="false"/>
          <w:color w:val="1A1A2E"/>
          <w:sz w:val="22"/>
          <w:szCs w:val="22"/>
        </w:rPr>
        <w:t xml:space="preserve">At Year 3 stabilized NOI of ~$3,133,000 and a 6.5% cap rate, the implied property value is approximately $48,200,000. With the existing $8.0M loan balance and property now worth ~$48.2M, available equity has grown from $4.494M invested to ~$40.2M — an 8.9x increase in just 3 years. A refinance at Year 3 at 65% LTV ($31.3M advance) would return the original $4.494M equity and generate an additional ~$22.8M in tax-free cash-out proceeds while retaining ownership. This capital can seed the next 2-3 chapters of the national expansion. Refinancately $25,200,000 — well in excess of the $13,065,000 of total capital deployed. This scenario is speculative and dependent on market conditions, but illustrates the significant value creation embedded in the business plan. By Year 7 under the base case, NOI reaches $3.87M implying an asset value of ~$55M at a 7.0% cap rate.</w:t>
      </w:r>
    </w:p>
    <w:p>
      <w:pPr>
        <w:pStyle w:val="Heading2"/>
        <w:spacing w:before="260" w:after="100"/>
      </w:pPr>
      <w:r>
        <w:rPr>
          <w:rFonts w:ascii="Arial" w:cs="Arial" w:eastAsia="Arial" w:hAnsi="Arial"/>
          <w:b/>
          <w:bCs/>
          <w:color w:val="1B2A4A"/>
          <w:sz w:val="28"/>
          <w:szCs w:val="28"/>
        </w:rPr>
        <w:t xml:space="preserve">Comparable Value Benchmarks</w:t>
      </w:r>
    </w:p>
    <w:tbl>
      <w:tblPr>
        <w:tblW w:type="dxa" w:w="8360"/>
        <w:tblBorders>
          <w:top w:val="single" w:color="auto" w:sz="4"/>
          <w:left w:val="single" w:color="auto" w:sz="4"/>
          <w:bottom w:val="single" w:color="auto" w:sz="4"/>
          <w:right w:val="single" w:color="auto" w:sz="4"/>
          <w:insideH w:val="single" w:color="auto" w:sz="4"/>
          <w:insideV w:val="single" w:color="auto" w:sz="4"/>
        </w:tblBorders>
      </w:tblPr>
      <w:tblGrid>
        <w:gridCol w:w="2600"/>
        <w:gridCol w:w="1560"/>
        <w:gridCol w:w="1560"/>
        <w:gridCol w:w="1560"/>
        <w:gridCol w:w="1080"/>
      </w:tblGrid>
      <w:tr>
        <w:trPr>
          <w:tblHeader/>
        </w:trPr>
        <w:tc>
          <w:tcPr>
            <w:tcW w:type="dxa" w:w="26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Metric</w:t>
            </w:r>
          </w:p>
        </w:tc>
        <w:tc>
          <w:tcPr>
            <w:tcW w:type="dxa" w:w="156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Worst Case</w:t>
            </w:r>
          </w:p>
        </w:tc>
        <w:tc>
          <w:tcPr>
            <w:tcW w:type="dxa" w:w="156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Base Case</w:t>
            </w:r>
          </w:p>
        </w:tc>
        <w:tc>
          <w:tcPr>
            <w:tcW w:type="dxa" w:w="156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Best Case</w:t>
            </w:r>
          </w:p>
        </w:tc>
      </w:tr>
      <w:tr>
        <w:tc>
          <w:tcPr>
            <w:tcW w:type="dxa" w:w="2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NOI Year 1</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$700,000</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$1,215,000</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$2,000,000</w:t>
            </w:r>
          </w:p>
        </w:tc>
      </w:tr>
      <w:tr>
        <w:tc>
          <w:tcPr>
            <w:tcW w:type="dxa" w:w="2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NOI Year 3</w:t>
            </w:r>
          </w:p>
        </w:tc>
        <w:tc>
          <w:tcPr>
            <w:tcW w:type="dxa" w:w="15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$1,400,000</w:t>
            </w:r>
          </w:p>
        </w:tc>
        <w:tc>
          <w:tcPr>
            <w:tcW w:type="dxa" w:w="15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$3,133,000</w:t>
            </w:r>
          </w:p>
        </w:tc>
        <w:tc>
          <w:tcPr>
            <w:tcW w:type="dxa" w:w="15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$5,200,000</w:t>
            </w:r>
          </w:p>
        </w:tc>
      </w:tr>
      <w:tr>
        <w:tc>
          <w:tcPr>
            <w:tcW w:type="dxa" w:w="2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NOI Year 7</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$1,887,000</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$3,902,000</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$6,160,000</w:t>
            </w:r>
          </w:p>
        </w:tc>
      </w:tr>
      <w:tr>
        <w:tc>
          <w:tcPr>
            <w:tcW w:type="dxa" w:w="2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Cap Rate Applied</w:t>
            </w:r>
          </w:p>
        </w:tc>
        <w:tc>
          <w:tcPr>
            <w:tcW w:type="dxa" w:w="15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7.0%</w:t>
            </w:r>
          </w:p>
        </w:tc>
        <w:tc>
          <w:tcPr>
            <w:tcW w:type="dxa" w:w="15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7.0%</w:t>
            </w:r>
          </w:p>
        </w:tc>
        <w:tc>
          <w:tcPr>
            <w:tcW w:type="dxa" w:w="15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7.0%</w:t>
            </w:r>
          </w:p>
        </w:tc>
      </w:tr>
      <w:tr>
        <w:tc>
          <w:tcPr>
            <w:tcW w:type="dxa" w:w="2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Implied Asset Value Y7</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~$21.5M</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~$58.6M</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~$107M</w:t>
            </w:r>
          </w:p>
        </w:tc>
      </w:tr>
      <w:tr>
        <w:tc>
          <w:tcPr>
            <w:tcW w:type="dxa" w:w="26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Equity Invested (35% of $4,573,000)</w:t>
            </w:r>
          </w:p>
        </w:tc>
        <w:tc>
          <w:tcPr>
            <w:tcW w:type="dxa" w:w="15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$4,573,000</w:t>
            </w:r>
          </w:p>
        </w:tc>
        <w:tc>
          <w:tcPr>
            <w:tcW w:type="dxa" w:w="15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$4,573,000</w:t>
            </w:r>
          </w:p>
        </w:tc>
        <w:tc>
          <w:tcPr>
            <w:tcW w:type="dxa" w:w="15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$4,573,000</w:t>
            </w:r>
          </w:p>
        </w:tc>
      </w:tr>
      <w:tr>
        <w:tc>
          <w:tcPr>
            <w:tcW w:type="dxa" w:w="26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Leveraged Equity Multiple (Y7)</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6.2x</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15.0x</w:t>
            </w:r>
          </w:p>
        </w:tc>
        <w:tc>
          <w:tcPr>
            <w:tcW w:type="dxa" w:w="15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24.4x</w:t>
            </w:r>
          </w:p>
        </w:tc>
      </w:tr>
    </w:tbl>
    <w:p>
      <w:pPr>
        <w:pStyle w:val="Heading1"/>
        <w:pageBreakBefore/>
        <w:pBdr>
          <w:bottom w:val="single" w:color="C9A84C" w:sz="8" w:space="4"/>
        </w:pBdr>
        <w:spacing w:before="360" w:after="160"/>
      </w:pPr>
      <w:r>
        <w:rPr>
          <w:rFonts w:ascii="Arial" w:cs="Arial" w:eastAsia="Arial" w:hAnsi="Arial"/>
          <w:b/>
          <w:bCs/>
          <w:color w:val="1B2A4A"/>
          <w:sz w:val="36"/>
          <w:szCs w:val="36"/>
        </w:rPr>
        <w:t xml:space="preserve">12.  Appendix</w:t>
      </w:r>
    </w:p>
    <w:p>
      <w:pPr>
        <w:pStyle w:val="Heading2"/>
        <w:spacing w:before="260" w:after="100"/>
      </w:pPr>
      <w:r>
        <w:rPr>
          <w:rFonts w:ascii="Arial" w:cs="Arial" w:eastAsia="Arial" w:hAnsi="Arial"/>
          <w:b/>
          <w:bCs/>
          <w:color w:val="1B2A4A"/>
          <w:sz w:val="28"/>
          <w:szCs w:val="28"/>
        </w:rPr>
        <w:t xml:space="preserve">A. Ownership History Summary</w:t>
      </w:r>
    </w:p>
    <w:p>
      <w:pPr>
        <w:spacing w:before="80" w:after="80" w:line="276"/>
        <w:jc w:val="left"/>
      </w:pPr>
      <w:r>
        <w:rPr>
          <w:rFonts w:ascii="Arial" w:cs="Arial" w:eastAsia="Arial" w:hAnsi="Arial"/>
          <w:b w:val="false"/>
          <w:bCs w:val="false"/>
          <w:i w:val="false"/>
          <w:iCs w:val="false"/>
          <w:color w:val="1A1A2E"/>
          <w:sz w:val="22"/>
          <w:szCs w:val="22"/>
        </w:rPr>
        <w:t xml:space="preserve">Public records from Travis County Clerk document the following chain of title and financing:</w:t>
      </w:r>
    </w:p>
    <w:p>
      <w:pPr>
        <w:pStyle w:val="ListParagraph"/>
        <w:numPr>
          <w:ilvl w:val="0"/>
          <w:numId w:val="2"/>
        </w:numPr>
        <w:spacing w:before="60" w:after="60" w:line="276"/>
      </w:pPr>
      <w:r>
        <w:rPr>
          <w:rFonts w:ascii="Arial" w:cs="Arial" w:eastAsia="Arial" w:hAnsi="Arial"/>
          <w:color w:val="1A1A2E"/>
          <w:sz w:val="22"/>
          <w:szCs w:val="22"/>
        </w:rPr>
        <w:t xml:space="preserve">Pre-2002: 4405 Springdale Venture (original development entity)</w:t>
      </w:r>
    </w:p>
    <w:p>
      <w:pPr>
        <w:pStyle w:val="ListParagraph"/>
        <w:numPr>
          <w:ilvl w:val="0"/>
          <w:numId w:val="2"/>
        </w:numPr>
        <w:spacing w:before="60" w:after="60" w:line="276"/>
      </w:pPr>
      <w:r>
        <w:rPr>
          <w:rFonts w:ascii="Arial" w:cs="Arial" w:eastAsia="Arial" w:hAnsi="Arial"/>
          <w:color w:val="1A1A2E"/>
          <w:sz w:val="22"/>
          <w:szCs w:val="22"/>
        </w:rPr>
        <w:t xml:space="preserve">2002–2007: Sterling 4405 Spdale LP — $2.25M mortgage with First Mercantile Bank</w:t>
      </w:r>
    </w:p>
    <w:p>
      <w:pPr>
        <w:pStyle w:val="ListParagraph"/>
        <w:numPr>
          <w:ilvl w:val="0"/>
          <w:numId w:val="2"/>
        </w:numPr>
        <w:spacing w:before="60" w:after="60" w:line="276"/>
      </w:pPr>
      <w:r>
        <w:rPr>
          <w:rFonts w:ascii="Arial" w:cs="Arial" w:eastAsia="Arial" w:hAnsi="Arial"/>
          <w:color w:val="1A1A2E"/>
          <w:sz w:val="22"/>
          <w:szCs w:val="22"/>
        </w:rPr>
        <w:t xml:space="preserve">Oct 2007: Foreclosure; property transferred to PCB-Arc Inc, then Springdale Properties LLC ($2.5M PlainsCapital)</w:t>
      </w:r>
    </w:p>
    <w:p>
      <w:pPr>
        <w:pStyle w:val="ListParagraph"/>
        <w:numPr>
          <w:ilvl w:val="0"/>
          <w:numId w:val="2"/>
        </w:numPr>
        <w:spacing w:before="60" w:after="60" w:line="276"/>
      </w:pPr>
      <w:r>
        <w:rPr>
          <w:rFonts w:ascii="Arial" w:cs="Arial" w:eastAsia="Arial" w:hAnsi="Arial"/>
          <w:color w:val="1A1A2E"/>
          <w:sz w:val="22"/>
          <w:szCs w:val="22"/>
        </w:rPr>
        <w:t xml:space="preserve">Oct 2010: Re-leveraged at $2.33M (PlainsCapital)</w:t>
      </w:r>
    </w:p>
    <w:p>
      <w:pPr>
        <w:pStyle w:val="ListParagraph"/>
        <w:numPr>
          <w:ilvl w:val="0"/>
          <w:numId w:val="2"/>
        </w:numPr>
        <w:spacing w:before="60" w:after="60" w:line="276"/>
      </w:pPr>
      <w:r>
        <w:rPr>
          <w:rFonts w:ascii="Arial" w:cs="Arial" w:eastAsia="Arial" w:hAnsi="Arial"/>
          <w:color w:val="1A1A2E"/>
          <w:sz w:val="22"/>
          <w:szCs w:val="22"/>
        </w:rPr>
        <w:t xml:space="preserve">Feb 2014: Richard A. Fink Trust acquires (estimated basis ~$2M, seller-carry note of ~$1.55M)</w:t>
      </w:r>
    </w:p>
    <w:p>
      <w:pPr>
        <w:pStyle w:val="ListParagraph"/>
        <w:numPr>
          <w:ilvl w:val="0"/>
          <w:numId w:val="2"/>
        </w:numPr>
        <w:spacing w:before="60" w:after="60" w:line="276"/>
      </w:pPr>
      <w:r>
        <w:rPr>
          <w:rFonts w:ascii="Arial" w:cs="Arial" w:eastAsia="Arial" w:hAnsi="Arial"/>
          <w:color w:val="1A1A2E"/>
          <w:sz w:val="22"/>
          <w:szCs w:val="22"/>
        </w:rPr>
        <w:t xml:space="preserve">Sep 2016: Richard Springdale LLC — current owner — $1.85M Randolph Brooks FCU, 10-year term</w:t>
      </w:r>
    </w:p>
    <w:p>
      <w:pPr>
        <w:pStyle w:val="ListParagraph"/>
        <w:numPr>
          <w:ilvl w:val="0"/>
          <w:numId w:val="2"/>
        </w:numPr>
        <w:spacing w:before="60" w:after="60" w:line="276"/>
      </w:pPr>
      <w:r>
        <w:rPr>
          <w:rFonts w:ascii="Arial" w:cs="Arial" w:eastAsia="Arial" w:hAnsi="Arial"/>
          <w:color w:val="1A1A2E"/>
          <w:sz w:val="22"/>
          <w:szCs w:val="22"/>
        </w:rPr>
        <w:t xml:space="preserve">Sep 2021: Brief transfer to Springdale Edens LLC, then reverted</w:t>
      </w:r>
    </w:p>
    <w:p>
      <w:pPr>
        <w:pStyle w:val="ListParagraph"/>
        <w:numPr>
          <w:ilvl w:val="0"/>
          <w:numId w:val="2"/>
        </w:numPr>
        <w:spacing w:before="60" w:after="60" w:line="276"/>
      </w:pPr>
      <w:r>
        <w:rPr>
          <w:rFonts w:ascii="Arial" w:cs="Arial" w:eastAsia="Arial" w:hAnsi="Arial"/>
          <w:color w:val="1A1A2E"/>
          <w:sz w:val="22"/>
          <w:szCs w:val="22"/>
        </w:rPr>
        <w:t xml:space="preserve">Aug 2025: New DOT — $200K RBFCU, 6-year term maturing December 2026</w:t>
      </w:r>
    </w:p>
    <w:p>
      <w:pPr>
        <w:pStyle w:val="ListParagraph"/>
        <w:numPr>
          <w:ilvl w:val="0"/>
          <w:numId w:val="2"/>
        </w:numPr>
        <w:spacing w:before="60" w:after="60" w:line="276"/>
      </w:pPr>
      <w:r>
        <w:rPr>
          <w:rFonts w:ascii="Arial" w:cs="Arial" w:eastAsia="Arial" w:hAnsi="Arial"/>
          <w:color w:val="1A1A2E"/>
          <w:sz w:val="22"/>
          <w:szCs w:val="22"/>
        </w:rPr>
        <w:t xml:space="preserve">Note: Three Notices of Trustee Sale recorded October 2019 against prior ownership (not current owner)</w:t>
      </w:r>
    </w:p>
    <w:p>
      <w:pPr>
        <w:pStyle w:val="Heading2"/>
        <w:spacing w:before="260" w:after="100"/>
      </w:pPr>
      <w:r>
        <w:rPr>
          <w:rFonts w:ascii="Arial" w:cs="Arial" w:eastAsia="Arial" w:hAnsi="Arial"/>
          <w:b/>
          <w:bCs/>
          <w:color w:val="1B2A4A"/>
          <w:sz w:val="28"/>
          <w:szCs w:val="28"/>
        </w:rPr>
        <w:t xml:space="preserve">B. FEMA Flood Zone Confirmation</w:t>
      </w:r>
    </w:p>
    <w:p>
      <w:pPr>
        <w:spacing w:before="80" w:after="80" w:line="276"/>
        <w:jc w:val="left"/>
      </w:pPr>
      <w:r>
        <w:rPr>
          <w:rFonts w:ascii="Arial" w:cs="Arial" w:eastAsia="Arial" w:hAnsi="Arial"/>
          <w:b w:val="false"/>
          <w:bCs w:val="false"/>
          <w:i w:val="false"/>
          <w:iCs w:val="false"/>
          <w:color w:val="1A1A2E"/>
          <w:sz w:val="22"/>
          <w:szCs w:val="22"/>
        </w:rPr>
        <w:t xml:space="preserve">Query executed March 2026 via FEMA National Flood Hazard Layer (NFHL) ArcGIS REST API identify operation, Layer 28 (Flood Hazard Zones):</w:t>
      </w:r>
    </w:p>
    <w:p>
      <w:pPr>
        <w:pStyle w:val="ListParagraph"/>
        <w:numPr>
          <w:ilvl w:val="0"/>
          <w:numId w:val="2"/>
        </w:numPr>
        <w:spacing w:before="60" w:after="60" w:line="276"/>
      </w:pPr>
      <w:r>
        <w:rPr>
          <w:rFonts w:ascii="Arial" w:cs="Arial" w:eastAsia="Arial" w:hAnsi="Arial"/>
          <w:color w:val="1A1A2E"/>
          <w:sz w:val="22"/>
          <w:szCs w:val="22"/>
        </w:rPr>
        <w:t xml:space="preserve">FLD_ZONE: X</w:t>
      </w:r>
    </w:p>
    <w:p>
      <w:pPr>
        <w:pStyle w:val="ListParagraph"/>
        <w:numPr>
          <w:ilvl w:val="0"/>
          <w:numId w:val="2"/>
        </w:numPr>
        <w:spacing w:before="60" w:after="60" w:line="276"/>
      </w:pPr>
      <w:r>
        <w:rPr>
          <w:rFonts w:ascii="Arial" w:cs="Arial" w:eastAsia="Arial" w:hAnsi="Arial"/>
          <w:color w:val="1A1A2E"/>
          <w:sz w:val="22"/>
          <w:szCs w:val="22"/>
        </w:rPr>
        <w:t xml:space="preserve">ZONE_SUBTY: AREA OF MINIMAL FLOOD HAZARD</w:t>
      </w:r>
    </w:p>
    <w:p>
      <w:pPr>
        <w:pStyle w:val="ListParagraph"/>
        <w:numPr>
          <w:ilvl w:val="0"/>
          <w:numId w:val="2"/>
        </w:numPr>
        <w:spacing w:before="60" w:after="60" w:line="276"/>
      </w:pPr>
      <w:r>
        <w:rPr>
          <w:rFonts w:ascii="Arial" w:cs="Arial" w:eastAsia="Arial" w:hAnsi="Arial"/>
          <w:color w:val="1A1A2E"/>
          <w:sz w:val="22"/>
          <w:szCs w:val="22"/>
        </w:rPr>
        <w:t xml:space="preserve">SFHA_TF: F (Not in Special Flood Hazard Area)</w:t>
      </w:r>
    </w:p>
    <w:p>
      <w:pPr>
        <w:pStyle w:val="ListParagraph"/>
        <w:numPr>
          <w:ilvl w:val="0"/>
          <w:numId w:val="2"/>
        </w:numPr>
        <w:spacing w:before="60" w:after="60" w:line="276"/>
      </w:pPr>
      <w:r>
        <w:rPr>
          <w:rFonts w:ascii="Arial" w:cs="Arial" w:eastAsia="Arial" w:hAnsi="Arial"/>
          <w:color w:val="1A1A2E"/>
          <w:sz w:val="22"/>
          <w:szCs w:val="22"/>
        </w:rPr>
        <w:t xml:space="preserve">STATIC_BFE: N/A</w:t>
      </w:r>
    </w:p>
    <w:p>
      <w:pPr>
        <w:pStyle w:val="ListParagraph"/>
        <w:numPr>
          <w:ilvl w:val="0"/>
          <w:numId w:val="2"/>
        </w:numPr>
        <w:spacing w:before="60" w:after="60" w:line="276"/>
      </w:pPr>
      <w:r>
        <w:rPr>
          <w:rFonts w:ascii="Arial" w:cs="Arial" w:eastAsia="Arial" w:hAnsi="Arial"/>
          <w:color w:val="1A1A2E"/>
          <w:sz w:val="22"/>
          <w:szCs w:val="22"/>
        </w:rPr>
        <w:t xml:space="preserve">DFIRM_ID: 48453C (Travis County, TX)</w:t>
      </w:r>
    </w:p>
    <w:p>
      <w:pPr>
        <w:pStyle w:val="ListParagraph"/>
        <w:numPr>
          <w:ilvl w:val="0"/>
          <w:numId w:val="2"/>
        </w:numPr>
        <w:spacing w:before="60" w:after="60" w:line="276"/>
      </w:pPr>
      <w:r>
        <w:rPr>
          <w:rFonts w:ascii="Arial" w:cs="Arial" w:eastAsia="Arial" w:hAnsi="Arial"/>
          <w:color w:val="1A1A2E"/>
          <w:sz w:val="22"/>
          <w:szCs w:val="22"/>
        </w:rPr>
        <w:t xml:space="preserve">Result: No mandatory NFIP flood insurance. No elevation certificate required.</w:t>
      </w:r>
    </w:p>
    <w:p>
      <w:pPr>
        <w:pStyle w:val="Heading2"/>
        <w:spacing w:before="260" w:after="100"/>
      </w:pPr>
      <w:r>
        <w:rPr>
          <w:rFonts w:ascii="Arial" w:cs="Arial" w:eastAsia="Arial" w:hAnsi="Arial"/>
          <w:b/>
          <w:bCs/>
          <w:color w:val="1B2A4A"/>
          <w:sz w:val="28"/>
          <w:szCs w:val="28"/>
        </w:rPr>
        <w:t xml:space="preserve">C. Key Contacts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3000"/>
        <w:gridCol w:w="4360"/>
      </w:tblGrid>
      <w:tr>
        <w:trPr>
          <w:tblHeader/>
        </w:trPr>
        <w:tc>
          <w:tcPr>
            <w:tcW w:type="dxa" w:w="20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Party</w:t>
            </w:r>
          </w:p>
        </w:tc>
        <w:tc>
          <w:tcPr>
            <w:tcW w:type="dxa" w:w="300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Name / Entity</w:t>
            </w:r>
          </w:p>
        </w:tc>
        <w:tc>
          <w:tcPr>
            <w:tcW w:type="dxa" w:w="4360"/>
            <w:tcBorders>
              <w:top w:val="single" w:color="1B2A4A" w:sz="1"/>
              <w:left w:val="single" w:color="1B2A4A" w:sz="1"/>
              <w:bottom w:val="single" w:color="1B2A4A" w:sz="1"/>
              <w:right w:val="single" w:color="1B2A4A" w:sz="1"/>
            </w:tcBorders>
            <w:shd w:fill="1B2A4A" w:val="clear"/>
            <w:tcMar>
              <w:top w:type="dxa" w:w="100"/>
              <w:left w:type="dxa" w:w="140"/>
              <w:bottom w:type="dxa" w:w="100"/>
              <w:right w:type="dxa" w:w="140"/>
            </w:tcMar>
            <w:vAlign w:val="center"/>
          </w:tcPr>
          <w:p>
            <w:pPr>
              <w:jc w:val="left"/>
            </w:pPr>
            <w:r>
              <w:rPr>
                <w:rFonts w:ascii="Arial" w:cs="Arial" w:eastAsia="Arial" w:hAnsi="Arial"/>
                <w:b/>
                <w:bCs/>
                <w:color w:val="FFFFFF"/>
                <w:sz w:val="20"/>
                <w:szCs w:val="20"/>
              </w:rPr>
              <w:t xml:space="preserve">Contact</w:t>
            </w:r>
          </w:p>
        </w:tc>
      </w:tr>
      <w:tr>
        <w:tc>
          <w:tcPr>
            <w:tcW w:type="dxa" w:w="2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Listing Broker</w:t>
            </w:r>
          </w:p>
        </w:tc>
        <w:tc>
          <w:tcPr>
            <w:tcW w:type="dxa" w:w="3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Richard Fink, Richard Allyn Rlty Co.</w:t>
            </w:r>
          </w:p>
        </w:tc>
        <w:tc>
          <w:tcPr>
            <w:tcW w:type="dxa" w:w="43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(818) 980-9880</w:t>
            </w:r>
          </w:p>
        </w:tc>
      </w:tr>
      <w:tr>
        <w:tc>
          <w:tcPr>
            <w:tcW w:type="dxa" w:w="2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Travis CAD</w:t>
            </w:r>
          </w:p>
        </w:tc>
        <w:tc>
          <w:tcPr>
            <w:tcW w:type="dxa" w:w="3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Travis Central Appraisal District</w:t>
            </w:r>
          </w:p>
        </w:tc>
        <w:tc>
          <w:tcPr>
            <w:tcW w:type="dxa" w:w="43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traviscad.org / (512) 834-9317</w:t>
            </w:r>
          </w:p>
        </w:tc>
      </w:tr>
      <w:tr>
        <w:tc>
          <w:tcPr>
            <w:tcW w:type="dxa" w:w="2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Austin Floodplain Office</w:t>
            </w:r>
          </w:p>
        </w:tc>
        <w:tc>
          <w:tcPr>
            <w:tcW w:type="dxa" w:w="3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City of Austin Watershed Protection</w:t>
            </w:r>
          </w:p>
        </w:tc>
        <w:tc>
          <w:tcPr>
            <w:tcW w:type="dxa" w:w="43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(512) 974-2843</w:t>
            </w:r>
          </w:p>
        </w:tc>
      </w:tr>
      <w:tr>
        <w:tc>
          <w:tcPr>
            <w:tcW w:type="dxa" w:w="2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TABC Region 8 (Austin)</w:t>
            </w:r>
          </w:p>
        </w:tc>
        <w:tc>
          <w:tcPr>
            <w:tcW w:type="dxa" w:w="300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Texas Alcoholic Beverage Commission</w:t>
            </w:r>
          </w:p>
        </w:tc>
        <w:tc>
          <w:tcPr>
            <w:tcW w:type="dxa" w:w="4360"/>
            <w:tcBorders>
              <w:top w:val="single" w:color="D0D4DC" w:sz="1"/>
              <w:left w:val="single" w:color="D0D4DC" w:sz="1"/>
              <w:bottom w:val="single" w:color="D0D4DC" w:sz="1"/>
              <w:right w:val="single" w:color="D0D4DC" w:sz="1"/>
            </w:tcBorders>
            <w:shd w:fill="F2F4F7" w:val="clear"/>
            <w:tcMar>
              <w:top w:type="dxa" w:w="80"/>
              <w:left w:type="dxa" w:w="140"/>
              <w:bottom w:type="dxa" w:w="80"/>
              <w:right w:type="dxa" w:w="140"/>
            </w:tcMar>
          </w:tcPr>
          <w:p>
            <w:r>
              <w:rPr>
                <w:rFonts w:ascii="Arial" w:cs="Arial" w:eastAsia="Arial" w:hAnsi="Arial"/>
                <w:b w:val="false"/>
                <w:bCs w:val="false"/>
                <w:color w:val="1A1A2E"/>
                <w:sz w:val="20"/>
                <w:szCs w:val="20"/>
              </w:rPr>
              <w:t xml:space="preserve">(512) 206-3333</w:t>
            </w:r>
          </w:p>
        </w:tc>
      </w:tr>
      <w:tr>
        <w:tc>
          <w:tcPr>
            <w:tcW w:type="dxa" w:w="2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Austin Music Commission</w:t>
            </w:r>
          </w:p>
        </w:tc>
        <w:tc>
          <w:tcPr>
            <w:tcW w:type="dxa" w:w="300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City of Austin Economic Development</w:t>
            </w:r>
          </w:p>
        </w:tc>
        <w:tc>
          <w:tcPr>
            <w:tcW w:type="dxa" w:w="4360"/>
            <w:tcBorders>
              <w:top w:val="single" w:color="D0D4DC" w:sz="1"/>
              <w:left w:val="single" w:color="D0D4DC" w:sz="1"/>
              <w:bottom w:val="single" w:color="D0D4DC" w:sz="1"/>
              <w:right w:val="single" w:color="D0D4DC" w:sz="1"/>
            </w:tcBorders>
            <w:shd w:fill="FFFFFF" w:val="clear"/>
            <w:tcMar>
              <w:top w:type="dxa" w:w="80"/>
              <w:left w:type="dxa" w:w="140"/>
              <w:bottom w:type="dxa" w:w="80"/>
              <w:right w:type="dxa" w:w="140"/>
            </w:tcMar>
          </w:tcPr>
          <w:p>
            <w:r>
              <w:rPr>
                <w:rFonts w:ascii="Arial" w:cs="Arial" w:eastAsia="Arial" w:hAnsi="Arial"/>
                <w:b w:val="false"/>
                <w:bCs w:val="false"/>
                <w:color w:val="1A1A2E"/>
                <w:sz w:val="20"/>
                <w:szCs w:val="20"/>
              </w:rPr>
              <w:t xml:space="preserve">austintexas.gov/music</w:t>
            </w:r>
          </w:p>
        </w:tc>
      </w:tr>
    </w:tbl>
    <w:p>
      <w:pPr>
        <w:spacing w:before="80" w:after="80" w:line="276"/>
        <w:jc w:val="left"/>
      </w:pPr>
      <w:r>
        <w:rPr>
          <w:rFonts w:ascii="Arial" w:cs="Arial" w:eastAsia="Arial" w:hAnsi="Arial"/>
          <w:b w:val="false"/>
          <w:bCs w:val="false"/>
          <w:i w:val="false"/>
          <w:iCs w:val="false"/>
          <w:color w:val="1A1A2E"/>
          <w:sz w:val="22"/>
          <w:szCs w:val="22"/>
        </w:rPr>
        <w:t xml:space="preserve"/>
      </w:r>
    </w:p>
    <w:p>
      <w:pPr>
        <w:pStyle w:val="Heading2"/>
        <w:spacing w:before="260" w:after="100"/>
      </w:pPr>
      <w:r>
        <w:rPr>
          <w:rFonts w:ascii="Arial" w:cs="Arial" w:eastAsia="Arial" w:hAnsi="Arial"/>
          <w:b/>
          <w:bCs/>
          <w:color w:val="1B2A4A"/>
          <w:sz w:val="28"/>
          <w:szCs w:val="28"/>
        </w:rPr>
        <w:t xml:space="preserve">D. Glossary</w:t>
      </w:r>
    </w:p>
    <w:p>
      <w:pPr>
        <w:pStyle w:val="ListParagraph"/>
        <w:numPr>
          <w:ilvl w:val="0"/>
          <w:numId w:val="2"/>
        </w:numPr>
        <w:spacing w:before="60" w:after="60" w:line="276"/>
      </w:pPr>
      <w:r>
        <w:rPr>
          <w:rFonts w:ascii="Arial" w:cs="Arial" w:eastAsia="Arial" w:hAnsi="Arial"/>
          <w:color w:val="1A1A2E"/>
          <w:sz w:val="22"/>
          <w:szCs w:val="22"/>
        </w:rPr>
        <w:t xml:space="preserve">NOI: Net Operating Income — revenue less operating expenses, before debt service and depreciation</w:t>
      </w:r>
    </w:p>
    <w:p>
      <w:pPr>
        <w:pStyle w:val="ListParagraph"/>
        <w:numPr>
          <w:ilvl w:val="0"/>
          <w:numId w:val="2"/>
        </w:numPr>
        <w:spacing w:before="60" w:after="60" w:line="276"/>
      </w:pPr>
      <w:r>
        <w:rPr>
          <w:rFonts w:ascii="Arial" w:cs="Arial" w:eastAsia="Arial" w:hAnsi="Arial"/>
          <w:color w:val="1A1A2E"/>
          <w:sz w:val="22"/>
          <w:szCs w:val="22"/>
        </w:rPr>
        <w:t xml:space="preserve">NNN: Triple Net lease — tenant pays base rent plus property taxes, insurance, and maintenance</w:t>
      </w:r>
    </w:p>
    <w:p>
      <w:pPr>
        <w:pStyle w:val="ListParagraph"/>
        <w:numPr>
          <w:ilvl w:val="0"/>
          <w:numId w:val="2"/>
        </w:numPr>
        <w:spacing w:before="60" w:after="60" w:line="276"/>
      </w:pPr>
      <w:r>
        <w:rPr>
          <w:rFonts w:ascii="Arial" w:cs="Arial" w:eastAsia="Arial" w:hAnsi="Arial"/>
          <w:color w:val="1A1A2E"/>
          <w:sz w:val="22"/>
          <w:szCs w:val="22"/>
        </w:rPr>
        <w:t xml:space="preserve">Cap Rate: Capitalization Rate — NOI divided by property value; used to benchmark real estate yields</w:t>
      </w:r>
    </w:p>
    <w:p>
      <w:pPr>
        <w:pStyle w:val="ListParagraph"/>
        <w:numPr>
          <w:ilvl w:val="0"/>
          <w:numId w:val="2"/>
        </w:numPr>
        <w:spacing w:before="60" w:after="60" w:line="276"/>
      </w:pPr>
      <w:r>
        <w:rPr>
          <w:rFonts w:ascii="Arial" w:cs="Arial" w:eastAsia="Arial" w:hAnsi="Arial"/>
          <w:color w:val="1A1A2E"/>
          <w:sz w:val="22"/>
          <w:szCs w:val="22"/>
        </w:rPr>
        <w:t xml:space="preserve">NFHL: National Flood Hazard Layer — FEMA's geospatial database of current effective flood hazard data</w:t>
      </w:r>
    </w:p>
    <w:p>
      <w:pPr>
        <w:pStyle w:val="ListParagraph"/>
        <w:numPr>
          <w:ilvl w:val="0"/>
          <w:numId w:val="2"/>
        </w:numPr>
        <w:spacing w:before="60" w:after="60" w:line="276"/>
      </w:pPr>
      <w:r>
        <w:rPr>
          <w:rFonts w:ascii="Arial" w:cs="Arial" w:eastAsia="Arial" w:hAnsi="Arial"/>
          <w:color w:val="1A1A2E"/>
          <w:sz w:val="22"/>
          <w:szCs w:val="22"/>
        </w:rPr>
        <w:t xml:space="preserve">SFHA: Special Flood Hazard Area — FEMA designation for areas with 1%+ annual chance of flooding (Zones A and V)</w:t>
      </w:r>
    </w:p>
    <w:p>
      <w:pPr>
        <w:pStyle w:val="ListParagraph"/>
        <w:numPr>
          <w:ilvl w:val="0"/>
          <w:numId w:val="2"/>
        </w:numPr>
        <w:spacing w:before="60" w:after="60" w:line="276"/>
      </w:pPr>
      <w:r>
        <w:rPr>
          <w:rFonts w:ascii="Arial" w:cs="Arial" w:eastAsia="Arial" w:hAnsi="Arial"/>
          <w:color w:val="1A1A2E"/>
          <w:sz w:val="22"/>
          <w:szCs w:val="22"/>
        </w:rPr>
        <w:t xml:space="preserve">TABC: Texas Alcoholic Beverage Commission — state agency that issues liquor licenses</w:t>
      </w:r>
    </w:p>
    <w:p>
      <w:pPr>
        <w:pStyle w:val="ListParagraph"/>
        <w:numPr>
          <w:ilvl w:val="0"/>
          <w:numId w:val="2"/>
        </w:numPr>
        <w:spacing w:before="60" w:after="60" w:line="276"/>
      </w:pPr>
      <w:r>
        <w:rPr>
          <w:rFonts w:ascii="Arial" w:cs="Arial" w:eastAsia="Arial" w:hAnsi="Arial"/>
          <w:color w:val="1A1A2E"/>
          <w:sz w:val="22"/>
          <w:szCs w:val="22"/>
        </w:rPr>
        <w:t xml:space="preserve">FIRM: Flood Insurance Rate Map — FEMA-produced map showing flood hazard zones for a community</w:t>
      </w:r>
    </w:p>
    <w:p>
      <w:pPr>
        <w:pStyle w:val="ListParagraph"/>
        <w:numPr>
          <w:ilvl w:val="0"/>
          <w:numId w:val="2"/>
        </w:numPr>
        <w:spacing w:before="60" w:after="60" w:line="276"/>
      </w:pPr>
      <w:r>
        <w:rPr>
          <w:rFonts w:ascii="Arial" w:cs="Arial" w:eastAsia="Arial" w:hAnsi="Arial"/>
          <w:color w:val="1A1A2E"/>
          <w:sz w:val="22"/>
          <w:szCs w:val="22"/>
        </w:rPr>
        <w:t xml:space="preserve">DXA: Decitwip unit; 1440 DXA = 1 inch (used in document formatting)</w:t>
      </w:r>
    </w:p>
    <w:p>
      <w:pPr>
        <w:pStyle w:val="ListParagraph"/>
        <w:numPr>
          <w:ilvl w:val="0"/>
          <w:numId w:val="2"/>
        </w:numPr>
        <w:spacing w:before="60" w:after="60" w:line="276"/>
      </w:pPr>
      <w:r>
        <w:rPr>
          <w:rFonts w:ascii="Arial" w:cs="Arial" w:eastAsia="Arial" w:hAnsi="Arial"/>
          <w:color w:val="1A1A2E"/>
          <w:sz w:val="22"/>
          <w:szCs w:val="22"/>
        </w:rPr>
        <w:t xml:space="preserve">LTV: Loan-to-Value ratio — loan amount divided by property value</w:t>
      </w:r>
    </w:p>
    <w:p>
      <w:pPr>
        <w:spacing w:before="80" w:after="80" w:line="276"/>
        <w:jc w:val="left"/>
      </w:pPr>
      <w:r>
        <w:rPr>
          <w:rFonts w:ascii="Arial" w:cs="Arial" w:eastAsia="Arial" w:hAnsi="Arial"/>
          <w:b w:val="false"/>
          <w:bCs w:val="false"/>
          <w:i w:val="false"/>
          <w:iCs w:val="false"/>
          <w:color w:val="1A1A2E"/>
          <w:sz w:val="22"/>
          <w:szCs w:val="22"/>
        </w:rPr>
        <w:t xml:space="preserve"/>
      </w:r>
    </w:p>
    <w:p>
      <w:pPr>
        <w:pBdr>
          <w:top w:val="single" w:color="C9A84C" w:sz="4" w:space="6"/>
        </w:pBdr>
        <w:spacing w:before="480" w:after="160"/>
        <w:jc w:val="center"/>
      </w:pPr>
      <w:r>
        <w:rPr>
          <w:rFonts w:ascii="Arial" w:cs="Arial" w:eastAsia="Arial" w:hAnsi="Arial"/>
          <w:i/>
          <w:iCs/>
          <w:color w:val="888888"/>
          <w:sz w:val="20"/>
          <w:szCs w:val="20"/>
        </w:rPr>
        <w:t xml:space="preserve">— Section 10: Every Surface is a Set —</w:t>
      </w:r>
    </w:p>
    <w:p>
      <w:pPr>
        <w:pageBreakBefore/>
      </w:pPr>
    </w:p>
    <w:p>
      <w:pPr>
        <w:pStyle w:val="Heading1"/>
      </w:pPr>
      <w:r>
        <w:t>10. Every Surface Is a Set</w:t>
      </w:r>
    </w:p>
    <w:p>
      <w:pPr>
        <w:pStyle w:val="2"/>
      </w:pPr>
      <w:r>
        <w:rPr>
          <w:rFonts w:ascii="Arial" w:cs="Arial"/>
        </w:rPr>
        <w:t>10.1  The Union Builds — Owning Every Surface</w:t>
      </w:r>
    </w:p>
    <w:p>
      <w:r>
        <w:rPr>
          <w:rFonts w:ascii="Arial" w:cs="Arial"/>
          <w:sz w:val="24"/>
        </w:rPr>
        <w:t xml:space="preserve">The Music Union 512 designs and finances the full buildout for all tenant-occupied zones to Every Surface Is a Set standards, then owns every improvement as a depreciable LLC asset. Zone D (Coffee / Bar / Stage) receives a full $375,000 Union Builds buildout — the blood-red espresso bar, reclaimed wood, ON AIR signs, intimate stage corner — rather than a $150,000 shell. The Music Union charges $27.50/SF ($82,500/yr) vs. a standard $22/SF shell rate, owns all depreciation, and controls the aesthetic permanently. The model applies to all co-tenant zones across every chapter, ensuring brand consistency and maximizing the LLC’s depreciable asset base.</w:t>
      </w:r>
    </w:p>
    <w:p>
      <w:r>
        <w:rPr>
          <w:rFonts w:ascii="Arial" w:hAnsi="Arial"/>
          <w:sz w:val="24"/>
        </w:rPr>
        <w:t xml:space="preserve">The Music Union 512 is not only a functional creative campus — it is a designed content destination. Every square foot of the building is intentionally conceived to serve a primary operational purpose AND function as a world-class visual backdrop for photography, videography, social media content, and music videos. This dual-purpose design philosophy, which we call “Every Surface Is a Set,” is central to AMU’s identity, marketing strategy, and revenue model.</w:t>
      </w:r>
    </w:p>
    <w:p>
      <w:pPr>
        <w:pStyle w:val="Heading2"/>
      </w:pPr>
      <w:r>
        <w:t>10.1 The Strategic Framework</w:t>
      </w:r>
    </w:p>
    <w:p>
      <w:r>
        <w:rPr>
          <w:rFonts w:ascii="Arial" w:hAnsi="Arial"/>
          <w:sz w:val="24"/>
        </w:rPr>
        <w:t xml:space="preserve">Musicians already need two things: a place to rehearse and record, and professional content for their social media, press kits, and promotional materials. Traditionally, these are separate expenses at separate locations. The Music Union 512 charges for both in one destination.</w:t>
      </w:r>
    </w:p>
    <w:p>
      <w:r>
        <w:rPr>
          <w:rFonts w:ascii="Arial" w:hAnsi="Arial"/>
          <w:sz w:val="24"/>
        </w:rPr>
        <w:t xml:space="preserve">Beyond musicians, this design philosophy makes The Music Union 512 relevant to an entirely new audience: content creators, photographers, videographers, influencers, brands, and general public who want a one-of-a-kind visual environment in which to create. These visitors may never book a rehearsal room — but they generate revenue through day passes, hourly set rentals, and organic social media exposure that functions as continuous free marketing for the campus.</w:t>
      </w:r>
    </w:p>
    <w:p>
      <w:r>
        <w:rPr>
          <w:rFonts w:ascii="Arial" w:hAnsi="Arial"/>
          <w:sz w:val="24"/>
          <w:b/>
        </w:rPr>
        <w:t>The governing rule: no blank wall, no dead corner, no ignored ceiling.</w:t>
      </w:r>
      <w:r>
        <w:rPr>
          <w:rFonts w:ascii="Arial" w:hAnsi="Arial"/>
          <w:sz w:val="24"/>
        </w:rPr>
        <w:t xml:space="preserve"> Every surface is either acoustically functional or visually intentional — ideally both.</w:t>
      </w:r>
    </w:p>
    <w:p>
      <w:pPr>
        <w:pStyle w:val="Heading2"/>
      </w:pPr>
      <w:r>
        <w:t>10.2 Zone A — Themed Rehearsal Rooms</w:t>
      </w:r>
    </w:p>
    <w:p>
      <w:r>
        <w:rPr>
          <w:rFonts w:ascii="Arial" w:hAnsi="Arial"/>
          <w:sz w:val="24"/>
        </w:rPr>
        <w:t xml:space="preserve">Each of the 25 rehearsal rooms in Zone A carries a distinct visual theme that defines its aesthetic identity. Rooms are designed with both acoustic performance and visual composition in mind, and every theme is selected to appeal to a specific genre or mood of artist. Bands book themed rooms not only to rehearse, but to use as photography backdrops and music video sets — generating a secondary revenue stream from content creation rentals independent of rehearsal bookings.</w:t>
      </w:r>
    </w:p>
    <w:p>
      <w:r>
        <w:rPr>
          <w:rFonts w:ascii="Arial" w:hAnsi="Arial"/>
          <w:sz w:val="24"/>
        </w:rPr>
        <w:t xml:space="preserve">Confirmed themes include: The Dungeon (gothic stone, red candlelight, metal and doom), The Speakeasy (1920s jazz club, art deco, velvet), The Garage (graffiti murals, neon, punk and indie rock), The Forest (living moss walls, botanical, golden light, folk and indie), The Desert (adobe, terracotta, Navajo textiles, Americana and country), The Record Store (floor-to-ceiling vinyl, warm Edison light, all genres), The Motel Room (retro wood paneling, VACANCY neon, outlaw country and Americana), The VHS Room (stacked cassette tape walls, CRT televisions, 80s synthwave and retro pop), The Void (UV blacklight constellations on matte black surfaces, EDM and dark pop), The Mirror Room (three mirrored walls and floor, infinite reflections, dance and pop), and The Wallpaper Room (every surface layered in concert posters, flyers, and stickers, any genre).</w:t>
      </w:r>
    </w:p>
    <w:p>
      <w:r>
        <w:rPr>
          <w:rFonts w:ascii="Arial" w:hAnsi="Arial"/>
          <w:sz w:val="24"/>
        </w:rPr>
        <w:t xml:space="preserve">Content creation rentals are priced separately from rehearsal rates: $75–$150/hr for photography or video shoots regardless of music activity. A photographer who books The Forest for a four-hour album cover shoot generates $300–$600 in revenue without touching the PA system.</w:t>
      </w:r>
    </w:p>
    <w:p>
      <w:pPr>
        <w:pStyle w:val="Heading2"/>
      </w:pPr>
      <w:r>
        <w:t>10.3 Zone B — Themed Production Suites</w:t>
      </w:r>
    </w:p>
    <w:p>
      <w:r>
        <w:rPr>
          <w:rFonts w:ascii="Arial" w:hAnsi="Arial"/>
          <w:sz w:val="24"/>
        </w:rPr>
        <w:t xml:space="preserve">The three production suites in Zone B each carry an immersive visual identity alongside their professional acoustic specifications. The recording studio control room window — looking into the isolation booth — is among the most cinematic frames in music. Each suite is designed so that this view is architecturally stunning in its own right.</w:t>
      </w:r>
    </w:p>
    <w:p>
      <w:r>
        <w:rPr>
          <w:rFonts w:ascii="Arial" w:hAnsi="Arial"/>
          <w:sz w:val="24"/>
        </w:rPr>
        <w:t xml:space="preserve">The Bunker (B1) draws on Cold War Soviet bunker aesthetics — raw concrete walls with military stencil markings, vintage reel-to-reel tape machines alongside the modern console, olive drab metal shelving, and a red operational warning lamp. The isolation booth is visible through heavy glass like a secure chamber. The Cathedral (B2) uses trompe-l’oeil gothic arches on the walls and backlit stained glass panels, making the isolation booth appear framed by a cathedral archway. The Greenhouse (B3) wraps every wall in living plant material with a glass ceiling simulation, creating the most biophilic and calming recording environment ever designed — and one of the most photographed.</w:t>
      </w:r>
    </w:p>
    <w:p>
      <w:pPr>
        <w:pStyle w:val="Heading2"/>
      </w:pPr>
      <w:r>
        <w:t>10.4 Zone C — Themed Podcast and Creator Studios</w:t>
      </w:r>
    </w:p>
    <w:p>
      <w:r>
        <w:rPr>
          <w:rFonts w:ascii="Arial" w:hAnsi="Arial"/>
          <w:sz w:val="24"/>
        </w:rPr>
        <w:t xml:space="preserve">Podcast and creator studios are among the most photographed spaces in the content industry — creators post their setup constantly. AMU’s five Zone C studios are each designed as a distinct visual universe that serves a different content genre, dramatically expanding the range of creators the campus can attract.</w:t>
      </w:r>
    </w:p>
    <w:p>
      <w:r>
        <w:rPr>
          <w:rFonts w:ascii="Arial" w:hAnsi="Arial"/>
          <w:sz w:val="24"/>
        </w:rPr>
        <w:t xml:space="preserve">The Late Night (C1) replicates a late night television set with an Austin skyline mural backdrop, host desk, guest couch, and ON AIR sign — for music and entertainment podcasters who want instant production legitimacy. The Living Room (C2) is a perfectly styled mid-century modern interior with Eames lounge chair, fireplace, and bookshelf wall — the warmest and most intimate recording environment, ideal for long-form conversation. The Command Center (C3) is a cyberpunk broadcast setup with multiple monitors, RGB lighting rigs, and a custom broadcast desk — for tech, gaming, and finance creators. The Corner Office (C4) simulates a floor-to-ceiling Austin skyline view with a mahogany executive desk and bar cart — for business, finance, and interview-format shows. The Dive Bar Booth (C5) is a replica Austin dive bar with Lone Star neon, vinyl booth seating, a working jukebox, and layered band stickers — the most Austin-specific room in the building and the anti-pretension studio for music interview shows and comedy podcasts.</w:t>
      </w:r>
    </w:p>
    <w:p>
      <w:pPr>
        <w:pStyle w:val="Heading2"/>
      </w:pPr>
      <w:r>
        <w:t>10.5 Zone E — Music Industry Coworking Suites</w:t>
      </w:r>
    </w:p>
    <w:p>
      <w:r>
        <w:rPr>
          <w:rFonts w:ascii="Arial" w:hAnsi="Arial"/>
          <w:sz w:val="24"/>
        </w:rPr>
        <w:t xml:space="preserve">Zone E’s coworking spaces are specifically designed to attract the music and content industry professionals who orbit artists: photographers, videographers, social media managers, web developers, music publishers, promoters, booking agents, indie record labels, merch designers, music attorneys, sync licensing agents, A&amp;R representatives, tour managers, and PR firms. These professionals need workspace, and they need it within a creative community that understands their world.</w:t>
      </w:r>
    </w:p>
    <w:p>
      <w:r>
        <w:rPr>
          <w:rFonts w:ascii="Arial" w:hAnsi="Arial"/>
          <w:sz w:val="24"/>
        </w:rPr>
        <w:t xml:space="preserve">Each private suite is themed to match its ideal tenant’s professional identity, making the office itself a credential and a content backdrop. The Dark Room (E1) combines a professional photographer’s desk with a full seamless white cyc backdrop and strobe lighting — the office IS the studio, and musicians book hourly sessions against the backdrop when the photographer is not in. The Control Tower (E2) is an executive suite with gold record plaques, a listening station, and a simulated skyline view — for label executives, talent managers, and booking agents. The War Room (E3) covers every wall in show flyers, tour routing maps, and analytics whiteboards — for promoters and marketing teams. The Merch Lab (E4) combines a design workstation with a pegboard sample display wall and heat press — the office and the showroom are one. The Label Room (E5) is an indie label HQ with floor-to-ceiling release shelving, a listening station, and a four-person contract table. The Edit Suite (E6) is a dark-room video editing and color grading environment with client review couch — for videographers and content editors. The Pressroom (E7) is a music journalism and PR workspace with vintage typewriters, a magazine cover wall, and deadline-room energy.</w:t>
      </w:r>
    </w:p>
    <w:p>
      <w:r>
        <w:rPr>
          <w:rFonts w:ascii="Arial" w:hAnsi="Arial"/>
          <w:sz w:val="24"/>
        </w:rPr>
        <w:t xml:space="preserve">Open hot-desk areas include The Floor — a multi-screen analytics workspace styled for DSP strategists, social media managers, and digital marketing teams — and The Pressroom Pit, a communal long-table newsroom for independent writers, publicists, and journalists.</w:t>
      </w:r>
    </w:p>
    <w:p>
      <w:pPr>
        <w:pStyle w:val="Heading2"/>
      </w:pPr>
      <w:r>
        <w:t>10.6 Hallways, Common Areas, and Bathrooms</w:t>
      </w:r>
    </w:p>
    <w:p>
      <w:r>
        <w:rPr>
          <w:rFonts w:ascii="Arial" w:hAnsi="Arial"/>
          <w:sz w:val="24"/>
        </w:rPr>
        <w:t xml:space="preserve">The Every Surface Is a Set philosophy extends to every non-revenue-generating inch of the building. Hallways, lobbies, and bathrooms — the most photographed spaces in experiential venues — are treated with the same design intention as the studios and event spaces.</w:t>
      </w:r>
    </w:p>
    <w:p>
      <w:r>
        <w:rPr>
          <w:rFonts w:ascii="Arial" w:hAnsi="Arial"/>
          <w:sz w:val="24"/>
        </w:rPr>
        <w:t xml:space="preserve">Hallways feature: The Mirror Tunnel (mirrored walls creating an infinite corridor with a neon light strip down the ceiling center), The Cassette Ceiling (thousands of cassette tapes tiled across ceiling and upper walls in a deliberate color gradient from warm reds to cool purples), The Hall of Fame (every band that has recorded or performed at The Music Union 512 earns an 8x10 on this wall — a community milestone that fills itself over time), and The Sticker Bomb Wall (a permanent legal surface where any artist who records at The Music Union 512 can place their sticker, building a living archive of the campus’s community from day one).</w:t>
      </w:r>
    </w:p>
    <w:p>
      <w:r>
        <w:rPr>
          <w:rFonts w:ascii="Arial" w:hAnsi="Arial"/>
          <w:sz w:val="24"/>
        </w:rPr>
        <w:t xml:space="preserve">The main lobby features The Neon Forest (15–20 custom neon signs at varying heights among hanging tropical plants, mixing music quotes, The Music Union 512 branding, and Austin references), and The Suspended Instruments (dozens of vintage instruments hanging from the 20-foot ceiling on invisible wire, lit from above so each casts a dramatic shadow). Bathrooms feature The Green Room (a backstage dressing room aesthetic with Hollywood vanity bulbs, green velvet walls, setlists pinned to the mirror, and a rider visible on the side table) and The Disco (mirrored ceiling tiles with a disco ball, neon pink and purple sink rail lighting, and a black-sparkle floor).</w:t>
      </w:r>
    </w:p>
    <w:p>
      <w:pPr>
        <w:pStyle w:val="Heading2"/>
      </w:pPr>
      <w:r>
        <w:t>10.7 Outdoor and Exterior Spaces</w:t>
      </w:r>
    </w:p>
    <w:p>
      <w:r>
        <w:rPr>
          <w:rFonts w:ascii="Arial" w:hAnsi="Arial"/>
          <w:sz w:val="24"/>
        </w:rPr>
        <w:t xml:space="preserve">The exterior of the building at the corner of MLK Boulevard and Springdale Road is treated as a landmark destination in its own right. The 200-foot south-facing wall will feature a large-format mural program commissioning Austin artists, depicting Austin music history and the city’s creative culture in a cohesive style. This mural becomes a destination — the kind of public art installation that earns editorial coverage, social media virality, and consistent foot traffic from visitors who have no immediate intention of booking a room.</w:t>
      </w:r>
    </w:p>
    <w:p>
      <w:r>
        <w:rPr>
          <w:rFonts w:ascii="Arial" w:hAnsi="Arial"/>
          <w:sz w:val="24"/>
        </w:rPr>
        <w:t xml:space="preserve">A permanently parked vintage Airstream trailer, wrapped in artist-commissioned murals, serves as the merch and ticketing booth and functions as one of the most-photographed landmarks on the property. A 40-foot shipping container cut open on one side serves as an outdoor micro-stage and bar in the south lot, covered in street art and surrounded by picnic tables and Adirondack chairs. The MLK + Springdale corner itself — cleaned up, properly lit, and AMU-branded — is one of the most photographable street corners in East Austin, and every artist who shoots there tags the location.</w:t>
      </w:r>
    </w:p>
    <w:p>
      <w:pPr>
        <w:pStyle w:val="Heading2"/>
      </w:pPr>
      <w:r>
        <w:t>10.8 Revenue Model: Content Creation as a Standalone Business Line</w:t>
      </w:r>
    </w:p>
    <w:p>
      <w:r>
        <w:rPr>
          <w:rFonts w:ascii="Arial" w:hAnsi="Arial"/>
          <w:sz w:val="24"/>
        </w:rPr>
        <w:t xml:space="preserve">The Every Surface Is a Set framework generates revenue through four distinct channels that do not exist at any other music campus in Austin:</w:t>
      </w:r>
    </w:p>
    <w:p>
      <w:pPr>
        <w:numPr>
          <w:ilvl w:val="0"/>
          <w:numId w:val="1"/>
        </w:numPr>
      </w:pPr>
      <w:r>
        <w:rPr>
          <w:rFonts w:ascii="Arial" w:hAnsi="Arial"/>
          <w:sz w:val="24"/>
          <w:b/>
        </w:rPr>
        <w:t xml:space="preserve">Content Creation Room Rentals: </w:t>
      </w:r>
      <w:r>
        <w:rPr>
          <w:rFonts w:ascii="Arial" w:hAnsi="Arial"/>
          <w:sz w:val="24"/>
        </w:rPr>
        <w:t xml:space="preserve">Any themed room — rehearsal, studio, podcast, or coworking suite — can be rented by the hour solely for photography or video production. Rates of $75–$150/hr apply regardless of whether any music is made. A fashion photographer booking The Forest for an editorial shoot, a YouTuber booking The Command Center for a channel refresh, or a brand booking The Dungeon for a product campaign all generate revenue from the same square footage that serves rehearsal clients.</w:t>
      </w:r>
    </w:p>
    <w:p>
      <w:pPr>
        <w:numPr>
          <w:ilvl w:val="0"/>
          <w:numId w:val="1"/>
        </w:numPr>
      </w:pPr>
      <w:r>
        <w:rPr>
          <w:rFonts w:ascii="Arial" w:hAnsi="Arial"/>
          <w:sz w:val="24"/>
          <w:b/>
        </w:rPr>
        <w:t xml:space="preserve">General Public Day Passes: </w:t>
      </w:r>
      <w:r>
        <w:rPr>
          <w:rFonts w:ascii="Arial" w:hAnsi="Arial"/>
          <w:sz w:val="24"/>
        </w:rPr>
        <w:t xml:space="preserve">A $20–$25 day pass allows walk-in visitors — non-musicians, content creators, and general public — to access common areas, hallways, bathrooms, the lobby installations, and outdoor spaces for content creation. The pass does not include access to private studios or coworking suites. This replicates the Museum of Ice Cream or 29Rooms model: people pay simply to experience and photograph the space, and every post generates organic reach for the campus.</w:t>
      </w:r>
    </w:p>
    <w:p>
      <w:pPr>
        <w:numPr>
          <w:ilvl w:val="0"/>
          <w:numId w:val="1"/>
        </w:numPr>
      </w:pPr>
      <w:r>
        <w:rPr>
          <w:rFonts w:ascii="Arial" w:hAnsi="Arial"/>
          <w:sz w:val="24"/>
          <w:b/>
        </w:rPr>
        <w:t xml:space="preserve">Commercial Production Bookings: </w:t>
      </w:r>
      <w:r>
        <w:rPr>
          <w:rFonts w:ascii="Arial" w:hAnsi="Arial"/>
          <w:sz w:val="24"/>
        </w:rPr>
        <w:t xml:space="preserve">Zone F (The Union Stage) is available for daytime music video and commercial production rentals when not running live programming. A full stage with lighting rig, haze machine, and brick backdrop that would cost $3,000–$8,000/day at a dedicated production facility is available to music video directors and brand productions at competitive The Music Union 512 rates. The loading dock and south wall exterior similarly rent as production locations for their gritty, authentic industrial aesthetic.</w:t>
      </w:r>
    </w:p>
    <w:p>
      <w:pPr>
        <w:numPr>
          <w:ilvl w:val="0"/>
          <w:numId w:val="1"/>
        </w:numPr>
      </w:pPr>
      <w:r>
        <w:rPr>
          <w:rFonts w:ascii="Arial" w:hAnsi="Arial"/>
          <w:sz w:val="24"/>
          <w:b/>
        </w:rPr>
        <w:t xml:space="preserve">Organic Marketing at Scale: </w:t>
      </w:r>
      <w:r>
        <w:rPr>
          <w:rFonts w:ascii="Arial" w:hAnsi="Arial"/>
          <w:sz w:val="24"/>
        </w:rPr>
        <w:t xml:space="preserve">Every photograph taken at The Music Union 512 and posted with a location tag is a piece of earned media. A single viral Reel shot in The Forest or The Mirror Room can generate tens of thousands of impressions and direct booking inquiries. The campus is designed so that the marketing budget is spent by the customers themselves. This flywheel effect — where every visit generates future visits — is structurally embedded in the design rather than dependent on paid advertising.</w:t>
      </w:r>
    </w:p>
    <w:p>
      <w:pPr>
        <w:pStyle w:val="Heading2"/>
      </w:pPr>
      <w:r>
        <w:t>10.9 The Content Campus as Competitive Moat</w:t>
      </w:r>
    </w:p>
    <w:p>
      <w:r>
        <w:rPr>
          <w:rFonts w:ascii="Arial" w:hAnsi="Arial"/>
          <w:sz w:val="24"/>
        </w:rPr>
        <w:t xml:space="preserve">No rehearsal space competitor can replicate the Every Surface Is a Set framework without starting from scratch. The themed rooms, curated hallway installations, and exterior mural program collectively require significant design investment, community relationships, and time to build — and once built, they create a compounding advantage as the Hall of Fame wall fills, the Sticker Bomb Wall layers, and the mural program expands. The campus becomes increasingly irreplaceable the longer it operates.</w:t>
      </w:r>
    </w:p>
    <w:p>
      <w:r>
        <w:rPr>
          <w:rFonts w:ascii="Arial" w:hAnsi="Arial"/>
          <w:sz w:val="24"/>
        </w:rPr>
        <w:t xml:space="preserve">In a city where music is the primary cultural export, The Music Union 512 will become the physical address of that culture — not just a place where music is made, but the place where the music world works, creates, photographs, films, eats, drinks, performs, and gathers. The content campus concept transforms The Music Union 512 from a real estate play into a community institution.</w:t>
      </w:r>
    </w:p>
    <w:p>
      <w:pPr>
        <w:jc w:val="center"/>
      </w:pPr>
      <w:r>
        <w:rPr>
          <w:rFonts w:ascii="Arial" w:hAnsi="Arial"/>
          <w:color w:val="AAAAAA"/>
          <w:sz w:val="20"/>
        </w:rPr>
        <w:t>―――</w:t>
      </w:r>
    </w:p>
    <w:p>
      <w:pPr>
        <w:jc w:val="center"/>
      </w:pPr>
      <w:r>
        <w:rPr>
          <w:rFonts w:ascii="Arial" w:cs="Arial" w:eastAsia="Arial" w:hAnsi="Arial"/>
          <w:color w:val="AAAAAA"/>
          <w:sz w:val="18"/>
          <w:szCs w:val="18"/>
        </w:rPr>
        <w:t xml:space="preserve">This document is confidential and intended solely for the use of the named recipient(s).</w:t>
      </w:r>
    </w:p>
    <w:sectPr>
      <w:headerReference w:type="default" r:id="rId6"/>
      <w:footerReference w:type="default" r:id="rId7"/>
      <w:pgSz w:w="12240" w:h="15840" w:orient="portrait"/>
      <w:pgMar w:top="1260" w:right="1260" w:bottom="126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0D4DC" w:sz="4" w:space="2"/>
      </w:pBdr>
      <w:spacing w:before="80"/>
    </w:pPr>
    <w:r>
      <w:rPr>
        <w:rFonts w:ascii="Arial" w:cs="Arial" w:eastAsia="Arial" w:hAnsi="Arial"/>
        <w:color w:val="888888"/>
        <w:sz w:val="16"/>
        <w:szCs w:val="16"/>
      </w:rPr>
      <w:t xml:space="preserve">Springdale Campus LLC  ·  Austin, TX  ·  Confidential</w:t>
    </w:r>
    <w:r>
      <w:rPr>
        <w:rFonts w:ascii="Arial" w:cs="Arial" w:eastAsia="Arial" w:hAnsi="Arial"/>
        <w:color w:val="888888"/>
        <w:sz w:val="16"/>
        <w:szCs w:val="16"/>
      </w:rPr>
      <w:t xml:space="preserve">   Page </w:t>
    </w:r>
    <w:r>
      <w:rPr>
        <w:rFonts w:ascii="Arial" w:cs="Arial" w:eastAsia="Arial" w:hAnsi="Arial"/>
        <w:color w:val="888888"/>
        <w:sz w:val="16"/>
        <w:szCs w:val="16"/>
      </w:rPr>
      <w:fldChar w:fldCharType="begin"/>
      <w:instrText xml:space="preserve">PAGE</w:instrText>
      <w:fldChar w:fldCharType="separate"/>
      <w:fldChar w:fldCharType="end"/>
    </w:r>
    <w:r>
      <w:rPr>
        <w:rFonts w:ascii="Arial" w:cs="Arial" w:eastAsia="Arial" w:hAnsi="Arial"/>
        <w:color w:val="888888"/>
        <w:sz w:val="16"/>
        <w:szCs w:val="16"/>
      </w:rPr>
      <w:t xml:space="preserve"> of </w:t>
    </w:r>
    <w:r>
      <w:rPr>
        <w:rFonts w:ascii="Arial" w:cs="Arial" w:eastAsia="Arial" w:hAnsi="Arial"/>
        <w:color w:val="888888"/>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9A84C" w:sz="4" w:space="2"/>
      </w:pBdr>
      <w:spacing w:before="0" w:after="80"/>
    </w:pPr>
    <w:r>
      <w:rPr>
        <w:rFonts w:ascii="Arial" w:cs="Arial" w:eastAsia="Arial" w:hAnsi="Arial"/>
        <w:color w:val="888888"/>
        <w:sz w:val="18"/>
        <w:szCs w:val="18"/>
      </w:rPr>
      <w:t xml:space="preserve">SPRINGDALE MUSIC CAMPUS  ·  Confidential Business Plan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rFonts w:ascii="Arial" w:cs="Arial" w:eastAsia="Arial" w:hAnsi="Arial"/>
      </w:rPr>
    </w:lvl>
    <w:lvl w:ilvl="1" w15:tentative="1">
      <w:start w:val="1"/>
      <w:numFmt w:val="bullet"/>
      <w:lvlText w:val="◦"/>
      <w:lvlJc w:val="left"/>
      <w:pPr>
        <w:ind w:left="1080" w:hanging="360"/>
      </w:pPr>
      <w:rPr>
        <w:rFonts w:ascii="Arial" w:cs="Arial" w:eastAsia="Arial" w:hAnsi="Arial"/>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2E"/>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160"/>
      <w:outlineLvl w:val="0"/>
    </w:pPr>
    <w:rPr>
      <w:rFonts w:ascii="Arial" w:cs="Arial" w:eastAsia="Arial" w:hAnsi="Arial"/>
      <w:b/>
      <w:bCs/>
      <w:color w:val="1B2A4A"/>
      <w:sz w:val="36"/>
      <w:szCs w:val="36"/>
    </w:rPr>
  </w:style>
  <w:style w:type="paragraph" w:styleId="Heading2">
    <w:name w:val="Heading 2"/>
    <w:basedOn w:val="Normal"/>
    <w:next w:val="Normal"/>
    <w:qFormat/>
    <w:pPr>
      <w:spacing w:before="260" w:after="100"/>
      <w:outlineLvl w:val="1"/>
    </w:pPr>
    <w:rPr>
      <w:rFonts w:ascii="Arial" w:cs="Arial" w:eastAsia="Arial" w:hAnsi="Arial"/>
      <w:b/>
      <w:bCs/>
      <w:color w:val="1B2A4A"/>
      <w:sz w:val="28"/>
      <w:szCs w:val="28"/>
    </w:rPr>
  </w:style>
  <w:style w:type="paragraph" w:styleId="Heading3">
    <w:name w:val="Heading 3"/>
    <w:basedOn w:val="Normal"/>
    <w:next w:val="Normal"/>
    <w:qFormat/>
    <w:pPr>
      <w:spacing w:before="180" w:after="80"/>
      <w:outlineLvl w:val="2"/>
    </w:pPr>
    <w:rPr>
      <w:rFonts w:ascii="Arial" w:cs="Arial" w:eastAsia="Arial" w:hAnsi="Arial"/>
      <w:b/>
      <w:bCs/>
      <w:color w:val="1B2A4A"/>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2026-03-09T21:20:02.289Z</dcterms:created>
  <dcterms:modified xsi:type="dcterms:W3CDTF">2026-03-09T21:20:02.290Z</dcterms:modified>
</cp:coreProperties>
</file>

<file path=docProps/custom.xml><?xml version="1.0" encoding="utf-8"?>
<Properties xmlns="http://schemas.openxmlformats.org/officeDocument/2006/custom-properties" xmlns:vt="http://schemas.openxmlformats.org/officeDocument/2006/docPropsVTypes"/>
</file>