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1200" w:after="0"/>
      </w:pPr>
      <w:r>
        <w:rPr>
          <w:rFonts w:ascii="Georgia" w:cs="Georgia" w:eastAsia="Georgia" w:hAnsi="Georgia"/>
          <w:b/>
          <w:bCs/>
          <w:color w:val="1C0C04"/>
          <w:sz w:val="100"/>
          <w:szCs w:val="100"/>
        </w:rPr>
        <w:t xml:space="preserve">THE MUSIC UNION</w:t>
      </w:r>
    </w:p>
    <w:p>
      <w:pPr>
        <w:spacing w:before="0" w:after="60"/>
      </w:pPr>
      <w:r>
        <w:rPr>
          <w:rFonts w:ascii="Arial" w:cs="Arial" w:eastAsia="Arial" w:hAnsi="Arial"/>
          <w:b/>
          <w:bCs/>
          <w:color w:val="B8150C"/>
          <w:spacing w:val="40"/>
          <w:sz w:val="30"/>
          <w:szCs w:val="30"/>
        </w:rPr>
        <w:t xml:space="preserve">CHAPTER 512 · AUSTIN, TEXAS</w:t>
      </w:r>
    </w:p>
    <w:p>
      <w:pPr>
        <w:spacing w:before="60"/>
      </w:pPr>
    </w:p>
    <w:p>
      <w:pPr>
        <w:spacing w:before="0" w:after="0"/>
      </w:pPr>
      <w:r>
        <w:rPr>
          <w:rFonts w:ascii="Georgia" w:cs="Georgia" w:eastAsia="Georgia" w:hAnsi="Georgia"/>
          <w:i/>
          <w:iCs/>
          <w:color w:val="888888"/>
          <w:sz w:val="40"/>
          <w:szCs w:val="40"/>
        </w:rPr>
        <w:t xml:space="preserve">Executive Summary</w:t>
      </w:r>
    </w:p>
    <w:p>
      <w:pPr>
        <w:spacing w:before="80"/>
      </w:pPr>
    </w:p>
    <w:p>
      <w:pPr>
        <w:pBdr>
          <w:bottom w:val="single" w:color="C9A84C" w:sz="8"/>
        </w:pBdr>
        <w:spacing w:before="80" w:after="240"/>
      </w:pPr>
    </w:p>
    <w:p>
      <w:pPr>
        <w:spacing w:before="60"/>
      </w:pPr>
    </w:p>
    <w:p>
      <w:pPr>
        <w:spacing w:before="0" w:after="80"/>
      </w:pPr>
      <w:r>
        <w:rPr>
          <w:rFonts w:ascii="Arial" w:cs="Arial" w:eastAsia="Arial" w:hAnsi="Arial"/>
          <w:color w:val="888888"/>
          <w:sz w:val="22"/>
          <w:szCs w:val="22"/>
        </w:rPr>
        <w:t xml:space="preserve">4405 Springdale Road  ·  Austin, TX 78723  ·  44,528 SF  ·  musicunion.co</w:t>
      </w:r>
    </w:p>
    <w:p>
      <w:pPr>
        <w:spacing w:before="0" w:after="1200"/>
      </w:pPr>
      <w:r>
        <w:rPr>
          <w:rFonts w:ascii="Arial" w:cs="Arial" w:eastAsia="Arial" w:hAnsi="Arial"/>
          <w:color w:val="888888"/>
          <w:sz w:val="20"/>
          <w:szCs w:val="20"/>
        </w:rPr>
        <w:t xml:space="preserve">Confidential — March 2026  ·  For Discussion Purposes Only</w:t>
      </w:r>
    </w:p>
    <w:p>
      <w:pPr>
        <w:spacing w:before="20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B8150C" w:sz="36"/>
              <w:bottom w:val="none" w:color="FFFFFF" w:sz="0"/>
              <w:right w:val="none" w:color="FFFFFF" w:sz="0"/>
            </w:tcBorders>
            <w:shd w:fill="FDF8F0" w:val="clear"/>
            <w:tcMar>
              <w:top w:type="dxa" w:w="240"/>
              <w:left w:type="dxa" w:w="360"/>
              <w:bottom w:type="dxa" w:w="240"/>
              <w:right w:type="dxa" w:w="240"/>
            </w:tcMar>
          </w:tcPr>
          <w:p>
            <w:r>
              <w:rPr>
                <w:rFonts w:ascii="Georgia" w:cs="Georgia" w:eastAsia="Georgia" w:hAnsi="Georgia"/>
                <w:i/>
                <w:iCs/>
                <w:color w:val="1C0C04"/>
                <w:sz w:val="26"/>
                <w:szCs w:val="26"/>
              </w:rPr>
              <w:t xml:space="preserve">You are not investing in a music venue. You are investing in the first chapter of the Soho House of music — a branded, scalable, national institution for the people who make music for a living.</w:t>
            </w:r>
          </w:p>
        </w:tc>
      </w:tr>
    </w:tbl>
    <w:p>
      <w:pPr>
        <w:spacing w:before="80"/>
      </w:pPr>
    </w:p>
    <w:p>
      <w:pPr>
        <w:spacing w:before="20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340"/>
        <w:gridCol w:w="2340"/>
        <w:gridCol w:w="2340"/>
        <w:gridCol w:w="2340"/>
      </w:tblGrid>
      <w:tr>
        <w:tc>
          <w:tcPr>
            <w:tcBorders>
              <w:top w:val="none" w:color="FFFFFF" w:sz="0"/>
              <w:left w:val="none" w:color="FFFFFF" w:sz="0"/>
              <w:bottom w:val="none" w:color="FFFFFF" w:sz="0"/>
              <w:right w:val="none" w:color="FFFFFF" w:sz="0"/>
            </w:tcBorders>
            <w:shd w:fill="1C0C04" w:val="clear"/>
            <w:tcMar>
              <w:top w:type="dxa" w:w="180"/>
              <w:left w:type="dxa" w:w="200"/>
              <w:bottom w:type="dxa" w:w="180"/>
              <w:right w:type="dxa" w:w="200"/>
            </w:tcMar>
            <w:vAlign w:val="center"/>
          </w:tcPr>
          <w:p>
            <w:pPr>
              <w:jc w:val="center"/>
            </w:pPr>
            <w:r>
              <w:rPr>
                <w:rFonts w:ascii="Georgia" w:cs="Georgia" w:eastAsia="Georgia" w:hAnsi="Georgia"/>
                <w:b/>
                <w:bCs/>
                <w:color w:val="C9A84C"/>
                <w:sz w:val="36"/>
                <w:szCs w:val="36"/>
              </w:rPr>
              <w:t xml:space="preserve">$13.1M</w:t>
            </w:r>
          </w:p>
          <w:p>
            <w:pPr>
              <w:jc w:val="center"/>
            </w:pPr>
            <w:r>
              <w:rPr>
                <w:rFonts w:ascii="Arial" w:cs="Arial" w:eastAsia="Arial" w:hAnsi="Arial"/>
                <w:color w:val="aabbcc"/>
                <w:sz w:val="18"/>
                <w:szCs w:val="18"/>
              </w:rPr>
              <w:t xml:space="preserve">Total Project Cost</w:t>
            </w:r>
          </w:p>
        </w:tc>
        <w:tc>
          <w:tcPr>
            <w:tcBorders>
              <w:top w:val="none" w:color="FFFFFF" w:sz="0"/>
              <w:left w:val="none" w:color="FFFFFF" w:sz="0"/>
              <w:bottom w:val="none" w:color="FFFFFF" w:sz="0"/>
              <w:right w:val="none" w:color="FFFFFF" w:sz="0"/>
            </w:tcBorders>
            <w:shd w:fill="1C0C04" w:val="clear"/>
            <w:tcMar>
              <w:top w:type="dxa" w:w="180"/>
              <w:left w:type="dxa" w:w="200"/>
              <w:bottom w:type="dxa" w:w="180"/>
              <w:right w:type="dxa" w:w="200"/>
            </w:tcMar>
            <w:vAlign w:val="center"/>
          </w:tcPr>
          <w:p>
            <w:pPr>
              <w:jc w:val="center"/>
            </w:pPr>
            <w:r>
              <w:rPr>
                <w:rFonts w:ascii="Georgia" w:cs="Georgia" w:eastAsia="Georgia" w:hAnsi="Georgia"/>
                <w:b/>
                <w:bCs/>
                <w:color w:val="C9A84C"/>
                <w:sz w:val="36"/>
                <w:szCs w:val="36"/>
              </w:rPr>
              <w:t xml:space="preserve">$4.6M</w:t>
            </w:r>
          </w:p>
          <w:p>
            <w:pPr>
              <w:jc w:val="center"/>
            </w:pPr>
            <w:r>
              <w:rPr>
                <w:rFonts w:ascii="Arial" w:cs="Arial" w:eastAsia="Arial" w:hAnsi="Arial"/>
                <w:color w:val="aabbcc"/>
                <w:sz w:val="18"/>
                <w:szCs w:val="18"/>
              </w:rPr>
              <w:t xml:space="preserve">Equity Raise</w:t>
            </w:r>
          </w:p>
        </w:tc>
        <w:tc>
          <w:tcPr>
            <w:tcBorders>
              <w:top w:val="none" w:color="FFFFFF" w:sz="0"/>
              <w:left w:val="none" w:color="FFFFFF" w:sz="0"/>
              <w:bottom w:val="none" w:color="FFFFFF" w:sz="0"/>
              <w:right w:val="none" w:color="FFFFFF" w:sz="0"/>
            </w:tcBorders>
            <w:shd w:fill="1C0C04" w:val="clear"/>
            <w:tcMar>
              <w:top w:type="dxa" w:w="180"/>
              <w:left w:type="dxa" w:w="200"/>
              <w:bottom w:type="dxa" w:w="180"/>
              <w:right w:type="dxa" w:w="200"/>
            </w:tcMar>
            <w:vAlign w:val="center"/>
          </w:tcPr>
          <w:p>
            <w:pPr>
              <w:jc w:val="center"/>
            </w:pPr>
            <w:r>
              <w:rPr>
                <w:rFonts w:ascii="Georgia" w:cs="Georgia" w:eastAsia="Georgia" w:hAnsi="Georgia"/>
                <w:b/>
                <w:bCs/>
                <w:color w:val="C9A84C"/>
                <w:sz w:val="36"/>
                <w:szCs w:val="36"/>
              </w:rPr>
              <w:t xml:space="preserve">$1.2M</w:t>
            </w:r>
          </w:p>
          <w:p>
            <w:pPr>
              <w:jc w:val="center"/>
            </w:pPr>
            <w:r>
              <w:rPr>
                <w:rFonts w:ascii="Arial" w:cs="Arial" w:eastAsia="Arial" w:hAnsi="Arial"/>
                <w:color w:val="aabbcc"/>
                <w:sz w:val="18"/>
                <w:szCs w:val="18"/>
              </w:rPr>
              <w:t xml:space="preserve">Year 1 NOI</w:t>
            </w:r>
          </w:p>
        </w:tc>
        <w:tc>
          <w:tcPr>
            <w:tcBorders>
              <w:top w:val="none" w:color="FFFFFF" w:sz="0"/>
              <w:left w:val="none" w:color="FFFFFF" w:sz="0"/>
              <w:bottom w:val="none" w:color="FFFFFF" w:sz="0"/>
              <w:right w:val="none" w:color="FFFFFF" w:sz="0"/>
            </w:tcBorders>
            <w:shd w:fill="1C0C04" w:val="clear"/>
            <w:tcMar>
              <w:top w:type="dxa" w:w="180"/>
              <w:left w:type="dxa" w:w="200"/>
              <w:bottom w:type="dxa" w:w="180"/>
              <w:right w:type="dxa" w:w="200"/>
            </w:tcMar>
            <w:vAlign w:val="center"/>
          </w:tcPr>
          <w:p>
            <w:pPr>
              <w:jc w:val="center"/>
            </w:pPr>
            <w:r>
              <w:rPr>
                <w:rFonts w:ascii="Georgia" w:cs="Georgia" w:eastAsia="Georgia" w:hAnsi="Georgia"/>
                <w:b/>
                <w:bCs/>
                <w:color w:val="C9A84C"/>
                <w:sz w:val="36"/>
                <w:szCs w:val="36"/>
              </w:rPr>
              <w:t xml:space="preserve">$3.1M</w:t>
            </w:r>
          </w:p>
          <w:p>
            <w:pPr>
              <w:jc w:val="center"/>
            </w:pPr>
            <w:r>
              <w:rPr>
                <w:rFonts w:ascii="Arial" w:cs="Arial" w:eastAsia="Arial" w:hAnsi="Arial"/>
                <w:color w:val="aabbcc"/>
                <w:sz w:val="18"/>
                <w:szCs w:val="18"/>
              </w:rPr>
              <w:t xml:space="preserve">Year 3 NOI</w:t>
            </w:r>
          </w:p>
        </w:tc>
      </w:tr>
    </w:tbl>
    <w:p>
      <w:pPr>
        <w:spacing w:before="8"/>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340"/>
        <w:gridCol w:w="2340"/>
        <w:gridCol w:w="2340"/>
        <w:gridCol w:w="2340"/>
      </w:tblGrid>
      <w:tr>
        <w:tc>
          <w:tcPr>
            <w:tcBorders>
              <w:top w:val="none" w:color="FFFFFF" w:sz="0"/>
              <w:left w:val="none" w:color="FFFFFF" w:sz="0"/>
              <w:bottom w:val="none" w:color="FFFFFF" w:sz="0"/>
              <w:right w:val="none" w:color="FFFFFF" w:sz="0"/>
            </w:tcBorders>
            <w:shd w:fill="1C0C04" w:val="clear"/>
            <w:tcMar>
              <w:top w:type="dxa" w:w="180"/>
              <w:left w:type="dxa" w:w="200"/>
              <w:bottom w:type="dxa" w:w="180"/>
              <w:right w:type="dxa" w:w="200"/>
            </w:tcMar>
            <w:vAlign w:val="center"/>
          </w:tcPr>
          <w:p>
            <w:pPr>
              <w:jc w:val="center"/>
            </w:pPr>
            <w:r>
              <w:rPr>
                <w:rFonts w:ascii="Georgia" w:cs="Georgia" w:eastAsia="Georgia" w:hAnsi="Georgia"/>
                <w:b/>
                <w:bCs/>
                <w:color w:val="C9A84C"/>
                <w:sz w:val="36"/>
                <w:szCs w:val="36"/>
              </w:rPr>
              <w:t xml:space="preserve">14.7×</w:t>
            </w:r>
          </w:p>
          <w:p>
            <w:pPr>
              <w:jc w:val="center"/>
            </w:pPr>
            <w:r>
              <w:rPr>
                <w:rFonts w:ascii="Arial" w:cs="Arial" w:eastAsia="Arial" w:hAnsi="Arial"/>
                <w:color w:val="aabbcc"/>
                <w:sz w:val="18"/>
                <w:szCs w:val="18"/>
              </w:rPr>
              <w:t xml:space="preserve">Leveraged Equity Multiple (Y7)</w:t>
            </w:r>
          </w:p>
        </w:tc>
        <w:tc>
          <w:tcPr>
            <w:tcBorders>
              <w:top w:val="none" w:color="FFFFFF" w:sz="0"/>
              <w:left w:val="none" w:color="FFFFFF" w:sz="0"/>
              <w:bottom w:val="none" w:color="FFFFFF" w:sz="0"/>
              <w:right w:val="none" w:color="FFFFFF" w:sz="0"/>
            </w:tcBorders>
            <w:shd w:fill="1C0C04" w:val="clear"/>
            <w:tcMar>
              <w:top w:type="dxa" w:w="180"/>
              <w:left w:type="dxa" w:w="200"/>
              <w:bottom w:type="dxa" w:w="180"/>
              <w:right w:type="dxa" w:w="200"/>
            </w:tcMar>
            <w:vAlign w:val="center"/>
          </w:tcPr>
          <w:p>
            <w:pPr>
              <w:jc w:val="center"/>
            </w:pPr>
            <w:r>
              <w:rPr>
                <w:rFonts w:ascii="Georgia" w:cs="Georgia" w:eastAsia="Georgia" w:hAnsi="Georgia"/>
                <w:b/>
                <w:bCs/>
                <w:color w:val="C9A84C"/>
                <w:sz w:val="36"/>
                <w:szCs w:val="36"/>
              </w:rPr>
              <w:t xml:space="preserve">1.61×</w:t>
            </w:r>
          </w:p>
          <w:p>
            <w:pPr>
              <w:jc w:val="center"/>
            </w:pPr>
            <w:r>
              <w:rPr>
                <w:rFonts w:ascii="Arial" w:cs="Arial" w:eastAsia="Arial" w:hAnsi="Arial"/>
                <w:color w:val="aabbcc"/>
                <w:sz w:val="18"/>
                <w:szCs w:val="18"/>
              </w:rPr>
              <w:t xml:space="preserve">Year 1 DSCR</w:t>
            </w:r>
          </w:p>
        </w:tc>
        <w:tc>
          <w:tcPr>
            <w:tcBorders>
              <w:top w:val="none" w:color="FFFFFF" w:sz="0"/>
              <w:left w:val="none" w:color="FFFFFF" w:sz="0"/>
              <w:bottom w:val="none" w:color="FFFFFF" w:sz="0"/>
              <w:right w:val="none" w:color="FFFFFF" w:sz="0"/>
            </w:tcBorders>
            <w:shd w:fill="1C0C04" w:val="clear"/>
            <w:tcMar>
              <w:top w:type="dxa" w:w="180"/>
              <w:left w:type="dxa" w:w="200"/>
              <w:bottom w:type="dxa" w:w="180"/>
              <w:right w:type="dxa" w:w="200"/>
            </w:tcMar>
            <w:vAlign w:val="center"/>
          </w:tcPr>
          <w:p>
            <w:pPr>
              <w:jc w:val="center"/>
            </w:pPr>
            <w:r>
              <w:rPr>
                <w:rFonts w:ascii="Georgia" w:cs="Georgia" w:eastAsia="Georgia" w:hAnsi="Georgia"/>
                <w:b/>
                <w:bCs/>
                <w:color w:val="C9A84C"/>
                <w:sz w:val="36"/>
                <w:szCs w:val="36"/>
              </w:rPr>
              <w:t xml:space="preserve">~$58.6M</w:t>
            </w:r>
          </w:p>
          <w:p>
            <w:pPr>
              <w:jc w:val="center"/>
            </w:pPr>
            <w:r>
              <w:rPr>
                <w:rFonts w:ascii="Arial" w:cs="Arial" w:eastAsia="Arial" w:hAnsi="Arial"/>
                <w:color w:val="aabbcc"/>
                <w:sz w:val="18"/>
                <w:szCs w:val="18"/>
              </w:rPr>
              <w:t xml:space="preserve">Implied Asset Value (Y7)</w:t>
            </w:r>
          </w:p>
        </w:tc>
        <w:tc>
          <w:tcPr>
            <w:tcBorders>
              <w:top w:val="none" w:color="FFFFFF" w:sz="0"/>
              <w:left w:val="none" w:color="FFFFFF" w:sz="0"/>
              <w:bottom w:val="none" w:color="FFFFFF" w:sz="0"/>
              <w:right w:val="none" w:color="FFFFFF" w:sz="0"/>
            </w:tcBorders>
            <w:shd w:fill="1C0C04" w:val="clear"/>
            <w:tcMar>
              <w:top w:type="dxa" w:w="180"/>
              <w:left w:type="dxa" w:w="200"/>
              <w:bottom w:type="dxa" w:w="180"/>
              <w:right w:type="dxa" w:w="200"/>
            </w:tcMar>
            <w:vAlign w:val="center"/>
          </w:tcPr>
          <w:p>
            <w:pPr>
              <w:jc w:val="center"/>
            </w:pPr>
            <w:r>
              <w:rPr>
                <w:rFonts w:ascii="Georgia" w:cs="Georgia" w:eastAsia="Georgia" w:hAnsi="Georgia"/>
                <w:b/>
                <w:bCs/>
                <w:color w:val="C9A84C"/>
                <w:sz w:val="36"/>
                <w:szCs w:val="36"/>
              </w:rPr>
              <w:t xml:space="preserve">52.0%</w:t>
            </w:r>
          </w:p>
          <w:p>
            <w:pPr>
              <w:jc w:val="center"/>
            </w:pPr>
            <w:r>
              <w:rPr>
                <w:rFonts w:ascii="Arial" w:cs="Arial" w:eastAsia="Arial" w:hAnsi="Arial"/>
                <w:color w:val="aabbcc"/>
                <w:sz w:val="18"/>
                <w:szCs w:val="18"/>
              </w:rPr>
              <w:t xml:space="preserve">Year 3 Cash-on-Cash Return</w:t>
            </w:r>
          </w:p>
        </w:tc>
      </w:tr>
    </w:tbl>
    <w:p>
      <w:pPr>
        <w:pageBreakBefore/>
        <w:spacing w:before="0" w:after="180"/>
      </w:pPr>
      <w:r>
        <w:rPr>
          <w:rFonts w:ascii="Georgia" w:cs="Georgia" w:eastAsia="Georgia" w:hAnsi="Georgia"/>
          <w:b/>
          <w:bCs/>
          <w:color w:val="1C0C04"/>
          <w:sz w:val="52"/>
          <w:szCs w:val="52"/>
        </w:rPr>
        <w:t xml:space="preserve">The Opportunity</w:t>
      </w:r>
    </w:p>
    <w:p>
      <w:pPr>
        <w:spacing w:before="60" w:after="120"/>
      </w:pPr>
      <w:r>
        <w:rPr>
          <w:rFonts w:ascii="Arial" w:cs="Arial" w:eastAsia="Arial" w:hAnsi="Arial"/>
          <w:b w:val="false"/>
          <w:bCs w:val="false"/>
          <w:i w:val="false"/>
          <w:iCs w:val="false"/>
          <w:color w:val="1C0C04"/>
          <w:sz w:val="22"/>
          <w:szCs w:val="22"/>
        </w:rPr>
        <w:t xml:space="preserve">Austin is the Live Music Capital of the World. It is home to more working musicians per capita than any other American city, a $2.8B+ annual music economy, and a creative community that spans musicians, producers, photographers, videographers, booking agents, publicists, and brand strategists.</w:t>
      </w:r>
    </w:p>
    <w:p>
      <w:pPr>
        <w:spacing w:before="60" w:after="120"/>
      </w:pPr>
      <w:r>
        <w:rPr>
          <w:rFonts w:ascii="Arial" w:cs="Arial" w:eastAsia="Arial" w:hAnsi="Arial"/>
          <w:b w:val="false"/>
          <w:bCs w:val="false"/>
          <w:i w:val="false"/>
          <w:iCs w:val="false"/>
          <w:color w:val="1C0C04"/>
          <w:sz w:val="22"/>
          <w:szCs w:val="22"/>
        </w:rPr>
        <w:t xml:space="preserve">Those people have nowhere to work. Practice spaces are scarce, expensive, and uninspiring. Recording studios are either budget-grade or unaffordable. Podcast and content studios do not exist at scale for the mid-tier creator. The music industry's coworking professionals — the layer that keeps the business running — work from home or generic WeWork spaces with no connection to the community they serve.</w:t>
      </w:r>
    </w:p>
    <w:p>
      <w:pPr>
        <w:spacing w:before="60" w:after="120"/>
      </w:pPr>
      <w:r>
        <w:rPr>
          <w:rFonts w:ascii="Arial" w:cs="Arial" w:eastAsia="Arial" w:hAnsi="Arial"/>
          <w:b w:val="false"/>
          <w:bCs w:val="false"/>
          <w:i w:val="false"/>
          <w:iCs w:val="false"/>
          <w:color w:val="1C0C04"/>
          <w:sz w:val="22"/>
          <w:szCs w:val="22"/>
        </w:rPr>
        <w:t xml:space="preserve">The Music Union 512 is built to close that gap: a 44,528 SF creative campus designed from the ground up for the music and content industries, with seven revenue-generating zones, a cross-city membership program, and a design philosophy that makes every square foot a content destination.</w:t>
      </w:r>
    </w:p>
    <w:p>
      <w:pPr>
        <w:spacing w:before="8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B8150C" w:sz="36"/>
              <w:bottom w:val="none" w:color="FFFFFF" w:sz="0"/>
              <w:right w:val="none" w:color="FFFFFF" w:sz="0"/>
            </w:tcBorders>
            <w:shd w:fill="FDF8F0" w:val="clear"/>
            <w:tcMar>
              <w:top w:type="dxa" w:w="240"/>
              <w:left w:type="dxa" w:w="360"/>
              <w:bottom w:type="dxa" w:w="240"/>
              <w:right w:type="dxa" w:w="240"/>
            </w:tcMar>
          </w:tcPr>
          <w:p>
            <w:r>
              <w:rPr>
                <w:rFonts w:ascii="Georgia" w:cs="Georgia" w:eastAsia="Georgia" w:hAnsi="Georgia"/>
                <w:i/>
                <w:iCs/>
                <w:color w:val="1C0C04"/>
                <w:sz w:val="26"/>
                <w:szCs w:val="26"/>
              </w:rPr>
              <w:t xml:space="preserve">Austin's 512 is one of the most beloved area codes in the country — worn on hats, tattooed, built into civic identity. The Music Union 512 is named for the city it anchors. The second chapter becomes 615. The third is 213. Each chapter belongs to its city and to the national institution simultaneously.</w:t>
            </w:r>
          </w:p>
        </w:tc>
      </w:tr>
    </w:tbl>
    <w:p>
      <w:pPr>
        <w:pageBreakBefore/>
        <w:spacing w:before="0" w:after="180"/>
      </w:pPr>
      <w:r>
        <w:rPr>
          <w:rFonts w:ascii="Georgia" w:cs="Georgia" w:eastAsia="Georgia" w:hAnsi="Georgia"/>
          <w:b/>
          <w:bCs/>
          <w:color w:val="1C0C04"/>
          <w:sz w:val="52"/>
          <w:szCs w:val="52"/>
        </w:rPr>
        <w:t xml:space="preserve">The Property</w:t>
      </w:r>
    </w:p>
    <w:p>
      <w:pPr>
        <w:spacing w:before="60" w:after="120"/>
      </w:pPr>
      <w:r>
        <w:rPr>
          <w:rFonts w:ascii="Arial" w:cs="Arial" w:eastAsia="Arial" w:hAnsi="Arial"/>
          <w:b w:val="false"/>
          <w:bCs w:val="false"/>
          <w:i w:val="false"/>
          <w:iCs w:val="false"/>
          <w:color w:val="1C0C04"/>
          <w:sz w:val="22"/>
          <w:szCs w:val="22"/>
        </w:rPr>
        <w:t xml:space="preserve">4405 Springdale Road is a 44,528 SF Class B flex building on 3.01 acres at the corner of MLK Jr. Blvd and Springdale Road in East Austin — one of the city's most rapidly appreciating creative corridors. The building is currently occupied by the Texas Workforce Commission, whose lease expires August 31, 2026, delivering vacant possession at precisely the moment the Austin creative market needs this campus.</w:t>
      </w:r>
    </w:p>
    <w:p>
      <w:pPr>
        <w:spacing w:before="8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120"/>
        <w:gridCol w:w="3120"/>
        <w:gridCol w:w="3120"/>
      </w:tblGrid>
      <w:tr>
        <w:tc>
          <w:tcPr>
            <w:tcBorders>
              <w:top w:val="single" w:color="D4C9A8" w:sz="2"/>
              <w:left w:val="single" w:color="D4C9A8" w:sz="2"/>
              <w:bottom w:val="single" w:color="D4C9A8" w:sz="2"/>
              <w:right w:val="single" w:color="D4C9A8" w:sz="2"/>
            </w:tcBorders>
            <w:shd w:fill="1C0C04" w:val="clear"/>
            <w:tcMar>
              <w:top w:type="dxa" w:w="120"/>
              <w:left w:type="dxa" w:w="160"/>
              <w:bottom w:type="dxa" w:w="120"/>
              <w:right w:type="dxa" w:w="160"/>
            </w:tcMar>
            <w:vAlign w:val="center"/>
          </w:tcPr>
          <w:p>
            <w:pPr>
              <w:jc w:val="left"/>
            </w:pPr>
            <w:r>
              <w:rPr>
                <w:rFonts w:ascii="Arial" w:cs="Arial" w:eastAsia="Arial" w:hAnsi="Arial"/>
                <w:b/>
                <w:bCs/>
                <w:color w:val="FFFFFF"/>
                <w:sz w:val="20"/>
                <w:szCs w:val="20"/>
              </w:rPr>
              <w:t xml:space="preserve">Metric</w:t>
            </w:r>
          </w:p>
        </w:tc>
        <w:tc>
          <w:tcPr>
            <w:tcBorders>
              <w:top w:val="single" w:color="D4C9A8" w:sz="2"/>
              <w:left w:val="single" w:color="D4C9A8" w:sz="2"/>
              <w:bottom w:val="single" w:color="D4C9A8" w:sz="2"/>
              <w:right w:val="single" w:color="D4C9A8" w:sz="2"/>
            </w:tcBorders>
            <w:shd w:fill="1C0C04" w:val="clear"/>
            <w:tcMar>
              <w:top w:type="dxa" w:w="120"/>
              <w:left w:type="dxa" w:w="160"/>
              <w:bottom w:type="dxa" w:w="120"/>
              <w:right w:type="dxa" w:w="160"/>
            </w:tcMar>
            <w:vAlign w:val="center"/>
          </w:tcPr>
          <w:p>
            <w:pPr>
              <w:jc w:val="center"/>
            </w:pPr>
            <w:r>
              <w:rPr>
                <w:rFonts w:ascii="Arial" w:cs="Arial" w:eastAsia="Arial" w:hAnsi="Arial"/>
                <w:b/>
                <w:bCs/>
                <w:color w:val="FFFFFF"/>
                <w:sz w:val="20"/>
                <w:szCs w:val="20"/>
              </w:rPr>
              <w:t xml:space="preserve">Detail</w:t>
            </w:r>
          </w:p>
        </w:tc>
        <w:tc>
          <w:tcPr>
            <w:tcBorders>
              <w:top w:val="single" w:color="D4C9A8" w:sz="2"/>
              <w:left w:val="single" w:color="D4C9A8" w:sz="2"/>
              <w:bottom w:val="single" w:color="D4C9A8" w:sz="2"/>
              <w:right w:val="single" w:color="D4C9A8" w:sz="2"/>
            </w:tcBorders>
            <w:shd w:fill="1C0C04" w:val="clear"/>
            <w:tcMar>
              <w:top w:type="dxa" w:w="120"/>
              <w:left w:type="dxa" w:w="160"/>
              <w:bottom w:type="dxa" w:w="120"/>
              <w:right w:type="dxa" w:w="160"/>
            </w:tcMar>
            <w:vAlign w:val="center"/>
          </w:tcPr>
          <w:p>
            <w:pPr>
              <w:jc w:val="center"/>
            </w:pPr>
            <w:r>
              <w:rPr>
                <w:rFonts w:ascii="Arial" w:cs="Arial" w:eastAsia="Arial" w:hAnsi="Arial"/>
                <w:b/>
                <w:bCs/>
                <w:color w:val="FFFFFF"/>
                <w:sz w:val="20"/>
                <w:szCs w:val="20"/>
              </w:rPr>
              <w:t xml:space="preserve">Significance</w:t>
            </w:r>
          </w:p>
        </w:tc>
      </w:tr>
      <w:tr>
        <w:tc>
          <w:tcPr>
            <w:tcBorders>
              <w:top w:val="single" w:color="D4C9A8" w:sz="2"/>
              <w:left w:val="single" w:color="D4C9A8" w:sz="2"/>
              <w:bottom w:val="single" w:color="D4C9A8" w:sz="2"/>
              <w:right w:val="single" w:color="D4C9A8" w:sz="2"/>
            </w:tcBorders>
            <w:shd w:fill="FFFFFF" w:val="clear"/>
            <w:tcMar>
              <w:top w:type="dxa" w:w="120"/>
              <w:left w:type="dxa" w:w="160"/>
              <w:bottom w:type="dxa" w:w="120"/>
              <w:right w:type="dxa" w:w="160"/>
            </w:tcMar>
            <w:vAlign w:val="center"/>
          </w:tcPr>
          <w:p>
            <w:pPr>
              <w:jc w:val="left"/>
            </w:pPr>
            <w:r>
              <w:rPr>
                <w:rFonts w:ascii="Arial" w:cs="Arial" w:eastAsia="Arial" w:hAnsi="Arial"/>
                <w:b/>
                <w:bCs/>
                <w:color w:val="1C0C04"/>
                <w:sz w:val="22"/>
                <w:szCs w:val="22"/>
              </w:rPr>
              <w:t xml:space="preserve">Address</w:t>
            </w:r>
          </w:p>
        </w:tc>
        <w:tc>
          <w:tcPr>
            <w:tcBorders>
              <w:top w:val="single" w:color="D4C9A8" w:sz="2"/>
              <w:left w:val="single" w:color="D4C9A8" w:sz="2"/>
              <w:bottom w:val="single" w:color="D4C9A8" w:sz="2"/>
              <w:right w:val="single" w:color="D4C9A8" w:sz="2"/>
            </w:tcBorders>
            <w:shd w:fill="FFFFFF"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4405 Springdale Road, Austin TX 78723</w:t>
            </w:r>
          </w:p>
        </w:tc>
        <w:tc>
          <w:tcPr>
            <w:tcBorders>
              <w:top w:val="single" w:color="D4C9A8" w:sz="2"/>
              <w:left w:val="single" w:color="D4C9A8" w:sz="2"/>
              <w:bottom w:val="single" w:color="D4C9A8" w:sz="2"/>
              <w:right w:val="single" w:color="D4C9A8" w:sz="2"/>
            </w:tcBorders>
            <w:shd w:fill="FFFFFF"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Corner lot, MLK + Springdale, East Austin</w:t>
            </w:r>
          </w:p>
        </w:tc>
      </w:tr>
      <w:tr>
        <w:tc>
          <w:tcPr>
            <w:tcBorders>
              <w:top w:val="single" w:color="D4C9A8" w:sz="2"/>
              <w:left w:val="single" w:color="D4C9A8" w:sz="2"/>
              <w:bottom w:val="single" w:color="D4C9A8" w:sz="2"/>
              <w:right w:val="single" w:color="D4C9A8" w:sz="2"/>
            </w:tcBorders>
            <w:shd w:fill="F2F2F2" w:val="clear"/>
            <w:tcMar>
              <w:top w:type="dxa" w:w="120"/>
              <w:left w:type="dxa" w:w="160"/>
              <w:bottom w:type="dxa" w:w="120"/>
              <w:right w:type="dxa" w:w="160"/>
            </w:tcMar>
            <w:vAlign w:val="center"/>
          </w:tcPr>
          <w:p>
            <w:pPr>
              <w:jc w:val="left"/>
            </w:pPr>
            <w:r>
              <w:rPr>
                <w:rFonts w:ascii="Arial" w:cs="Arial" w:eastAsia="Arial" w:hAnsi="Arial"/>
                <w:b/>
                <w:bCs/>
                <w:color w:val="1C0C04"/>
                <w:sz w:val="22"/>
                <w:szCs w:val="22"/>
              </w:rPr>
              <w:t xml:space="preserve">Size</w:t>
            </w:r>
          </w:p>
        </w:tc>
        <w:tc>
          <w:tcPr>
            <w:tcBorders>
              <w:top w:val="single" w:color="D4C9A8" w:sz="2"/>
              <w:left w:val="single" w:color="D4C9A8" w:sz="2"/>
              <w:bottom w:val="single" w:color="D4C9A8" w:sz="2"/>
              <w:right w:val="single" w:color="D4C9A8" w:sz="2"/>
            </w:tcBorders>
            <w:shd w:fill="F2F2F2"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44,528 SF on 3.01 acres</w:t>
            </w:r>
          </w:p>
        </w:tc>
        <w:tc>
          <w:tcPr>
            <w:tcBorders>
              <w:top w:val="single" w:color="D4C9A8" w:sz="2"/>
              <w:left w:val="single" w:color="D4C9A8" w:sz="2"/>
              <w:bottom w:val="single" w:color="D4C9A8" w:sz="2"/>
              <w:right w:val="single" w:color="D4C9A8" w:sz="2"/>
            </w:tcBorders>
            <w:shd w:fill="F2F2F2"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Large enough for all 7 zones plus parking</w:t>
            </w:r>
          </w:p>
        </w:tc>
      </w:tr>
      <w:tr>
        <w:tc>
          <w:tcPr>
            <w:tcBorders>
              <w:top w:val="single" w:color="D4C9A8" w:sz="2"/>
              <w:left w:val="single" w:color="D4C9A8" w:sz="2"/>
              <w:bottom w:val="single" w:color="D4C9A8" w:sz="2"/>
              <w:right w:val="single" w:color="D4C9A8" w:sz="2"/>
            </w:tcBorders>
            <w:shd w:fill="FFFFFF" w:val="clear"/>
            <w:tcMar>
              <w:top w:type="dxa" w:w="120"/>
              <w:left w:type="dxa" w:w="160"/>
              <w:bottom w:type="dxa" w:w="120"/>
              <w:right w:type="dxa" w:w="160"/>
            </w:tcMar>
            <w:vAlign w:val="center"/>
          </w:tcPr>
          <w:p>
            <w:pPr>
              <w:jc w:val="left"/>
            </w:pPr>
            <w:r>
              <w:rPr>
                <w:rFonts w:ascii="Arial" w:cs="Arial" w:eastAsia="Arial" w:hAnsi="Arial"/>
                <w:b/>
                <w:bCs/>
                <w:color w:val="1C0C04"/>
                <w:sz w:val="22"/>
                <w:szCs w:val="22"/>
              </w:rPr>
              <w:t xml:space="preserve">Zoning</w:t>
            </w:r>
          </w:p>
        </w:tc>
        <w:tc>
          <w:tcPr>
            <w:tcBorders>
              <w:top w:val="single" w:color="D4C9A8" w:sz="2"/>
              <w:left w:val="single" w:color="D4C9A8" w:sz="2"/>
              <w:bottom w:val="single" w:color="D4C9A8" w:sz="2"/>
              <w:right w:val="single" w:color="D4C9A8" w:sz="2"/>
            </w:tcBorders>
            <w:shd w:fill="FFFFFF"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EZ-ZR (East Austin)</w:t>
            </w:r>
          </w:p>
        </w:tc>
        <w:tc>
          <w:tcPr>
            <w:tcBorders>
              <w:top w:val="single" w:color="D4C9A8" w:sz="2"/>
              <w:left w:val="single" w:color="D4C9A8" w:sz="2"/>
              <w:bottom w:val="single" w:color="D4C9A8" w:sz="2"/>
              <w:right w:val="single" w:color="D4C9A8" w:sz="2"/>
            </w:tcBorders>
            <w:shd w:fill="FFFFFF"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Music venue, rehearsal, retail, office — all permitted</w:t>
            </w:r>
          </w:p>
        </w:tc>
      </w:tr>
      <w:tr>
        <w:tc>
          <w:tcPr>
            <w:tcBorders>
              <w:top w:val="single" w:color="D4C9A8" w:sz="2"/>
              <w:left w:val="single" w:color="D4C9A8" w:sz="2"/>
              <w:bottom w:val="single" w:color="D4C9A8" w:sz="2"/>
              <w:right w:val="single" w:color="D4C9A8" w:sz="2"/>
            </w:tcBorders>
            <w:shd w:fill="F2F2F2" w:val="clear"/>
            <w:tcMar>
              <w:top w:type="dxa" w:w="120"/>
              <w:left w:type="dxa" w:w="160"/>
              <w:bottom w:type="dxa" w:w="120"/>
              <w:right w:type="dxa" w:w="160"/>
            </w:tcMar>
            <w:vAlign w:val="center"/>
          </w:tcPr>
          <w:p>
            <w:pPr>
              <w:jc w:val="left"/>
            </w:pPr>
            <w:r>
              <w:rPr>
                <w:rFonts w:ascii="Arial" w:cs="Arial" w:eastAsia="Arial" w:hAnsi="Arial"/>
                <w:b/>
                <w:bCs/>
                <w:color w:val="1C0C04"/>
                <w:sz w:val="22"/>
                <w:szCs w:val="22"/>
              </w:rPr>
              <w:t xml:space="preserve">Current Tenant</w:t>
            </w:r>
          </w:p>
        </w:tc>
        <w:tc>
          <w:tcPr>
            <w:tcBorders>
              <w:top w:val="single" w:color="D4C9A8" w:sz="2"/>
              <w:left w:val="single" w:color="D4C9A8" w:sz="2"/>
              <w:bottom w:val="single" w:color="D4C9A8" w:sz="2"/>
              <w:right w:val="single" w:color="D4C9A8" w:sz="2"/>
            </w:tcBorders>
            <w:shd w:fill="F2F2F2" w:val="clear"/>
            <w:tcMar>
              <w:top w:type="dxa" w:w="120"/>
              <w:left w:type="dxa" w:w="160"/>
              <w:bottom w:type="dxa" w:w="120"/>
              <w:right w:type="dxa" w:w="160"/>
            </w:tcMar>
            <w:vAlign w:val="center"/>
          </w:tcPr>
          <w:p>
            <w:pPr>
              <w:jc w:val="center"/>
            </w:pPr>
            <w:r>
              <w:rPr>
                <w:rFonts w:ascii="Arial" w:cs="Arial" w:eastAsia="Arial" w:hAnsi="Arial"/>
                <w:b w:val="false"/>
                <w:bCs w:val="false"/>
                <w:color w:val="1A5C2A"/>
                <w:sz w:val="22"/>
                <w:szCs w:val="22"/>
              </w:rPr>
              <w:t xml:space="preserve">Texas Workforce Commission</w:t>
            </w:r>
          </w:p>
        </w:tc>
        <w:tc>
          <w:tcPr>
            <w:tcBorders>
              <w:top w:val="single" w:color="D4C9A8" w:sz="2"/>
              <w:left w:val="single" w:color="D4C9A8" w:sz="2"/>
              <w:bottom w:val="single" w:color="D4C9A8" w:sz="2"/>
              <w:right w:val="single" w:color="D4C9A8" w:sz="2"/>
            </w:tcBorders>
            <w:shd w:fill="F2F2F2" w:val="clear"/>
            <w:tcMar>
              <w:top w:type="dxa" w:w="120"/>
              <w:left w:type="dxa" w:w="160"/>
              <w:bottom w:type="dxa" w:w="120"/>
              <w:right w:type="dxa" w:w="160"/>
            </w:tcMar>
            <w:vAlign w:val="center"/>
          </w:tcPr>
          <w:p>
            <w:pPr>
              <w:jc w:val="center"/>
            </w:pPr>
            <w:r>
              <w:rPr>
                <w:rFonts w:ascii="Arial" w:cs="Arial" w:eastAsia="Arial" w:hAnsi="Arial"/>
                <w:b w:val="false"/>
                <w:bCs w:val="false"/>
                <w:color w:val="1A5C2A"/>
                <w:sz w:val="22"/>
                <w:szCs w:val="22"/>
              </w:rPr>
              <w:t xml:space="preserve">Lease expires Aug 31, 2026 — vacant delivery</w:t>
            </w:r>
          </w:p>
        </w:tc>
      </w:tr>
      <w:tr>
        <w:tc>
          <w:tcPr>
            <w:tcBorders>
              <w:top w:val="single" w:color="D4C9A8" w:sz="2"/>
              <w:left w:val="single" w:color="D4C9A8" w:sz="2"/>
              <w:bottom w:val="single" w:color="D4C9A8" w:sz="2"/>
              <w:right w:val="single" w:color="D4C9A8" w:sz="2"/>
            </w:tcBorders>
            <w:shd w:fill="FFFFFF" w:val="clear"/>
            <w:tcMar>
              <w:top w:type="dxa" w:w="120"/>
              <w:left w:type="dxa" w:w="160"/>
              <w:bottom w:type="dxa" w:w="120"/>
              <w:right w:type="dxa" w:w="160"/>
            </w:tcMar>
            <w:vAlign w:val="center"/>
          </w:tcPr>
          <w:p>
            <w:pPr>
              <w:jc w:val="left"/>
            </w:pPr>
            <w:r>
              <w:rPr>
                <w:rFonts w:ascii="Arial" w:cs="Arial" w:eastAsia="Arial" w:hAnsi="Arial"/>
                <w:b/>
                <w:bCs/>
                <w:color w:val="1C0C04"/>
                <w:sz w:val="22"/>
                <w:szCs w:val="22"/>
              </w:rPr>
              <w:t xml:space="preserve">Travis CAD</w:t>
            </w:r>
          </w:p>
        </w:tc>
        <w:tc>
          <w:tcPr>
            <w:tcBorders>
              <w:top w:val="single" w:color="D4C9A8" w:sz="2"/>
              <w:left w:val="single" w:color="D4C9A8" w:sz="2"/>
              <w:bottom w:val="single" w:color="D4C9A8" w:sz="2"/>
              <w:right w:val="single" w:color="D4C9A8" w:sz="2"/>
            </w:tcBorders>
            <w:shd w:fill="FFFFFF"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$4,500,000 (land only)</w:t>
            </w:r>
          </w:p>
        </w:tc>
        <w:tc>
          <w:tcPr>
            <w:tcBorders>
              <w:top w:val="single" w:color="D4C9A8" w:sz="2"/>
              <w:left w:val="single" w:color="D4C9A8" w:sz="2"/>
              <w:bottom w:val="single" w:color="D4C9A8" w:sz="2"/>
              <w:right w:val="single" w:color="D4C9A8" w:sz="2"/>
            </w:tcBorders>
            <w:shd w:fill="FFFFFF" w:val="clear"/>
            <w:tcMar>
              <w:top w:type="dxa" w:w="120"/>
              <w:left w:type="dxa" w:w="160"/>
              <w:bottom w:type="dxa" w:w="120"/>
              <w:right w:type="dxa" w:w="160"/>
            </w:tcMar>
            <w:vAlign w:val="center"/>
          </w:tcPr>
          <w:p>
            <w:pPr>
              <w:jc w:val="center"/>
            </w:pPr>
            <w:r>
              <w:rPr>
                <w:rFonts w:ascii="Arial" w:cs="Arial" w:eastAsia="Arial" w:hAnsi="Arial"/>
                <w:b w:val="false"/>
                <w:bCs w:val="false"/>
                <w:color w:val="1A5C2A"/>
                <w:sz w:val="22"/>
                <w:szCs w:val="22"/>
              </w:rPr>
              <w:t xml:space="preserve">Strong land value; building at 21% below ask</w:t>
            </w:r>
          </w:p>
        </w:tc>
      </w:tr>
      <w:tr>
        <w:tc>
          <w:tcPr>
            <w:tcBorders>
              <w:top w:val="single" w:color="D4C9A8" w:sz="2"/>
              <w:left w:val="single" w:color="D4C9A8" w:sz="2"/>
              <w:bottom w:val="single" w:color="D4C9A8" w:sz="2"/>
              <w:right w:val="single" w:color="D4C9A8" w:sz="2"/>
            </w:tcBorders>
            <w:shd w:fill="F2F2F2" w:val="clear"/>
            <w:tcMar>
              <w:top w:type="dxa" w:w="120"/>
              <w:left w:type="dxa" w:w="160"/>
              <w:bottom w:type="dxa" w:w="120"/>
              <w:right w:type="dxa" w:w="160"/>
            </w:tcMar>
            <w:vAlign w:val="center"/>
          </w:tcPr>
          <w:p>
            <w:pPr>
              <w:jc w:val="left"/>
            </w:pPr>
            <w:r>
              <w:rPr>
                <w:rFonts w:ascii="Arial" w:cs="Arial" w:eastAsia="Arial" w:hAnsi="Arial"/>
                <w:b/>
                <w:bCs/>
                <w:color w:val="1C0C04"/>
                <w:sz w:val="22"/>
                <w:szCs w:val="22"/>
              </w:rPr>
              <w:t xml:space="preserve">Flood Zone</w:t>
            </w:r>
          </w:p>
        </w:tc>
        <w:tc>
          <w:tcPr>
            <w:tcBorders>
              <w:top w:val="single" w:color="D4C9A8" w:sz="2"/>
              <w:left w:val="single" w:color="D4C9A8" w:sz="2"/>
              <w:bottom w:val="single" w:color="D4C9A8" w:sz="2"/>
              <w:right w:val="single" w:color="D4C9A8" w:sz="2"/>
            </w:tcBorders>
            <w:shd w:fill="F2F2F2"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FEMA Zone X — no flood risk</w:t>
            </w:r>
          </w:p>
        </w:tc>
        <w:tc>
          <w:tcPr>
            <w:tcBorders>
              <w:top w:val="single" w:color="D4C9A8" w:sz="2"/>
              <w:left w:val="single" w:color="D4C9A8" w:sz="2"/>
              <w:bottom w:val="single" w:color="D4C9A8" w:sz="2"/>
              <w:right w:val="single" w:color="D4C9A8" w:sz="2"/>
            </w:tcBorders>
            <w:shd w:fill="F2F2F2"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No mandatory flood insurance</w:t>
            </w:r>
          </w:p>
        </w:tc>
      </w:tr>
      <w:tr>
        <w:tc>
          <w:tcPr>
            <w:tcBorders>
              <w:top w:val="single" w:color="D4C9A8" w:sz="2"/>
              <w:left w:val="single" w:color="D4C9A8" w:sz="2"/>
              <w:bottom w:val="single" w:color="D4C9A8" w:sz="2"/>
              <w:right w:val="single" w:color="D4C9A8" w:sz="2"/>
            </w:tcBorders>
            <w:shd w:fill="FFFFFF" w:val="clear"/>
            <w:tcMar>
              <w:top w:type="dxa" w:w="120"/>
              <w:left w:type="dxa" w:w="160"/>
              <w:bottom w:type="dxa" w:w="120"/>
              <w:right w:type="dxa" w:w="160"/>
            </w:tcMar>
            <w:vAlign w:val="center"/>
          </w:tcPr>
          <w:p>
            <w:pPr>
              <w:jc w:val="left"/>
            </w:pPr>
            <w:r>
              <w:rPr>
                <w:rFonts w:ascii="Arial" w:cs="Arial" w:eastAsia="Arial" w:hAnsi="Arial"/>
                <w:b/>
                <w:bCs/>
                <w:color w:val="1C0C04"/>
                <w:sz w:val="22"/>
                <w:szCs w:val="22"/>
              </w:rPr>
              <w:t xml:space="preserve">Target Offer</w:t>
            </w:r>
          </w:p>
        </w:tc>
        <w:tc>
          <w:tcPr>
            <w:tcBorders>
              <w:top w:val="single" w:color="D4C9A8" w:sz="2"/>
              <w:left w:val="single" w:color="D4C9A8" w:sz="2"/>
              <w:bottom w:val="single" w:color="D4C9A8" w:sz="2"/>
              <w:right w:val="single" w:color="D4C9A8" w:sz="2"/>
            </w:tcBorders>
            <w:shd w:fill="FFFFFF"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$7.5M–$8.25M ($171–$188/SF)</w:t>
            </w:r>
          </w:p>
        </w:tc>
        <w:tc>
          <w:tcPr>
            <w:tcBorders>
              <w:top w:val="single" w:color="D4C9A8" w:sz="2"/>
              <w:left w:val="single" w:color="D4C9A8" w:sz="2"/>
              <w:bottom w:val="single" w:color="D4C9A8" w:sz="2"/>
              <w:right w:val="single" w:color="D4C9A8" w:sz="2"/>
            </w:tcBorders>
            <w:shd w:fill="FFFFFF" w:val="clear"/>
            <w:tcMar>
              <w:top w:type="dxa" w:w="120"/>
              <w:left w:type="dxa" w:w="160"/>
              <w:bottom w:type="dxa" w:w="120"/>
              <w:right w:type="dxa" w:w="160"/>
            </w:tcMar>
            <w:vAlign w:val="center"/>
          </w:tcPr>
          <w:p>
            <w:pPr>
              <w:jc w:val="center"/>
            </w:pPr>
            <w:r>
              <w:rPr>
                <w:rFonts w:ascii="Arial" w:cs="Arial" w:eastAsia="Arial" w:hAnsi="Arial"/>
                <w:b w:val="false"/>
                <w:bCs w:val="false"/>
                <w:color w:val="1A5C2A"/>
                <w:sz w:val="22"/>
                <w:szCs w:val="22"/>
              </w:rPr>
              <w:t xml:space="preserve">21%+ below seller ask of $10.5M</w:t>
            </w:r>
          </w:p>
        </w:tc>
      </w:tr>
      <w:tr>
        <w:tc>
          <w:tcPr>
            <w:tcBorders>
              <w:top w:val="single" w:color="D4C9A8" w:sz="2"/>
              <w:left w:val="single" w:color="D4C9A8" w:sz="2"/>
              <w:bottom w:val="single" w:color="D4C9A8" w:sz="2"/>
              <w:right w:val="single" w:color="D4C9A8" w:sz="2"/>
            </w:tcBorders>
            <w:shd w:fill="F2F2F2" w:val="clear"/>
            <w:tcMar>
              <w:top w:type="dxa" w:w="120"/>
              <w:left w:type="dxa" w:w="160"/>
              <w:bottom w:type="dxa" w:w="120"/>
              <w:right w:type="dxa" w:w="160"/>
            </w:tcMar>
            <w:vAlign w:val="center"/>
          </w:tcPr>
          <w:p>
            <w:pPr>
              <w:jc w:val="left"/>
            </w:pPr>
            <w:r>
              <w:rPr>
                <w:rFonts w:ascii="Arial" w:cs="Arial" w:eastAsia="Arial" w:hAnsi="Arial"/>
                <w:b/>
                <w:bCs/>
                <w:color w:val="1C0C04"/>
                <w:sz w:val="22"/>
                <w:szCs w:val="22"/>
              </w:rPr>
              <w:t xml:space="preserve">Seller Motivation</w:t>
            </w:r>
          </w:p>
        </w:tc>
        <w:tc>
          <w:tcPr>
            <w:tcBorders>
              <w:top w:val="single" w:color="D4C9A8" w:sz="2"/>
              <w:left w:val="single" w:color="D4C9A8" w:sz="2"/>
              <w:bottom w:val="single" w:color="D4C9A8" w:sz="2"/>
              <w:right w:val="single" w:color="D4C9A8" w:sz="2"/>
            </w:tcBorders>
            <w:shd w:fill="F2F2F2"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Susser Bank loan matures ~Oct 2026</w:t>
            </w:r>
          </w:p>
        </w:tc>
        <w:tc>
          <w:tcPr>
            <w:tcBorders>
              <w:top w:val="single" w:color="D4C9A8" w:sz="2"/>
              <w:left w:val="single" w:color="D4C9A8" w:sz="2"/>
              <w:bottom w:val="single" w:color="D4C9A8" w:sz="2"/>
              <w:right w:val="single" w:color="D4C9A8" w:sz="2"/>
            </w:tcBorders>
            <w:shd w:fill="F2F2F2"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Hard deadline creating negotiating leverage</w:t>
            </w:r>
          </w:p>
        </w:tc>
      </w:tr>
    </w:tbl>
    <w:p>
      <w:pPr>
        <w:spacing w:before="80"/>
      </w:pPr>
    </w:p>
    <w:p>
      <w:pPr>
        <w:spacing w:before="60" w:after="120"/>
      </w:pPr>
      <w:r>
        <w:rPr>
          <w:rFonts w:ascii="Arial" w:cs="Arial" w:eastAsia="Arial" w:hAnsi="Arial"/>
          <w:b w:val="false"/>
          <w:bCs w:val="false"/>
          <w:i w:val="false"/>
          <w:iCs w:val="false"/>
          <w:color w:val="1C0C04"/>
          <w:sz w:val="22"/>
          <w:szCs w:val="22"/>
        </w:rPr>
        <w:t xml:space="preserve">The seller's active construction loan matures concurrent with the tenant's lease expiry — creating a dual deadline that produces genuine urgency and negotiating leverage for a well-capitalized buyer with pre-committed financing.</w:t>
      </w:r>
    </w:p>
    <w:p>
      <w:pPr>
        <w:pageBreakBefore/>
        <w:spacing w:before="0" w:after="180"/>
      </w:pPr>
      <w:r>
        <w:rPr>
          <w:rFonts w:ascii="Georgia" w:cs="Georgia" w:eastAsia="Georgia" w:hAnsi="Georgia"/>
          <w:b/>
          <w:bCs/>
          <w:color w:val="1C0C04"/>
          <w:sz w:val="52"/>
          <w:szCs w:val="52"/>
        </w:rPr>
        <w:t xml:space="preserve">The Concept</w:t>
      </w:r>
    </w:p>
    <w:p>
      <w:pPr>
        <w:spacing w:before="60" w:after="120"/>
      </w:pPr>
      <w:r>
        <w:rPr>
          <w:rFonts w:ascii="Arial" w:cs="Arial" w:eastAsia="Arial" w:hAnsi="Arial"/>
          <w:b w:val="false"/>
          <w:bCs w:val="false"/>
          <w:i w:val="false"/>
          <w:iCs w:val="false"/>
          <w:color w:val="1C0C04"/>
          <w:sz w:val="22"/>
          <w:szCs w:val="22"/>
        </w:rPr>
        <w:t xml:space="preserve">The Music Union is a national creative campus brand. Each location — called a chapter, identified by the local area code — operates the full suite of services under a single brand, a single membership program, and a single design standard. Chapter 512 in Austin is the proof of concept. Everything about it is designed to be replicated.</w:t>
      </w:r>
    </w:p>
    <w:p>
      <w:pPr>
        <w:spacing w:before="280" w:after="100"/>
      </w:pPr>
      <w:r>
        <w:rPr>
          <w:rFonts w:ascii="Arial" w:cs="Arial" w:eastAsia="Arial" w:hAnsi="Arial"/>
          <w:b/>
          <w:bCs/>
          <w:color w:val="B8150C"/>
          <w:sz w:val="26"/>
          <w:szCs w:val="26"/>
        </w:rPr>
        <w:t xml:space="preserve">Seven Revenue Zones, One Campus</w:t>
      </w:r>
    </w:p>
    <w:p>
      <w:pPr>
        <w:spacing w:before="8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200"/>
        <w:gridCol w:w="2800"/>
        <w:gridCol w:w="1000"/>
        <w:gridCol w:w="2360"/>
      </w:tblGrid>
      <w:tr>
        <w:trPr>
          <w:tblHeader/>
        </w:trPr>
        <w:tc>
          <w:tcPr>
            <w:tcBorders>
              <w:top w:val="single" w:color="D4C9A8" w:sz="2"/>
              <w:left w:val="single" w:color="D4C9A8" w:sz="2"/>
              <w:bottom w:val="single" w:color="D4C9A8" w:sz="2"/>
              <w:right w:val="single" w:color="D4C9A8" w:sz="2"/>
            </w:tcBorders>
            <w:shd w:fill="1C0C04" w:val="clear"/>
            <w:tcMar>
              <w:top w:type="dxa" w:w="80"/>
              <w:left w:type="dxa" w:w="120"/>
              <w:bottom w:type="dxa" w:w="80"/>
              <w:right w:type="dxa" w:w="120"/>
            </w:tcMar>
          </w:tcPr>
          <w:p>
            <w:r>
              <w:rPr>
                <w:rFonts w:ascii="Arial" w:cs="Arial" w:eastAsia="Arial" w:hAnsi="Arial"/>
                <w:b/>
                <w:bCs/>
                <w:color w:val="FFFFFF"/>
                <w:sz w:val="20"/>
                <w:szCs w:val="20"/>
              </w:rPr>
              <w:t xml:space="preserve">Zone</w:t>
            </w:r>
          </w:p>
        </w:tc>
        <w:tc>
          <w:tcPr>
            <w:tcBorders>
              <w:top w:val="single" w:color="D4C9A8" w:sz="2"/>
              <w:left w:val="single" w:color="D4C9A8" w:sz="2"/>
              <w:bottom w:val="single" w:color="D4C9A8" w:sz="2"/>
              <w:right w:val="single" w:color="D4C9A8" w:sz="2"/>
            </w:tcBorders>
            <w:shd w:fill="1C0C04" w:val="clear"/>
            <w:tcMar>
              <w:top w:type="dxa" w:w="80"/>
              <w:left w:type="dxa" w:w="120"/>
              <w:bottom w:type="dxa" w:w="80"/>
              <w:right w:type="dxa" w:w="120"/>
            </w:tcMar>
          </w:tcPr>
          <w:p>
            <w:r>
              <w:rPr>
                <w:rFonts w:ascii="Arial" w:cs="Arial" w:eastAsia="Arial" w:hAnsi="Arial"/>
                <w:b/>
                <w:bCs/>
                <w:color w:val="FFFFFF"/>
                <w:sz w:val="20"/>
                <w:szCs w:val="20"/>
              </w:rPr>
              <w:t xml:space="preserve">Format</w:t>
            </w:r>
          </w:p>
        </w:tc>
        <w:tc>
          <w:tcPr>
            <w:tcBorders>
              <w:top w:val="single" w:color="D4C9A8" w:sz="2"/>
              <w:left w:val="single" w:color="D4C9A8" w:sz="2"/>
              <w:bottom w:val="single" w:color="D4C9A8" w:sz="2"/>
              <w:right w:val="single" w:color="D4C9A8" w:sz="2"/>
            </w:tcBorders>
            <w:shd w:fill="1C0C04" w:val="clear"/>
            <w:tcMar>
              <w:top w:type="dxa" w:w="80"/>
              <w:left w:type="dxa" w:w="120"/>
              <w:bottom w:type="dxa" w:w="80"/>
              <w:right w:type="dxa" w:w="120"/>
            </w:tcMar>
          </w:tcPr>
          <w:p>
            <w:r>
              <w:rPr>
                <w:rFonts w:ascii="Arial" w:cs="Arial" w:eastAsia="Arial" w:hAnsi="Arial"/>
                <w:b/>
                <w:bCs/>
                <w:color w:val="FFFFFF"/>
                <w:sz w:val="20"/>
                <w:szCs w:val="20"/>
              </w:rPr>
              <w:t xml:space="preserve">SF</w:t>
            </w:r>
          </w:p>
        </w:tc>
        <w:tc>
          <w:tcPr>
            <w:tcBorders>
              <w:top w:val="single" w:color="D4C9A8" w:sz="2"/>
              <w:left w:val="single" w:color="D4C9A8" w:sz="2"/>
              <w:bottom w:val="single" w:color="D4C9A8" w:sz="2"/>
              <w:right w:val="single" w:color="D4C9A8" w:sz="2"/>
            </w:tcBorders>
            <w:shd w:fill="1C0C04" w:val="clear"/>
            <w:tcMar>
              <w:top w:type="dxa" w:w="80"/>
              <w:left w:type="dxa" w:w="120"/>
              <w:bottom w:type="dxa" w:w="80"/>
              <w:right w:type="dxa" w:w="120"/>
            </w:tcMar>
          </w:tcPr>
          <w:p>
            <w:r>
              <w:rPr>
                <w:rFonts w:ascii="Arial" w:cs="Arial" w:eastAsia="Arial" w:hAnsi="Arial"/>
                <w:b/>
                <w:bCs/>
                <w:color w:val="FFFFFF"/>
                <w:sz w:val="20"/>
                <w:szCs w:val="20"/>
              </w:rPr>
              <w:t xml:space="preserve">Stabilized Revenue</w:t>
            </w:r>
          </w:p>
        </w:tc>
      </w:tr>
      <w:tr>
        <w:tc>
          <w:tcPr>
            <w:tcBorders>
              <w:top w:val="single" w:color="D4C9A8" w:sz="2"/>
              <w:left w:val="single" w:color="D4C9A8" w:sz="2"/>
              <w:bottom w:val="single" w:color="D4C9A8" w:sz="2"/>
              <w:right w:val="single" w:color="D4C9A8" w:sz="2"/>
            </w:tcBorders>
            <w:shd w:fill="1B2A4A" w:val="clear"/>
            <w:tcMar>
              <w:top w:type="dxa" w:w="80"/>
              <w:left w:type="dxa" w:w="120"/>
              <w:bottom w:type="dxa" w:w="80"/>
              <w:right w:type="dxa" w:w="120"/>
            </w:tcMar>
          </w:tcPr>
          <w:p>
            <w:r>
              <w:rPr>
                <w:rFonts w:ascii="Arial" w:cs="Arial" w:eastAsia="Arial" w:hAnsi="Arial"/>
                <w:b/>
                <w:bCs/>
                <w:color w:val="FFFFFF"/>
                <w:sz w:val="21"/>
                <w:szCs w:val="21"/>
              </w:rPr>
              <w:t xml:space="preserve">Zone A — Rehearsal Complex</w:t>
            </w:r>
          </w:p>
        </w:tc>
        <w:tc>
          <w:tcPr>
            <w:tcBorders>
              <w:top w:val="single" w:color="D4C9A8" w:sz="2"/>
              <w:left w:val="single" w:color="D4C9A8" w:sz="2"/>
              <w:bottom w:val="single" w:color="D4C9A8" w:sz="2"/>
              <w:right w:val="single" w:color="D4C9A8" w:sz="2"/>
            </w:tcBorders>
            <w:shd w:fill="FFFFFF" w:val="clear"/>
            <w:tcMar>
              <w:top w:type="dxa" w:w="80"/>
              <w:left w:type="dxa" w:w="120"/>
              <w:bottom w:type="dxa" w:w="80"/>
              <w:right w:type="dxa" w:w="120"/>
            </w:tcMar>
          </w:tcPr>
          <w:p>
            <w:r>
              <w:rPr>
                <w:rFonts w:ascii="Arial" w:cs="Arial" w:eastAsia="Arial" w:hAnsi="Arial"/>
                <w:b w:val="false"/>
                <w:bCs w:val="false"/>
                <w:color w:val="1C0C04"/>
                <w:sz w:val="21"/>
                <w:szCs w:val="21"/>
              </w:rPr>
              <w:t xml:space="preserve">25 themed rooms, 4 tiers, hourly</w:t>
            </w:r>
          </w:p>
        </w:tc>
        <w:tc>
          <w:tcPr>
            <w:tcBorders>
              <w:top w:val="single" w:color="D4C9A8" w:sz="2"/>
              <w:left w:val="single" w:color="D4C9A8" w:sz="2"/>
              <w:bottom w:val="single" w:color="D4C9A8" w:sz="2"/>
              <w:right w:val="single" w:color="D4C9A8" w:sz="2"/>
            </w:tcBorders>
            <w:shd w:fill="FFFFFF" w:val="clear"/>
            <w:tcMar>
              <w:top w:type="dxa" w:w="80"/>
              <w:left w:type="dxa" w:w="120"/>
              <w:bottom w:type="dxa" w:w="80"/>
              <w:right w:type="dxa" w:w="120"/>
            </w:tcMar>
          </w:tcPr>
          <w:p>
            <w:r>
              <w:rPr>
                <w:rFonts w:ascii="Arial" w:cs="Arial" w:eastAsia="Arial" w:hAnsi="Arial"/>
                <w:b w:val="false"/>
                <w:bCs w:val="false"/>
                <w:color w:val="1C0C04"/>
                <w:sz w:val="21"/>
                <w:szCs w:val="21"/>
              </w:rPr>
              <w:t xml:space="preserve">13,000</w:t>
            </w:r>
          </w:p>
        </w:tc>
        <w:tc>
          <w:tcPr>
            <w:tcBorders>
              <w:top w:val="single" w:color="D4C9A8" w:sz="2"/>
              <w:left w:val="single" w:color="D4C9A8" w:sz="2"/>
              <w:bottom w:val="single" w:color="D4C9A8" w:sz="2"/>
              <w:right w:val="single" w:color="D4C9A8" w:sz="2"/>
            </w:tcBorders>
            <w:shd w:fill="FFFFFF" w:val="clear"/>
            <w:tcMar>
              <w:top w:type="dxa" w:w="80"/>
              <w:left w:type="dxa" w:w="120"/>
              <w:bottom w:type="dxa" w:w="80"/>
              <w:right w:type="dxa" w:w="120"/>
            </w:tcMar>
          </w:tcPr>
          <w:p>
            <w:r>
              <w:rPr>
                <w:rFonts w:ascii="Arial" w:cs="Arial" w:eastAsia="Arial" w:hAnsi="Arial"/>
                <w:b w:val="false"/>
                <w:bCs w:val="false"/>
                <w:color w:val="1C0C04"/>
                <w:sz w:val="21"/>
                <w:szCs w:val="21"/>
              </w:rPr>
              <w:t xml:space="preserve">~$1,814,000/yr</w:t>
            </w:r>
          </w:p>
        </w:tc>
      </w:tr>
      <w:tr>
        <w:tc>
          <w:tcPr>
            <w:tcBorders>
              <w:top w:val="single" w:color="D4C9A8" w:sz="2"/>
              <w:left w:val="single" w:color="D4C9A8" w:sz="2"/>
              <w:bottom w:val="single" w:color="D4C9A8" w:sz="2"/>
              <w:right w:val="single" w:color="D4C9A8" w:sz="2"/>
            </w:tcBorders>
            <w:shd w:fill="1B2A4A" w:val="clear"/>
            <w:tcMar>
              <w:top w:type="dxa" w:w="80"/>
              <w:left w:type="dxa" w:w="120"/>
              <w:bottom w:type="dxa" w:w="80"/>
              <w:right w:type="dxa" w:w="120"/>
            </w:tcMar>
          </w:tcPr>
          <w:p>
            <w:r>
              <w:rPr>
                <w:rFonts w:ascii="Arial" w:cs="Arial" w:eastAsia="Arial" w:hAnsi="Arial"/>
                <w:b/>
                <w:bCs/>
                <w:color w:val="FFFFFF"/>
                <w:sz w:val="21"/>
                <w:szCs w:val="21"/>
              </w:rPr>
              <w:t xml:space="preserve">Zone B — Production Suites</w:t>
            </w:r>
          </w:p>
        </w:tc>
        <w:tc>
          <w:tcPr>
            <w:tcBorders>
              <w:top w:val="single" w:color="D4C9A8" w:sz="2"/>
              <w:left w:val="single" w:color="D4C9A8" w:sz="2"/>
              <w:bottom w:val="single" w:color="D4C9A8" w:sz="2"/>
              <w:right w:val="single" w:color="D4C9A8" w:sz="2"/>
            </w:tcBorders>
            <w:shd w:fill="FFFFFF" w:val="clear"/>
            <w:tcMar>
              <w:top w:type="dxa" w:w="80"/>
              <w:left w:type="dxa" w:w="120"/>
              <w:bottom w:type="dxa" w:w="80"/>
              <w:right w:type="dxa" w:w="120"/>
            </w:tcMar>
          </w:tcPr>
          <w:p>
            <w:r>
              <w:rPr>
                <w:rFonts w:ascii="Arial" w:cs="Arial" w:eastAsia="Arial" w:hAnsi="Arial"/>
                <w:b w:val="false"/>
                <w:bCs w:val="false"/>
                <w:color w:val="1C0C04"/>
                <w:sz w:val="21"/>
                <w:szCs w:val="21"/>
              </w:rPr>
              <w:t xml:space="preserve">3 professional recording suites, hourly</w:t>
            </w:r>
          </w:p>
        </w:tc>
        <w:tc>
          <w:tcPr>
            <w:tcBorders>
              <w:top w:val="single" w:color="D4C9A8" w:sz="2"/>
              <w:left w:val="single" w:color="D4C9A8" w:sz="2"/>
              <w:bottom w:val="single" w:color="D4C9A8" w:sz="2"/>
              <w:right w:val="single" w:color="D4C9A8" w:sz="2"/>
            </w:tcBorders>
            <w:shd w:fill="FFFFFF" w:val="clear"/>
            <w:tcMar>
              <w:top w:type="dxa" w:w="80"/>
              <w:left w:type="dxa" w:w="120"/>
              <w:bottom w:type="dxa" w:w="80"/>
              <w:right w:type="dxa" w:w="120"/>
            </w:tcMar>
          </w:tcPr>
          <w:p>
            <w:r>
              <w:rPr>
                <w:rFonts w:ascii="Arial" w:cs="Arial" w:eastAsia="Arial" w:hAnsi="Arial"/>
                <w:b w:val="false"/>
                <w:bCs w:val="false"/>
                <w:color w:val="1C0C04"/>
                <w:sz w:val="21"/>
                <w:szCs w:val="21"/>
              </w:rPr>
              <w:t xml:space="preserve">~6,000</w:t>
            </w:r>
          </w:p>
        </w:tc>
        <w:tc>
          <w:tcPr>
            <w:tcBorders>
              <w:top w:val="single" w:color="D4C9A8" w:sz="2"/>
              <w:left w:val="single" w:color="D4C9A8" w:sz="2"/>
              <w:bottom w:val="single" w:color="D4C9A8" w:sz="2"/>
              <w:right w:val="single" w:color="D4C9A8" w:sz="2"/>
            </w:tcBorders>
            <w:shd w:fill="FFFFFF" w:val="clear"/>
            <w:tcMar>
              <w:top w:type="dxa" w:w="80"/>
              <w:left w:type="dxa" w:w="120"/>
              <w:bottom w:type="dxa" w:w="80"/>
              <w:right w:type="dxa" w:w="120"/>
            </w:tcMar>
          </w:tcPr>
          <w:p>
            <w:r>
              <w:rPr>
                <w:rFonts w:ascii="Arial" w:cs="Arial" w:eastAsia="Arial" w:hAnsi="Arial"/>
                <w:b w:val="false"/>
                <w:bCs w:val="false"/>
                <w:color w:val="1C0C04"/>
                <w:sz w:val="21"/>
                <w:szCs w:val="21"/>
              </w:rPr>
              <w:t xml:space="preserve">~$626,000/yr</w:t>
            </w:r>
          </w:p>
        </w:tc>
      </w:tr>
      <w:tr>
        <w:tc>
          <w:tcPr>
            <w:tcBorders>
              <w:top w:val="single" w:color="D4C9A8" w:sz="2"/>
              <w:left w:val="single" w:color="D4C9A8" w:sz="2"/>
              <w:bottom w:val="single" w:color="D4C9A8" w:sz="2"/>
              <w:right w:val="single" w:color="D4C9A8" w:sz="2"/>
            </w:tcBorders>
            <w:shd w:fill="1B2A4A" w:val="clear"/>
            <w:tcMar>
              <w:top w:type="dxa" w:w="80"/>
              <w:left w:type="dxa" w:w="120"/>
              <w:bottom w:type="dxa" w:w="80"/>
              <w:right w:type="dxa" w:w="120"/>
            </w:tcMar>
          </w:tcPr>
          <w:p>
            <w:r>
              <w:rPr>
                <w:rFonts w:ascii="Arial" w:cs="Arial" w:eastAsia="Arial" w:hAnsi="Arial"/>
                <w:b/>
                <w:bCs/>
                <w:color w:val="FFFFFF"/>
                <w:sz w:val="21"/>
                <w:szCs w:val="21"/>
              </w:rPr>
              <w:t xml:space="preserve">Zone C — Creator / Podcast Studios</w:t>
            </w:r>
          </w:p>
        </w:tc>
        <w:tc>
          <w:tcPr>
            <w:tcBorders>
              <w:top w:val="single" w:color="D4C9A8" w:sz="2"/>
              <w:left w:val="single" w:color="D4C9A8" w:sz="2"/>
              <w:bottom w:val="single" w:color="D4C9A8" w:sz="2"/>
              <w:right w:val="single" w:color="D4C9A8" w:sz="2"/>
            </w:tcBorders>
            <w:shd w:fill="FFFFFF" w:val="clear"/>
            <w:tcMar>
              <w:top w:type="dxa" w:w="80"/>
              <w:left w:type="dxa" w:w="120"/>
              <w:bottom w:type="dxa" w:w="80"/>
              <w:right w:type="dxa" w:w="120"/>
            </w:tcMar>
          </w:tcPr>
          <w:p>
            <w:r>
              <w:rPr>
                <w:rFonts w:ascii="Arial" w:cs="Arial" w:eastAsia="Arial" w:hAnsi="Arial"/>
                <w:b w:val="false"/>
                <w:bCs w:val="false"/>
                <w:color w:val="1C0C04"/>
                <w:sz w:val="21"/>
                <w:szCs w:val="21"/>
              </w:rPr>
              <w:t xml:space="preserve">5 themed content studios, hourly</w:t>
            </w:r>
          </w:p>
        </w:tc>
        <w:tc>
          <w:tcPr>
            <w:tcBorders>
              <w:top w:val="single" w:color="D4C9A8" w:sz="2"/>
              <w:left w:val="single" w:color="D4C9A8" w:sz="2"/>
              <w:bottom w:val="single" w:color="D4C9A8" w:sz="2"/>
              <w:right w:val="single" w:color="D4C9A8" w:sz="2"/>
            </w:tcBorders>
            <w:shd w:fill="FFFFFF" w:val="clear"/>
            <w:tcMar>
              <w:top w:type="dxa" w:w="80"/>
              <w:left w:type="dxa" w:w="120"/>
              <w:bottom w:type="dxa" w:w="80"/>
              <w:right w:type="dxa" w:w="120"/>
            </w:tcMar>
          </w:tcPr>
          <w:p>
            <w:r>
              <w:rPr>
                <w:rFonts w:ascii="Arial" w:cs="Arial" w:eastAsia="Arial" w:hAnsi="Arial"/>
                <w:b w:val="false"/>
                <w:bCs w:val="false"/>
                <w:color w:val="1C0C04"/>
                <w:sz w:val="21"/>
                <w:szCs w:val="21"/>
              </w:rPr>
              <w:t xml:space="preserve">3,500</w:t>
            </w:r>
          </w:p>
        </w:tc>
        <w:tc>
          <w:tcPr>
            <w:tcBorders>
              <w:top w:val="single" w:color="D4C9A8" w:sz="2"/>
              <w:left w:val="single" w:color="D4C9A8" w:sz="2"/>
              <w:bottom w:val="single" w:color="D4C9A8" w:sz="2"/>
              <w:right w:val="single" w:color="D4C9A8" w:sz="2"/>
            </w:tcBorders>
            <w:shd w:fill="FFFFFF" w:val="clear"/>
            <w:tcMar>
              <w:top w:type="dxa" w:w="80"/>
              <w:left w:type="dxa" w:w="120"/>
              <w:bottom w:type="dxa" w:w="80"/>
              <w:right w:type="dxa" w:w="120"/>
            </w:tcMar>
          </w:tcPr>
          <w:p>
            <w:r>
              <w:rPr>
                <w:rFonts w:ascii="Arial" w:cs="Arial" w:eastAsia="Arial" w:hAnsi="Arial"/>
                <w:b w:val="false"/>
                <w:bCs w:val="false"/>
                <w:color w:val="1C0C04"/>
                <w:sz w:val="21"/>
                <w:szCs w:val="21"/>
              </w:rPr>
              <w:t xml:space="preserve">~$329,000/yr</w:t>
            </w:r>
          </w:p>
        </w:tc>
      </w:tr>
      <w:tr>
        <w:tc>
          <w:tcPr>
            <w:tcBorders>
              <w:top w:val="single" w:color="D4C9A8" w:sz="2"/>
              <w:left w:val="single" w:color="D4C9A8" w:sz="2"/>
              <w:bottom w:val="single" w:color="D4C9A8" w:sz="2"/>
              <w:right w:val="single" w:color="D4C9A8" w:sz="2"/>
            </w:tcBorders>
            <w:shd w:fill="1B2A4A" w:val="clear"/>
            <w:tcMar>
              <w:top w:type="dxa" w:w="80"/>
              <w:left w:type="dxa" w:w="120"/>
              <w:bottom w:type="dxa" w:w="80"/>
              <w:right w:type="dxa" w:w="120"/>
            </w:tcMar>
          </w:tcPr>
          <w:p>
            <w:r>
              <w:rPr>
                <w:rFonts w:ascii="Arial" w:cs="Arial" w:eastAsia="Arial" w:hAnsi="Arial"/>
                <w:b/>
                <w:bCs/>
                <w:color w:val="FFFFFF"/>
                <w:sz w:val="21"/>
                <w:szCs w:val="21"/>
              </w:rPr>
              <w:t xml:space="preserve">Zone D — Coffee · Bar · Stage</w:t>
            </w:r>
          </w:p>
        </w:tc>
        <w:tc>
          <w:tcPr>
            <w:tcBorders>
              <w:top w:val="single" w:color="D4C9A8" w:sz="2"/>
              <w:left w:val="single" w:color="D4C9A8" w:sz="2"/>
              <w:bottom w:val="single" w:color="D4C9A8" w:sz="2"/>
              <w:right w:val="single" w:color="D4C9A8" w:sz="2"/>
            </w:tcBorders>
            <w:shd w:fill="FFFFFF" w:val="clear"/>
            <w:tcMar>
              <w:top w:type="dxa" w:w="80"/>
              <w:left w:type="dxa" w:w="120"/>
              <w:bottom w:type="dxa" w:w="80"/>
              <w:right w:type="dxa" w:w="120"/>
            </w:tcMar>
          </w:tcPr>
          <w:p>
            <w:r>
              <w:rPr>
                <w:rFonts w:ascii="Arial" w:cs="Arial" w:eastAsia="Arial" w:hAnsi="Arial"/>
                <w:b w:val="false"/>
                <w:bCs w:val="false"/>
                <w:color w:val="1C0C04"/>
                <w:sz w:val="21"/>
                <w:szCs w:val="21"/>
              </w:rPr>
              <w:t xml:space="preserve">Union Builds buildout, NNN anchor</w:t>
            </w:r>
          </w:p>
        </w:tc>
        <w:tc>
          <w:tcPr>
            <w:tcBorders>
              <w:top w:val="single" w:color="D4C9A8" w:sz="2"/>
              <w:left w:val="single" w:color="D4C9A8" w:sz="2"/>
              <w:bottom w:val="single" w:color="D4C9A8" w:sz="2"/>
              <w:right w:val="single" w:color="D4C9A8" w:sz="2"/>
            </w:tcBorders>
            <w:shd w:fill="FFFFFF" w:val="clear"/>
            <w:tcMar>
              <w:top w:type="dxa" w:w="80"/>
              <w:left w:type="dxa" w:w="120"/>
              <w:bottom w:type="dxa" w:w="80"/>
              <w:right w:type="dxa" w:w="120"/>
            </w:tcMar>
          </w:tcPr>
          <w:p>
            <w:r>
              <w:rPr>
                <w:rFonts w:ascii="Arial" w:cs="Arial" w:eastAsia="Arial" w:hAnsi="Arial"/>
                <w:b w:val="false"/>
                <w:bCs w:val="false"/>
                <w:color w:val="1C0C04"/>
                <w:sz w:val="21"/>
                <w:szCs w:val="21"/>
              </w:rPr>
              <w:t xml:space="preserve">3,000</w:t>
            </w:r>
          </w:p>
        </w:tc>
        <w:tc>
          <w:tcPr>
            <w:tcBorders>
              <w:top w:val="single" w:color="D4C9A8" w:sz="2"/>
              <w:left w:val="single" w:color="D4C9A8" w:sz="2"/>
              <w:bottom w:val="single" w:color="D4C9A8" w:sz="2"/>
              <w:right w:val="single" w:color="D4C9A8" w:sz="2"/>
            </w:tcBorders>
            <w:shd w:fill="FFFFFF" w:val="clear"/>
            <w:tcMar>
              <w:top w:type="dxa" w:w="80"/>
              <w:left w:type="dxa" w:w="120"/>
              <w:bottom w:type="dxa" w:w="80"/>
              <w:right w:type="dxa" w:w="120"/>
            </w:tcMar>
          </w:tcPr>
          <w:p>
            <w:r>
              <w:rPr>
                <w:rFonts w:ascii="Arial" w:cs="Arial" w:eastAsia="Arial" w:hAnsi="Arial"/>
                <w:b w:val="false"/>
                <w:bCs w:val="false"/>
                <w:color w:val="1C0C04"/>
                <w:sz w:val="21"/>
                <w:szCs w:val="21"/>
              </w:rPr>
              <w:t xml:space="preserve">~$82,500/yr</w:t>
            </w:r>
          </w:p>
        </w:tc>
      </w:tr>
      <w:tr>
        <w:tc>
          <w:tcPr>
            <w:tcBorders>
              <w:top w:val="single" w:color="D4C9A8" w:sz="2"/>
              <w:left w:val="single" w:color="D4C9A8" w:sz="2"/>
              <w:bottom w:val="single" w:color="D4C9A8" w:sz="2"/>
              <w:right w:val="single" w:color="D4C9A8" w:sz="2"/>
            </w:tcBorders>
            <w:shd w:fill="1B2A4A" w:val="clear"/>
            <w:tcMar>
              <w:top w:type="dxa" w:w="80"/>
              <w:left w:type="dxa" w:w="120"/>
              <w:bottom w:type="dxa" w:w="80"/>
              <w:right w:type="dxa" w:w="120"/>
            </w:tcMar>
          </w:tcPr>
          <w:p>
            <w:r>
              <w:rPr>
                <w:rFonts w:ascii="Arial" w:cs="Arial" w:eastAsia="Arial" w:hAnsi="Arial"/>
                <w:b/>
                <w:bCs/>
                <w:color w:val="FFFFFF"/>
                <w:sz w:val="21"/>
                <w:szCs w:val="21"/>
              </w:rPr>
              <w:t xml:space="preserve">Zone E — Music Industry Coworking</w:t>
            </w:r>
          </w:p>
        </w:tc>
        <w:tc>
          <w:tcPr>
            <w:tcBorders>
              <w:top w:val="single" w:color="D4C9A8" w:sz="2"/>
              <w:left w:val="single" w:color="D4C9A8" w:sz="2"/>
              <w:bottom w:val="single" w:color="D4C9A8" w:sz="2"/>
              <w:right w:val="single" w:color="D4C9A8" w:sz="2"/>
            </w:tcBorders>
            <w:shd w:fill="FFFFFF" w:val="clear"/>
            <w:tcMar>
              <w:top w:type="dxa" w:w="80"/>
              <w:left w:type="dxa" w:w="120"/>
              <w:bottom w:type="dxa" w:w="80"/>
              <w:right w:type="dxa" w:w="120"/>
            </w:tcMar>
          </w:tcPr>
          <w:p>
            <w:r>
              <w:rPr>
                <w:rFonts w:ascii="Arial" w:cs="Arial" w:eastAsia="Arial" w:hAnsi="Arial"/>
                <w:b w:val="false"/>
                <w:bCs w:val="false"/>
                <w:color w:val="1C0C04"/>
                <w:sz w:val="21"/>
                <w:szCs w:val="21"/>
              </w:rPr>
              <w:t xml:space="preserve">7 named private suites + The Floor</w:t>
            </w:r>
          </w:p>
        </w:tc>
        <w:tc>
          <w:tcPr>
            <w:tcBorders>
              <w:top w:val="single" w:color="D4C9A8" w:sz="2"/>
              <w:left w:val="single" w:color="D4C9A8" w:sz="2"/>
              <w:bottom w:val="single" w:color="D4C9A8" w:sz="2"/>
              <w:right w:val="single" w:color="D4C9A8" w:sz="2"/>
            </w:tcBorders>
            <w:shd w:fill="FFFFFF" w:val="clear"/>
            <w:tcMar>
              <w:top w:type="dxa" w:w="80"/>
              <w:left w:type="dxa" w:w="120"/>
              <w:bottom w:type="dxa" w:w="80"/>
              <w:right w:type="dxa" w:w="120"/>
            </w:tcMar>
          </w:tcPr>
          <w:p>
            <w:r>
              <w:rPr>
                <w:rFonts w:ascii="Arial" w:cs="Arial" w:eastAsia="Arial" w:hAnsi="Arial"/>
                <w:b w:val="false"/>
                <w:bCs w:val="false"/>
                <w:color w:val="1C0C04"/>
                <w:sz w:val="21"/>
                <w:szCs w:val="21"/>
              </w:rPr>
              <w:t xml:space="preserve">~10,000</w:t>
            </w:r>
          </w:p>
        </w:tc>
        <w:tc>
          <w:tcPr>
            <w:tcBorders>
              <w:top w:val="single" w:color="D4C9A8" w:sz="2"/>
              <w:left w:val="single" w:color="D4C9A8" w:sz="2"/>
              <w:bottom w:val="single" w:color="D4C9A8" w:sz="2"/>
              <w:right w:val="single" w:color="D4C9A8" w:sz="2"/>
            </w:tcBorders>
            <w:shd w:fill="FFFFFF" w:val="clear"/>
            <w:tcMar>
              <w:top w:type="dxa" w:w="80"/>
              <w:left w:type="dxa" w:w="120"/>
              <w:bottom w:type="dxa" w:w="80"/>
              <w:right w:type="dxa" w:w="120"/>
            </w:tcMar>
          </w:tcPr>
          <w:p>
            <w:r>
              <w:rPr>
                <w:rFonts w:ascii="Arial" w:cs="Arial" w:eastAsia="Arial" w:hAnsi="Arial"/>
                <w:b w:val="false"/>
                <w:bCs w:val="false"/>
                <w:color w:val="1C0C04"/>
                <w:sz w:val="21"/>
                <w:szCs w:val="21"/>
              </w:rPr>
              <w:t xml:space="preserve">~$304,000/yr</w:t>
            </w:r>
          </w:p>
        </w:tc>
      </w:tr>
      <w:tr>
        <w:tc>
          <w:tcPr>
            <w:tcBorders>
              <w:top w:val="single" w:color="D4C9A8" w:sz="2"/>
              <w:left w:val="single" w:color="D4C9A8" w:sz="2"/>
              <w:bottom w:val="single" w:color="D4C9A8" w:sz="2"/>
              <w:right w:val="single" w:color="D4C9A8" w:sz="2"/>
            </w:tcBorders>
            <w:shd w:fill="1B2A4A" w:val="clear"/>
            <w:tcMar>
              <w:top w:type="dxa" w:w="80"/>
              <w:left w:type="dxa" w:w="120"/>
              <w:bottom w:type="dxa" w:w="80"/>
              <w:right w:type="dxa" w:w="120"/>
            </w:tcMar>
          </w:tcPr>
          <w:p>
            <w:r>
              <w:rPr>
                <w:rFonts w:ascii="Arial" w:cs="Arial" w:eastAsia="Arial" w:hAnsi="Arial"/>
                <w:b/>
                <w:bCs/>
                <w:color w:val="FFFFFF"/>
                <w:sz w:val="21"/>
                <w:szCs w:val="21"/>
              </w:rPr>
              <w:t xml:space="preserve">Zone F — The Union Stage</w:t>
            </w:r>
          </w:p>
        </w:tc>
        <w:tc>
          <w:tcPr>
            <w:tcBorders>
              <w:top w:val="single" w:color="D4C9A8" w:sz="2"/>
              <w:left w:val="single" w:color="D4C9A8" w:sz="2"/>
              <w:bottom w:val="single" w:color="D4C9A8" w:sz="2"/>
              <w:right w:val="single" w:color="D4C9A8" w:sz="2"/>
            </w:tcBorders>
            <w:shd w:fill="FFFFFF" w:val="clear"/>
            <w:tcMar>
              <w:top w:type="dxa" w:w="80"/>
              <w:left w:type="dxa" w:w="120"/>
              <w:bottom w:type="dxa" w:w="80"/>
              <w:right w:type="dxa" w:w="120"/>
            </w:tcMar>
          </w:tcPr>
          <w:p>
            <w:r>
              <w:rPr>
                <w:rFonts w:ascii="Arial" w:cs="Arial" w:eastAsia="Arial" w:hAnsi="Arial"/>
                <w:b w:val="false"/>
                <w:bCs w:val="false"/>
                <w:color w:val="1C0C04"/>
                <w:sz w:val="21"/>
                <w:szCs w:val="21"/>
              </w:rPr>
              <w:t xml:space="preserve">Live venue, full bar, 300–500 cap</w:t>
            </w:r>
          </w:p>
        </w:tc>
        <w:tc>
          <w:tcPr>
            <w:tcBorders>
              <w:top w:val="single" w:color="D4C9A8" w:sz="2"/>
              <w:left w:val="single" w:color="D4C9A8" w:sz="2"/>
              <w:bottom w:val="single" w:color="D4C9A8" w:sz="2"/>
              <w:right w:val="single" w:color="D4C9A8" w:sz="2"/>
            </w:tcBorders>
            <w:shd w:fill="FFFFFF" w:val="clear"/>
            <w:tcMar>
              <w:top w:type="dxa" w:w="80"/>
              <w:left w:type="dxa" w:w="120"/>
              <w:bottom w:type="dxa" w:w="80"/>
              <w:right w:type="dxa" w:w="120"/>
            </w:tcMar>
          </w:tcPr>
          <w:p>
            <w:r>
              <w:rPr>
                <w:rFonts w:ascii="Arial" w:cs="Arial" w:eastAsia="Arial" w:hAnsi="Arial"/>
                <w:b w:val="false"/>
                <w:bCs w:val="false"/>
                <w:color w:val="1C0C04"/>
                <w:sz w:val="21"/>
                <w:szCs w:val="21"/>
              </w:rPr>
              <w:t xml:space="preserve">7,500</w:t>
            </w:r>
          </w:p>
        </w:tc>
        <w:tc>
          <w:tcPr>
            <w:tcBorders>
              <w:top w:val="single" w:color="D4C9A8" w:sz="2"/>
              <w:left w:val="single" w:color="D4C9A8" w:sz="2"/>
              <w:bottom w:val="single" w:color="D4C9A8" w:sz="2"/>
              <w:right w:val="single" w:color="D4C9A8" w:sz="2"/>
            </w:tcBorders>
            <w:shd w:fill="FFFFFF" w:val="clear"/>
            <w:tcMar>
              <w:top w:type="dxa" w:w="80"/>
              <w:left w:type="dxa" w:w="120"/>
              <w:bottom w:type="dxa" w:w="80"/>
              <w:right w:type="dxa" w:w="120"/>
            </w:tcMar>
          </w:tcPr>
          <w:p>
            <w:r>
              <w:rPr>
                <w:rFonts w:ascii="Arial" w:cs="Arial" w:eastAsia="Arial" w:hAnsi="Arial"/>
                <w:b w:val="false"/>
                <w:bCs w:val="false"/>
                <w:color w:val="1C0C04"/>
                <w:sz w:val="21"/>
                <w:szCs w:val="21"/>
              </w:rPr>
              <w:t xml:space="preserve">~$769,000/yr</w:t>
            </w:r>
          </w:p>
        </w:tc>
      </w:tr>
      <w:tr>
        <w:tc>
          <w:tcPr>
            <w:tcBorders>
              <w:top w:val="single" w:color="D4C9A8" w:sz="2"/>
              <w:left w:val="single" w:color="D4C9A8" w:sz="2"/>
              <w:bottom w:val="single" w:color="D4C9A8" w:sz="2"/>
              <w:right w:val="single" w:color="D4C9A8" w:sz="2"/>
            </w:tcBorders>
            <w:shd w:fill="1B2A4A" w:val="clear"/>
            <w:tcMar>
              <w:top w:type="dxa" w:w="80"/>
              <w:left w:type="dxa" w:w="120"/>
              <w:bottom w:type="dxa" w:w="80"/>
              <w:right w:type="dxa" w:w="120"/>
            </w:tcMar>
          </w:tcPr>
          <w:p>
            <w:r>
              <w:rPr>
                <w:rFonts w:ascii="Arial" w:cs="Arial" w:eastAsia="Arial" w:hAnsi="Arial"/>
                <w:b/>
                <w:bCs/>
                <w:color w:val="FFFFFF"/>
                <w:sz w:val="21"/>
                <w:szCs w:val="21"/>
              </w:rPr>
              <w:t xml:space="preserve">Zone G — Union Locker</w:t>
            </w:r>
          </w:p>
        </w:tc>
        <w:tc>
          <w:tcPr>
            <w:tcBorders>
              <w:top w:val="single" w:color="D4C9A8" w:sz="2"/>
              <w:left w:val="single" w:color="D4C9A8" w:sz="2"/>
              <w:bottom w:val="single" w:color="D4C9A8" w:sz="2"/>
              <w:right w:val="single" w:color="D4C9A8" w:sz="2"/>
            </w:tcBorders>
            <w:shd w:fill="FFFFFF" w:val="clear"/>
            <w:tcMar>
              <w:top w:type="dxa" w:w="80"/>
              <w:left w:type="dxa" w:w="120"/>
              <w:bottom w:type="dxa" w:w="80"/>
              <w:right w:type="dxa" w:w="120"/>
            </w:tcMar>
          </w:tcPr>
          <w:p>
            <w:r>
              <w:rPr>
                <w:rFonts w:ascii="Arial" w:cs="Arial" w:eastAsia="Arial" w:hAnsi="Arial"/>
                <w:b w:val="false"/>
                <w:bCs w:val="false"/>
                <w:color w:val="1C0C04"/>
                <w:sz w:val="21"/>
                <w:szCs w:val="21"/>
              </w:rPr>
              <w:t xml:space="preserve">Storage · instrument consignment · gear rental</w:t>
            </w:r>
          </w:p>
        </w:tc>
        <w:tc>
          <w:tcPr>
            <w:tcBorders>
              <w:top w:val="single" w:color="D4C9A8" w:sz="2"/>
              <w:left w:val="single" w:color="D4C9A8" w:sz="2"/>
              <w:bottom w:val="single" w:color="D4C9A8" w:sz="2"/>
              <w:right w:val="single" w:color="D4C9A8" w:sz="2"/>
            </w:tcBorders>
            <w:shd w:fill="FFFFFF" w:val="clear"/>
            <w:tcMar>
              <w:top w:type="dxa" w:w="80"/>
              <w:left w:type="dxa" w:w="120"/>
              <w:bottom w:type="dxa" w:w="80"/>
              <w:right w:type="dxa" w:w="120"/>
            </w:tcMar>
          </w:tcPr>
          <w:p>
            <w:r>
              <w:rPr>
                <w:rFonts w:ascii="Arial" w:cs="Arial" w:eastAsia="Arial" w:hAnsi="Arial"/>
                <w:b w:val="false"/>
                <w:bCs w:val="false"/>
                <w:color w:val="1C0C04"/>
                <w:sz w:val="21"/>
                <w:szCs w:val="21"/>
              </w:rPr>
              <w:t xml:space="preserve">~1,500</w:t>
            </w:r>
          </w:p>
        </w:tc>
        <w:tc>
          <w:tcPr>
            <w:tcBorders>
              <w:top w:val="single" w:color="D4C9A8" w:sz="2"/>
              <w:left w:val="single" w:color="D4C9A8" w:sz="2"/>
              <w:bottom w:val="single" w:color="D4C9A8" w:sz="2"/>
              <w:right w:val="single" w:color="D4C9A8" w:sz="2"/>
            </w:tcBorders>
            <w:shd w:fill="FFFFFF" w:val="clear"/>
            <w:tcMar>
              <w:top w:type="dxa" w:w="80"/>
              <w:left w:type="dxa" w:w="120"/>
              <w:bottom w:type="dxa" w:w="80"/>
              <w:right w:type="dxa" w:w="120"/>
            </w:tcMar>
          </w:tcPr>
          <w:p>
            <w:r>
              <w:rPr>
                <w:rFonts w:ascii="Arial" w:cs="Arial" w:eastAsia="Arial" w:hAnsi="Arial"/>
                <w:b w:val="false"/>
                <w:bCs w:val="false"/>
                <w:color w:val="1C0C04"/>
                <w:sz w:val="21"/>
                <w:szCs w:val="21"/>
              </w:rPr>
              <w:t xml:space="preserve">~$78,000/yr</w:t>
            </w:r>
          </w:p>
        </w:tc>
      </w:tr>
      <w:tr>
        <w:tc>
          <w:tcPr>
            <w:tcBorders>
              <w:top w:val="single" w:color="D4C9A8" w:sz="2"/>
              <w:left w:val="single" w:color="D4C9A8" w:sz="2"/>
              <w:bottom w:val="single" w:color="D4C9A8" w:sz="2"/>
              <w:right w:val="single" w:color="D4C9A8" w:sz="2"/>
            </w:tcBorders>
            <w:shd w:fill="1B2A4A" w:val="clear"/>
            <w:tcMar>
              <w:top w:type="dxa" w:w="80"/>
              <w:left w:type="dxa" w:w="120"/>
              <w:bottom w:type="dxa" w:w="80"/>
              <w:right w:type="dxa" w:w="120"/>
            </w:tcMar>
          </w:tcPr>
          <w:p>
            <w:r>
              <w:rPr>
                <w:rFonts w:ascii="Arial" w:cs="Arial" w:eastAsia="Arial" w:hAnsi="Arial"/>
                <w:b/>
                <w:bCs/>
                <w:color w:val="FFFFFF"/>
                <w:sz w:val="21"/>
                <w:szCs w:val="21"/>
              </w:rPr>
              <w:t xml:space="preserve">Membership Revenue</w:t>
            </w:r>
          </w:p>
        </w:tc>
        <w:tc>
          <w:tcPr>
            <w:tcBorders>
              <w:top w:val="single" w:color="D4C9A8" w:sz="2"/>
              <w:left w:val="single" w:color="D4C9A8" w:sz="2"/>
              <w:bottom w:val="single" w:color="D4C9A8" w:sz="2"/>
              <w:right w:val="single" w:color="D4C9A8" w:sz="2"/>
            </w:tcBorders>
            <w:shd w:fill="FFFFFF" w:val="clear"/>
            <w:tcMar>
              <w:top w:type="dxa" w:w="80"/>
              <w:left w:type="dxa" w:w="120"/>
              <w:bottom w:type="dxa" w:w="80"/>
              <w:right w:type="dxa" w:w="120"/>
            </w:tcMar>
          </w:tcPr>
          <w:p>
            <w:r>
              <w:rPr>
                <w:rFonts w:ascii="Arial" w:cs="Arial" w:eastAsia="Arial" w:hAnsi="Arial"/>
                <w:b w:val="false"/>
                <w:bCs w:val="false"/>
                <w:color w:val="1C0C04"/>
                <w:sz w:val="21"/>
                <w:szCs w:val="21"/>
              </w:rPr>
              <w:t xml:space="preserve">Union Card — 8 tiers, cross-chapter</w:t>
            </w:r>
          </w:p>
        </w:tc>
        <w:tc>
          <w:tcPr>
            <w:tcBorders>
              <w:top w:val="single" w:color="D4C9A8" w:sz="2"/>
              <w:left w:val="single" w:color="D4C9A8" w:sz="2"/>
              <w:bottom w:val="single" w:color="D4C9A8" w:sz="2"/>
              <w:right w:val="single" w:color="D4C9A8" w:sz="2"/>
            </w:tcBorders>
            <w:shd w:fill="FFFFFF" w:val="clear"/>
            <w:tcMar>
              <w:top w:type="dxa" w:w="80"/>
              <w:left w:type="dxa" w:w="120"/>
              <w:bottom w:type="dxa" w:w="80"/>
              <w:right w:type="dxa" w:w="120"/>
            </w:tcMar>
          </w:tcPr>
          <w:p>
            <w:r>
              <w:rPr>
                <w:rFonts w:ascii="Arial" w:cs="Arial" w:eastAsia="Arial" w:hAnsi="Arial"/>
                <w:b w:val="false"/>
                <w:bCs w:val="false"/>
                <w:color w:val="1C0C04"/>
                <w:sz w:val="21"/>
                <w:szCs w:val="21"/>
              </w:rPr>
              <w:t xml:space="preserve">—</w:t>
            </w:r>
          </w:p>
        </w:tc>
        <w:tc>
          <w:tcPr>
            <w:tcBorders>
              <w:top w:val="single" w:color="D4C9A8" w:sz="2"/>
              <w:left w:val="single" w:color="D4C9A8" w:sz="2"/>
              <w:bottom w:val="single" w:color="D4C9A8" w:sz="2"/>
              <w:right w:val="single" w:color="D4C9A8" w:sz="2"/>
            </w:tcBorders>
            <w:shd w:fill="FFFFFF" w:val="clear"/>
            <w:tcMar>
              <w:top w:type="dxa" w:w="80"/>
              <w:left w:type="dxa" w:w="120"/>
              <w:bottom w:type="dxa" w:w="80"/>
              <w:right w:type="dxa" w:w="120"/>
            </w:tcMar>
          </w:tcPr>
          <w:p>
            <w:r>
              <w:rPr>
                <w:rFonts w:ascii="Arial" w:cs="Arial" w:eastAsia="Arial" w:hAnsi="Arial"/>
                <w:b w:val="false"/>
                <w:bCs w:val="false"/>
                <w:color w:val="1C0C04"/>
                <w:sz w:val="21"/>
                <w:szCs w:val="21"/>
              </w:rPr>
              <w:t xml:space="preserve">~$270,000/yr</w:t>
            </w:r>
          </w:p>
        </w:tc>
      </w:tr>
    </w:tbl>
    <w:p>
      <w:pPr>
        <w:spacing w:before="120"/>
      </w:pPr>
    </w:p>
    <w:p>
      <w:pPr>
        <w:spacing w:before="280" w:after="100"/>
      </w:pPr>
      <w:r>
        <w:rPr>
          <w:rFonts w:ascii="Arial" w:cs="Arial" w:eastAsia="Arial" w:hAnsi="Arial"/>
          <w:b/>
          <w:bCs/>
          <w:color w:val="B8150C"/>
          <w:sz w:val="26"/>
          <w:szCs w:val="26"/>
        </w:rPr>
        <w:t xml:space="preserve">Every Surface Is a Set</w:t>
      </w:r>
    </w:p>
    <w:p>
      <w:pPr>
        <w:spacing w:before="60" w:after="120"/>
      </w:pPr>
      <w:r>
        <w:rPr>
          <w:rFonts w:ascii="Arial" w:cs="Arial" w:eastAsia="Arial" w:hAnsi="Arial"/>
          <w:b w:val="false"/>
          <w:bCs w:val="false"/>
          <w:i w:val="false"/>
          <w:iCs w:val="false"/>
          <w:color w:val="1C0C04"/>
          <w:sz w:val="22"/>
          <w:szCs w:val="22"/>
        </w:rPr>
        <w:t xml:space="preserve">Every zone is designed to function as both its primary operational purpose and a photogenic content destination. Zone A's 25 rooms are individually themed — The Dungeon, The Speakeasy, The Forest, The Record Store, The Void — each designed to produce compelling social content every time a musician sets up and rehearses. The lobby features a Neon Forest. The south exterior wall carries 200 feet of commissioned murals. An Airstream serves as the merch booth outdoors.</w:t>
      </w:r>
    </w:p>
    <w:p>
      <w:pPr>
        <w:spacing w:before="60" w:after="120"/>
      </w:pPr>
      <w:r>
        <w:rPr>
          <w:rFonts w:ascii="Arial" w:cs="Arial" w:eastAsia="Arial" w:hAnsi="Arial"/>
          <w:b w:val="false"/>
          <w:bCs w:val="false"/>
          <w:i w:val="false"/>
          <w:iCs w:val="false"/>
          <w:color w:val="1C0C04"/>
          <w:sz w:val="22"/>
          <w:szCs w:val="22"/>
        </w:rPr>
        <w:t xml:space="preserve">This design philosophy is not purely aesthetic. Under the OBBBA's permanent 100% bonus depreciation rules, every themed installation — neon signs, removable panels, commissioned art on mounted panels, specialty lighting, staged furniture — is classified as personal property eligible for immediate Year 1 write-off, not structural (39-year) depreciation. The design standard and the tax strategy are the same decision.</w:t>
      </w:r>
    </w:p>
    <w:p>
      <w:pPr>
        <w:spacing w:before="280" w:after="100"/>
      </w:pPr>
      <w:r>
        <w:rPr>
          <w:rFonts w:ascii="Arial" w:cs="Arial" w:eastAsia="Arial" w:hAnsi="Arial"/>
          <w:b/>
          <w:bCs/>
          <w:color w:val="B8150C"/>
          <w:sz w:val="26"/>
          <w:szCs w:val="26"/>
        </w:rPr>
        <w:t xml:space="preserve">The Union Builds</w:t>
      </w:r>
    </w:p>
    <w:p>
      <w:pPr>
        <w:spacing w:before="60" w:after="120"/>
      </w:pPr>
      <w:r>
        <w:rPr>
          <w:rFonts w:ascii="Arial" w:cs="Arial" w:eastAsia="Arial" w:hAnsi="Arial"/>
          <w:b w:val="false"/>
          <w:bCs w:val="false"/>
          <w:i w:val="false"/>
          <w:iCs w:val="false"/>
          <w:color w:val="1C0C04"/>
          <w:sz w:val="22"/>
          <w:szCs w:val="22"/>
        </w:rPr>
        <w:t xml:space="preserve">Rather than delivering shells to co-tenants, The Music Union designs and finances all buildouts to Every Surface Is a Set standards, then owns every improvement as a depreciable LLC asset. Zone D receives a full $375,000 branded buildout — the tenant opens into a finished space, pays $27.50/SF ($82,500/yr), and has no buildout capital burden. The Music Union controls the aesthetic, owns the depreciation, and charges a $5.50/SF rent premium over a bare shell.</w:t>
      </w:r>
    </w:p>
    <w:p>
      <w:pPr>
        <w:pageBreakBefore/>
        <w:spacing w:before="0" w:after="180"/>
      </w:pPr>
      <w:r>
        <w:rPr>
          <w:rFonts w:ascii="Georgia" w:cs="Georgia" w:eastAsia="Georgia" w:hAnsi="Georgia"/>
          <w:b/>
          <w:bCs/>
          <w:color w:val="1C0C04"/>
          <w:sz w:val="52"/>
          <w:szCs w:val="52"/>
        </w:rPr>
        <w:t xml:space="preserve">The Brand &amp; Chapter System</w:t>
      </w:r>
    </w:p>
    <w:p>
      <w:pPr>
        <w:spacing w:before="60" w:after="120"/>
      </w:pPr>
      <w:r>
        <w:rPr>
          <w:rFonts w:ascii="Arial" w:cs="Arial" w:eastAsia="Arial" w:hAnsi="Arial"/>
          <w:b w:val="false"/>
          <w:bCs w:val="false"/>
          <w:i w:val="false"/>
          <w:iCs w:val="false"/>
          <w:color w:val="1C0C04"/>
          <w:sz w:val="22"/>
          <w:szCs w:val="22"/>
        </w:rPr>
        <w:t xml:space="preserve">The Music Union is named deliberately. "Union" implies collective ownership, mutual benefit, and shared belonging. Union members have cards, benefits, and standing. Unions have chapters. Chapters have numbers. The entire national expansion architecture is embedded in the name itself.</w:t>
      </w:r>
    </w:p>
    <w:p>
      <w:pPr>
        <w:spacing w:before="280" w:after="100"/>
      </w:pPr>
      <w:r>
        <w:rPr>
          <w:rFonts w:ascii="Arial" w:cs="Arial" w:eastAsia="Arial" w:hAnsi="Arial"/>
          <w:b/>
          <w:bCs/>
          <w:color w:val="B8150C"/>
          <w:sz w:val="26"/>
          <w:szCs w:val="26"/>
        </w:rPr>
        <w:t xml:space="preserve">The Union Card</w:t>
      </w:r>
    </w:p>
    <w:p>
      <w:pPr>
        <w:spacing w:before="60" w:after="120"/>
      </w:pPr>
      <w:r>
        <w:rPr>
          <w:rFonts w:ascii="Arial" w:cs="Arial" w:eastAsia="Arial" w:hAnsi="Arial"/>
          <w:b w:val="false"/>
          <w:bCs w:val="false"/>
          <w:i w:val="false"/>
          <w:iCs w:val="false"/>
          <w:color w:val="1C0C04"/>
          <w:sz w:val="22"/>
          <w:szCs w:val="22"/>
        </w:rPr>
        <w:t xml:space="preserve">Every member carries a physical Union Card — wallet-sized, etched metal, heavy enough to feel like it means something. A hole is punched on one end: it can be worn on a lanyard at The Union Stage on a Saturday night the way a backstage pass is worn. Each tier has a materially distinct card — brushed steel for Rehearsal Members, matte black for Studio Members, gold-finish for Union Members.</w:t>
      </w:r>
    </w:p>
    <w:p>
      <w:pPr>
        <w:spacing w:before="60" w:after="120"/>
      </w:pPr>
      <w:r>
        <w:rPr>
          <w:rFonts w:ascii="Arial" w:cs="Arial" w:eastAsia="Arial" w:hAnsi="Arial"/>
          <w:b w:val="false"/>
          <w:bCs w:val="false"/>
          <w:i w:val="false"/>
          <w:iCs w:val="false"/>
          <w:color w:val="1C0C04"/>
          <w:sz w:val="22"/>
          <w:szCs w:val="22"/>
        </w:rPr>
        <w:t xml:space="preserve">Cross-chapter reciprocity is built into every card from Day 1. A 512 member playing a show in Nashville walks into The Music Union 615 and their card works. This mechanic — borrowed from Soho House and reciprocal gym networks — transforms the membership product from local perk into national touring infrastructure.</w:t>
      </w:r>
    </w:p>
    <w:p>
      <w:pPr>
        <w:spacing w:before="280" w:after="100"/>
      </w:pPr>
      <w:r>
        <w:rPr>
          <w:rFonts w:ascii="Arial" w:cs="Arial" w:eastAsia="Arial" w:hAnsi="Arial"/>
          <w:b/>
          <w:bCs/>
          <w:color w:val="B8150C"/>
          <w:sz w:val="26"/>
          <w:szCs w:val="26"/>
        </w:rPr>
        <w:t xml:space="preserve">Eight Membership Tiers</w:t>
      </w:r>
    </w:p>
    <w:p>
      <w:pPr>
        <w:spacing w:before="8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120"/>
        <w:gridCol w:w="3120"/>
        <w:gridCol w:w="3120"/>
      </w:tblGrid>
      <w:tr>
        <w:tc>
          <w:tcPr>
            <w:tcBorders>
              <w:top w:val="single" w:color="D4C9A8" w:sz="2"/>
              <w:left w:val="single" w:color="D4C9A8" w:sz="2"/>
              <w:bottom w:val="single" w:color="D4C9A8" w:sz="2"/>
              <w:right w:val="single" w:color="D4C9A8" w:sz="2"/>
            </w:tcBorders>
            <w:shd w:fill="1C0C04" w:val="clear"/>
            <w:tcMar>
              <w:top w:type="dxa" w:w="120"/>
              <w:left w:type="dxa" w:w="160"/>
              <w:bottom w:type="dxa" w:w="120"/>
              <w:right w:type="dxa" w:w="160"/>
            </w:tcMar>
            <w:vAlign w:val="center"/>
          </w:tcPr>
          <w:p>
            <w:pPr>
              <w:jc w:val="left"/>
            </w:pPr>
            <w:r>
              <w:rPr>
                <w:rFonts w:ascii="Arial" w:cs="Arial" w:eastAsia="Arial" w:hAnsi="Arial"/>
                <w:b/>
                <w:bCs/>
                <w:color w:val="FFFFFF"/>
                <w:sz w:val="20"/>
                <w:szCs w:val="20"/>
              </w:rPr>
              <w:t xml:space="preserve">Tier</w:t>
            </w:r>
          </w:p>
        </w:tc>
        <w:tc>
          <w:tcPr>
            <w:tcBorders>
              <w:top w:val="single" w:color="D4C9A8" w:sz="2"/>
              <w:left w:val="single" w:color="D4C9A8" w:sz="2"/>
              <w:bottom w:val="single" w:color="D4C9A8" w:sz="2"/>
              <w:right w:val="single" w:color="D4C9A8" w:sz="2"/>
            </w:tcBorders>
            <w:shd w:fill="1C0C04" w:val="clear"/>
            <w:tcMar>
              <w:top w:type="dxa" w:w="120"/>
              <w:left w:type="dxa" w:w="160"/>
              <w:bottom w:type="dxa" w:w="120"/>
              <w:right w:type="dxa" w:w="160"/>
            </w:tcMar>
            <w:vAlign w:val="center"/>
          </w:tcPr>
          <w:p>
            <w:pPr>
              <w:jc w:val="center"/>
            </w:pPr>
            <w:r>
              <w:rPr>
                <w:rFonts w:ascii="Arial" w:cs="Arial" w:eastAsia="Arial" w:hAnsi="Arial"/>
                <w:b/>
                <w:bCs/>
                <w:color w:val="FFFFFF"/>
                <w:sz w:val="20"/>
                <w:szCs w:val="20"/>
              </w:rPr>
              <w:t xml:space="preserve">Monthly</w:t>
            </w:r>
          </w:p>
        </w:tc>
        <w:tc>
          <w:tcPr>
            <w:tcBorders>
              <w:top w:val="single" w:color="D4C9A8" w:sz="2"/>
              <w:left w:val="single" w:color="D4C9A8" w:sz="2"/>
              <w:bottom w:val="single" w:color="D4C9A8" w:sz="2"/>
              <w:right w:val="single" w:color="D4C9A8" w:sz="2"/>
            </w:tcBorders>
            <w:shd w:fill="1C0C04" w:val="clear"/>
            <w:tcMar>
              <w:top w:type="dxa" w:w="120"/>
              <w:left w:type="dxa" w:w="160"/>
              <w:bottom w:type="dxa" w:w="120"/>
              <w:right w:type="dxa" w:w="160"/>
            </w:tcMar>
            <w:vAlign w:val="center"/>
          </w:tcPr>
          <w:p>
            <w:pPr>
              <w:jc w:val="center"/>
            </w:pPr>
            <w:r>
              <w:rPr>
                <w:rFonts w:ascii="Arial" w:cs="Arial" w:eastAsia="Arial" w:hAnsi="Arial"/>
                <w:b/>
                <w:bCs/>
                <w:color w:val="FFFFFF"/>
                <w:sz w:val="20"/>
                <w:szCs w:val="20"/>
              </w:rPr>
              <w:t xml:space="preserve">Core Value</w:t>
            </w:r>
          </w:p>
        </w:tc>
      </w:tr>
      <w:tr>
        <w:tc>
          <w:tcPr>
            <w:tcBorders>
              <w:top w:val="single" w:color="D4C9A8" w:sz="2"/>
              <w:left w:val="single" w:color="D4C9A8" w:sz="2"/>
              <w:bottom w:val="single" w:color="D4C9A8" w:sz="2"/>
              <w:right w:val="single" w:color="D4C9A8" w:sz="2"/>
            </w:tcBorders>
            <w:shd w:fill="FFFFFF" w:val="clear"/>
            <w:tcMar>
              <w:top w:type="dxa" w:w="120"/>
              <w:left w:type="dxa" w:w="160"/>
              <w:bottom w:type="dxa" w:w="120"/>
              <w:right w:type="dxa" w:w="160"/>
            </w:tcMar>
            <w:vAlign w:val="center"/>
          </w:tcPr>
          <w:p>
            <w:pPr>
              <w:jc w:val="left"/>
            </w:pPr>
            <w:r>
              <w:rPr>
                <w:rFonts w:ascii="Arial" w:cs="Arial" w:eastAsia="Arial" w:hAnsi="Arial"/>
                <w:b/>
                <w:bCs/>
                <w:color w:val="1C0C04"/>
                <w:sz w:val="22"/>
                <w:szCs w:val="22"/>
              </w:rPr>
              <w:t xml:space="preserve">Founding Partner</w:t>
            </w:r>
          </w:p>
        </w:tc>
        <w:tc>
          <w:tcPr>
            <w:tcBorders>
              <w:top w:val="single" w:color="D4C9A8" w:sz="2"/>
              <w:left w:val="single" w:color="D4C9A8" w:sz="2"/>
              <w:bottom w:val="single" w:color="D4C9A8" w:sz="2"/>
              <w:right w:val="single" w:color="D4C9A8" w:sz="2"/>
            </w:tcBorders>
            <w:shd w:fill="FFFFFF"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Equity / Comped</w:t>
            </w:r>
          </w:p>
        </w:tc>
        <w:tc>
          <w:tcPr>
            <w:tcBorders>
              <w:top w:val="single" w:color="D4C9A8" w:sz="2"/>
              <w:left w:val="single" w:color="D4C9A8" w:sz="2"/>
              <w:bottom w:val="single" w:color="D4C9A8" w:sz="2"/>
              <w:right w:val="single" w:color="D4C9A8" w:sz="2"/>
            </w:tcBorders>
            <w:shd w:fill="FFFFFF"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Permanent recognition, governance, first right on future chapters</w:t>
            </w:r>
          </w:p>
        </w:tc>
      </w:tr>
      <w:tr>
        <w:tc>
          <w:tcPr>
            <w:tcBorders>
              <w:top w:val="single" w:color="D4C9A8" w:sz="2"/>
              <w:left w:val="single" w:color="D4C9A8" w:sz="2"/>
              <w:bottom w:val="single" w:color="D4C9A8" w:sz="2"/>
              <w:right w:val="single" w:color="D4C9A8" w:sz="2"/>
            </w:tcBorders>
            <w:shd w:fill="F2F2F2" w:val="clear"/>
            <w:tcMar>
              <w:top w:type="dxa" w:w="120"/>
              <w:left w:type="dxa" w:w="160"/>
              <w:bottom w:type="dxa" w:w="120"/>
              <w:right w:type="dxa" w:w="160"/>
            </w:tcMar>
            <w:vAlign w:val="center"/>
          </w:tcPr>
          <w:p>
            <w:pPr>
              <w:jc w:val="left"/>
            </w:pPr>
            <w:r>
              <w:rPr>
                <w:rFonts w:ascii="Arial" w:cs="Arial" w:eastAsia="Arial" w:hAnsi="Arial"/>
                <w:b/>
                <w:bCs/>
                <w:color w:val="1C0C04"/>
                <w:sz w:val="22"/>
                <w:szCs w:val="22"/>
              </w:rPr>
              <w:t xml:space="preserve">Union Elder</w:t>
            </w:r>
          </w:p>
        </w:tc>
        <w:tc>
          <w:tcPr>
            <w:tcBorders>
              <w:top w:val="single" w:color="D4C9A8" w:sz="2"/>
              <w:left w:val="single" w:color="D4C9A8" w:sz="2"/>
              <w:bottom w:val="single" w:color="D4C9A8" w:sz="2"/>
              <w:right w:val="single" w:color="D4C9A8" w:sz="2"/>
            </w:tcBorders>
            <w:shd w:fill="F2F2F2"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Included</w:t>
            </w:r>
          </w:p>
        </w:tc>
        <w:tc>
          <w:tcPr>
            <w:tcBorders>
              <w:top w:val="single" w:color="D4C9A8" w:sz="2"/>
              <w:left w:val="single" w:color="D4C9A8" w:sz="2"/>
              <w:bottom w:val="single" w:color="D4C9A8" w:sz="2"/>
              <w:right w:val="single" w:color="D4C9A8" w:sz="2"/>
            </w:tcBorders>
            <w:shd w:fill="F2F2F2" w:val="clear"/>
            <w:tcMar>
              <w:top w:type="dxa" w:w="120"/>
              <w:left w:type="dxa" w:w="160"/>
              <w:bottom w:type="dxa" w:w="120"/>
              <w:right w:type="dxa" w:w="160"/>
            </w:tcMar>
            <w:vAlign w:val="center"/>
          </w:tcPr>
          <w:p>
            <w:pPr>
              <w:jc w:val="center"/>
            </w:pPr>
            <w:r>
              <w:rPr>
                <w:rFonts w:ascii="Arial" w:cs="Arial" w:eastAsia="Arial" w:hAnsi="Arial"/>
                <w:b w:val="false"/>
                <w:bCs w:val="false"/>
                <w:color w:val="1A5C2A"/>
                <w:sz w:val="22"/>
                <w:szCs w:val="22"/>
              </w:rPr>
              <w:t xml:space="preserve">Constitutional vote, maximum dividend — 5yr+ members</w:t>
            </w:r>
          </w:p>
        </w:tc>
      </w:tr>
      <w:tr>
        <w:tc>
          <w:tcPr>
            <w:tcBorders>
              <w:top w:val="single" w:color="D4C9A8" w:sz="2"/>
              <w:left w:val="single" w:color="D4C9A8" w:sz="2"/>
              <w:bottom w:val="single" w:color="D4C9A8" w:sz="2"/>
              <w:right w:val="single" w:color="D4C9A8" w:sz="2"/>
            </w:tcBorders>
            <w:shd w:fill="FFFFFF" w:val="clear"/>
            <w:tcMar>
              <w:top w:type="dxa" w:w="120"/>
              <w:left w:type="dxa" w:w="160"/>
              <w:bottom w:type="dxa" w:w="120"/>
              <w:right w:type="dxa" w:w="160"/>
            </w:tcMar>
            <w:vAlign w:val="center"/>
          </w:tcPr>
          <w:p>
            <w:pPr>
              <w:jc w:val="left"/>
            </w:pPr>
            <w:r>
              <w:rPr>
                <w:rFonts w:ascii="Arial" w:cs="Arial" w:eastAsia="Arial" w:hAnsi="Arial"/>
                <w:b/>
                <w:bCs/>
                <w:color w:val="1C0C04"/>
                <w:sz w:val="22"/>
                <w:szCs w:val="22"/>
              </w:rPr>
              <w:t xml:space="preserve">Union Member</w:t>
            </w:r>
          </w:p>
        </w:tc>
        <w:tc>
          <w:tcPr>
            <w:tcBorders>
              <w:top w:val="single" w:color="D4C9A8" w:sz="2"/>
              <w:left w:val="single" w:color="D4C9A8" w:sz="2"/>
              <w:bottom w:val="single" w:color="D4C9A8" w:sz="2"/>
              <w:right w:val="single" w:color="D4C9A8" w:sz="2"/>
            </w:tcBorders>
            <w:shd w:fill="FFFFFF"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$249</w:t>
            </w:r>
          </w:p>
        </w:tc>
        <w:tc>
          <w:tcPr>
            <w:tcBorders>
              <w:top w:val="single" w:color="D4C9A8" w:sz="2"/>
              <w:left w:val="single" w:color="D4C9A8" w:sz="2"/>
              <w:bottom w:val="single" w:color="D4C9A8" w:sz="2"/>
              <w:right w:val="single" w:color="D4C9A8" w:sz="2"/>
            </w:tcBorders>
            <w:shd w:fill="FFFFFF" w:val="clear"/>
            <w:tcMar>
              <w:top w:type="dxa" w:w="120"/>
              <w:left w:type="dxa" w:w="160"/>
              <w:bottom w:type="dxa" w:w="120"/>
              <w:right w:type="dxa" w:w="160"/>
            </w:tcMar>
            <w:vAlign w:val="center"/>
          </w:tcPr>
          <w:p>
            <w:pPr>
              <w:jc w:val="center"/>
            </w:pPr>
            <w:r>
              <w:rPr>
                <w:rFonts w:ascii="Arial" w:cs="Arial" w:eastAsia="Arial" w:hAnsi="Arial"/>
                <w:b w:val="false"/>
                <w:bCs w:val="false"/>
                <w:color w:val="1A5C2A"/>
                <w:sz w:val="22"/>
                <w:szCs w:val="22"/>
              </w:rPr>
              <w:t xml:space="preserve">20% off all zones, locker, guest list standing</w:t>
            </w:r>
          </w:p>
        </w:tc>
      </w:tr>
      <w:tr>
        <w:tc>
          <w:tcPr>
            <w:tcBorders>
              <w:top w:val="single" w:color="D4C9A8" w:sz="2"/>
              <w:left w:val="single" w:color="D4C9A8" w:sz="2"/>
              <w:bottom w:val="single" w:color="D4C9A8" w:sz="2"/>
              <w:right w:val="single" w:color="D4C9A8" w:sz="2"/>
            </w:tcBorders>
            <w:shd w:fill="F2F2F2" w:val="clear"/>
            <w:tcMar>
              <w:top w:type="dxa" w:w="120"/>
              <w:left w:type="dxa" w:w="160"/>
              <w:bottom w:type="dxa" w:w="120"/>
              <w:right w:type="dxa" w:w="160"/>
            </w:tcMar>
            <w:vAlign w:val="center"/>
          </w:tcPr>
          <w:p>
            <w:pPr>
              <w:jc w:val="left"/>
            </w:pPr>
            <w:r>
              <w:rPr>
                <w:rFonts w:ascii="Arial" w:cs="Arial" w:eastAsia="Arial" w:hAnsi="Arial"/>
                <w:b/>
                <w:bCs/>
                <w:color w:val="1C0C04"/>
                <w:sz w:val="22"/>
                <w:szCs w:val="22"/>
              </w:rPr>
              <w:t xml:space="preserve">Studio Member</w:t>
            </w:r>
          </w:p>
        </w:tc>
        <w:tc>
          <w:tcPr>
            <w:tcBorders>
              <w:top w:val="single" w:color="D4C9A8" w:sz="2"/>
              <w:left w:val="single" w:color="D4C9A8" w:sz="2"/>
              <w:bottom w:val="single" w:color="D4C9A8" w:sz="2"/>
              <w:right w:val="single" w:color="D4C9A8" w:sz="2"/>
            </w:tcBorders>
            <w:shd w:fill="F2F2F2"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$149</w:t>
            </w:r>
          </w:p>
        </w:tc>
        <w:tc>
          <w:tcPr>
            <w:tcBorders>
              <w:top w:val="single" w:color="D4C9A8" w:sz="2"/>
              <w:left w:val="single" w:color="D4C9A8" w:sz="2"/>
              <w:bottom w:val="single" w:color="D4C9A8" w:sz="2"/>
              <w:right w:val="single" w:color="D4C9A8" w:sz="2"/>
            </w:tcBorders>
            <w:shd w:fill="F2F2F2" w:val="clear"/>
            <w:tcMar>
              <w:top w:type="dxa" w:w="120"/>
              <w:left w:type="dxa" w:w="160"/>
              <w:bottom w:type="dxa" w:w="120"/>
              <w:right w:type="dxa" w:w="160"/>
            </w:tcMar>
            <w:vAlign w:val="center"/>
          </w:tcPr>
          <w:p>
            <w:pPr>
              <w:jc w:val="center"/>
            </w:pPr>
            <w:r>
              <w:rPr>
                <w:rFonts w:ascii="Arial" w:cs="Arial" w:eastAsia="Arial" w:hAnsi="Arial"/>
                <w:b w:val="false"/>
                <w:bCs w:val="false"/>
                <w:color w:val="1A5C2A"/>
                <w:sz w:val="22"/>
                <w:szCs w:val="22"/>
              </w:rPr>
              <w:t xml:space="preserve">10% off all zones, production suite priority</w:t>
            </w:r>
          </w:p>
        </w:tc>
      </w:tr>
      <w:tr>
        <w:tc>
          <w:tcPr>
            <w:tcBorders>
              <w:top w:val="single" w:color="D4C9A8" w:sz="2"/>
              <w:left w:val="single" w:color="D4C9A8" w:sz="2"/>
              <w:bottom w:val="single" w:color="D4C9A8" w:sz="2"/>
              <w:right w:val="single" w:color="D4C9A8" w:sz="2"/>
            </w:tcBorders>
            <w:shd w:fill="FFFFFF" w:val="clear"/>
            <w:tcMar>
              <w:top w:type="dxa" w:w="120"/>
              <w:left w:type="dxa" w:w="160"/>
              <w:bottom w:type="dxa" w:w="120"/>
              <w:right w:type="dxa" w:w="160"/>
            </w:tcMar>
            <w:vAlign w:val="center"/>
          </w:tcPr>
          <w:p>
            <w:pPr>
              <w:jc w:val="left"/>
            </w:pPr>
            <w:r>
              <w:rPr>
                <w:rFonts w:ascii="Arial" w:cs="Arial" w:eastAsia="Arial" w:hAnsi="Arial"/>
                <w:b/>
                <w:bCs/>
                <w:color w:val="1C0C04"/>
                <w:sz w:val="22"/>
                <w:szCs w:val="22"/>
              </w:rPr>
              <w:t xml:space="preserve">Rehearsal Member</w:t>
            </w:r>
          </w:p>
        </w:tc>
        <w:tc>
          <w:tcPr>
            <w:tcBorders>
              <w:top w:val="single" w:color="D4C9A8" w:sz="2"/>
              <w:left w:val="single" w:color="D4C9A8" w:sz="2"/>
              <w:bottom w:val="single" w:color="D4C9A8" w:sz="2"/>
              <w:right w:val="single" w:color="D4C9A8" w:sz="2"/>
            </w:tcBorders>
            <w:shd w:fill="FFFFFF"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$99</w:t>
            </w:r>
          </w:p>
        </w:tc>
        <w:tc>
          <w:tcPr>
            <w:tcBorders>
              <w:top w:val="single" w:color="D4C9A8" w:sz="2"/>
              <w:left w:val="single" w:color="D4C9A8" w:sz="2"/>
              <w:bottom w:val="single" w:color="D4C9A8" w:sz="2"/>
              <w:right w:val="single" w:color="D4C9A8" w:sz="2"/>
            </w:tcBorders>
            <w:shd w:fill="FFFFFF" w:val="clear"/>
            <w:tcMar>
              <w:top w:type="dxa" w:w="120"/>
              <w:left w:type="dxa" w:w="160"/>
              <w:bottom w:type="dxa" w:w="120"/>
              <w:right w:type="dxa" w:w="160"/>
            </w:tcMar>
            <w:vAlign w:val="center"/>
          </w:tcPr>
          <w:p>
            <w:pPr>
              <w:jc w:val="center"/>
            </w:pPr>
            <w:r>
              <w:rPr>
                <w:rFonts w:ascii="Arial" w:cs="Arial" w:eastAsia="Arial" w:hAnsi="Arial"/>
                <w:b w:val="false"/>
                <w:bCs w:val="false"/>
                <w:color w:val="1A5C2A"/>
                <w:sz w:val="22"/>
                <w:szCs w:val="22"/>
              </w:rPr>
              <w:t xml:space="preserve">10% off room rates, priority booking</w:t>
            </w:r>
          </w:p>
        </w:tc>
      </w:tr>
      <w:tr>
        <w:tc>
          <w:tcPr>
            <w:tcBorders>
              <w:top w:val="single" w:color="D4C9A8" w:sz="2"/>
              <w:left w:val="single" w:color="D4C9A8" w:sz="2"/>
              <w:bottom w:val="single" w:color="D4C9A8" w:sz="2"/>
              <w:right w:val="single" w:color="D4C9A8" w:sz="2"/>
            </w:tcBorders>
            <w:shd w:fill="F2F2F2" w:val="clear"/>
            <w:tcMar>
              <w:top w:type="dxa" w:w="120"/>
              <w:left w:type="dxa" w:w="160"/>
              <w:bottom w:type="dxa" w:w="120"/>
              <w:right w:type="dxa" w:w="160"/>
            </w:tcMar>
            <w:vAlign w:val="center"/>
          </w:tcPr>
          <w:p>
            <w:pPr>
              <w:jc w:val="left"/>
            </w:pPr>
            <w:r>
              <w:rPr>
                <w:rFonts w:ascii="Arial" w:cs="Arial" w:eastAsia="Arial" w:hAnsi="Arial"/>
                <w:b/>
                <w:bCs/>
                <w:color w:val="1C0C04"/>
                <w:sz w:val="22"/>
                <w:szCs w:val="22"/>
              </w:rPr>
              <w:t xml:space="preserve">Patron (Fan)</w:t>
            </w:r>
          </w:p>
        </w:tc>
        <w:tc>
          <w:tcPr>
            <w:tcBorders>
              <w:top w:val="single" w:color="D4C9A8" w:sz="2"/>
              <w:left w:val="single" w:color="D4C9A8" w:sz="2"/>
              <w:bottom w:val="single" w:color="D4C9A8" w:sz="2"/>
              <w:right w:val="single" w:color="D4C9A8" w:sz="2"/>
            </w:tcBorders>
            <w:shd w:fill="F2F2F2"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$99</w:t>
            </w:r>
          </w:p>
        </w:tc>
        <w:tc>
          <w:tcPr>
            <w:tcBorders>
              <w:top w:val="single" w:color="D4C9A8" w:sz="2"/>
              <w:left w:val="single" w:color="D4C9A8" w:sz="2"/>
              <w:bottom w:val="single" w:color="D4C9A8" w:sz="2"/>
              <w:right w:val="single" w:color="D4C9A8" w:sz="2"/>
            </w:tcBorders>
            <w:shd w:fill="F2F2F2"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Reserved seats, private events, Patron card</w:t>
            </w:r>
          </w:p>
        </w:tc>
      </w:tr>
      <w:tr>
        <w:tc>
          <w:tcPr>
            <w:tcBorders>
              <w:top w:val="single" w:color="D4C9A8" w:sz="2"/>
              <w:left w:val="single" w:color="D4C9A8" w:sz="2"/>
              <w:bottom w:val="single" w:color="D4C9A8" w:sz="2"/>
              <w:right w:val="single" w:color="D4C9A8" w:sz="2"/>
            </w:tcBorders>
            <w:shd w:fill="FFFFFF" w:val="clear"/>
            <w:tcMar>
              <w:top w:type="dxa" w:w="120"/>
              <w:left w:type="dxa" w:w="160"/>
              <w:bottom w:type="dxa" w:w="120"/>
              <w:right w:type="dxa" w:w="160"/>
            </w:tcMar>
            <w:vAlign w:val="center"/>
          </w:tcPr>
          <w:p>
            <w:pPr>
              <w:jc w:val="left"/>
            </w:pPr>
            <w:r>
              <w:rPr>
                <w:rFonts w:ascii="Arial" w:cs="Arial" w:eastAsia="Arial" w:hAnsi="Arial"/>
                <w:b/>
                <w:bCs/>
                <w:color w:val="1C0C04"/>
                <w:sz w:val="22"/>
                <w:szCs w:val="22"/>
              </w:rPr>
              <w:t xml:space="preserve">Friend of the Union (Fan)</w:t>
            </w:r>
          </w:p>
        </w:tc>
        <w:tc>
          <w:tcPr>
            <w:tcBorders>
              <w:top w:val="single" w:color="D4C9A8" w:sz="2"/>
              <w:left w:val="single" w:color="D4C9A8" w:sz="2"/>
              <w:bottom w:val="single" w:color="D4C9A8" w:sz="2"/>
              <w:right w:val="single" w:color="D4C9A8" w:sz="2"/>
            </w:tcBorders>
            <w:shd w:fill="FFFFFF"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$49</w:t>
            </w:r>
          </w:p>
        </w:tc>
        <w:tc>
          <w:tcPr>
            <w:tcBorders>
              <w:top w:val="single" w:color="D4C9A8" w:sz="2"/>
              <w:left w:val="single" w:color="D4C9A8" w:sz="2"/>
              <w:bottom w:val="single" w:color="D4C9A8" w:sz="2"/>
              <w:right w:val="single" w:color="D4C9A8" w:sz="2"/>
            </w:tcBorders>
            <w:shd w:fill="FFFFFF"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Early tickets, guest pass, Observer Events</w:t>
            </w:r>
          </w:p>
        </w:tc>
      </w:tr>
      <w:tr>
        <w:tc>
          <w:tcPr>
            <w:tcBorders>
              <w:top w:val="single" w:color="D4C9A8" w:sz="2"/>
              <w:left w:val="single" w:color="D4C9A8" w:sz="2"/>
              <w:bottom w:val="single" w:color="D4C9A8" w:sz="2"/>
              <w:right w:val="single" w:color="D4C9A8" w:sz="2"/>
            </w:tcBorders>
            <w:shd w:fill="F2F2F2" w:val="clear"/>
            <w:tcMar>
              <w:top w:type="dxa" w:w="120"/>
              <w:left w:type="dxa" w:w="160"/>
              <w:bottom w:type="dxa" w:w="120"/>
              <w:right w:type="dxa" w:w="160"/>
            </w:tcMar>
            <w:vAlign w:val="center"/>
          </w:tcPr>
          <w:p>
            <w:pPr>
              <w:jc w:val="left"/>
            </w:pPr>
            <w:r>
              <w:rPr>
                <w:rFonts w:ascii="Arial" w:cs="Arial" w:eastAsia="Arial" w:hAnsi="Arial"/>
                <w:b/>
                <w:bCs/>
                <w:color w:val="1C0C04"/>
                <w:sz w:val="22"/>
                <w:szCs w:val="22"/>
              </w:rPr>
              <w:t xml:space="preserve">Local (Fan)</w:t>
            </w:r>
          </w:p>
        </w:tc>
        <w:tc>
          <w:tcPr>
            <w:tcBorders>
              <w:top w:val="single" w:color="D4C9A8" w:sz="2"/>
              <w:left w:val="single" w:color="D4C9A8" w:sz="2"/>
              <w:bottom w:val="single" w:color="D4C9A8" w:sz="2"/>
              <w:right w:val="single" w:color="D4C9A8" w:sz="2"/>
            </w:tcBorders>
            <w:shd w:fill="F2F2F2"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$25</w:t>
            </w:r>
          </w:p>
        </w:tc>
        <w:tc>
          <w:tcPr>
            <w:tcBorders>
              <w:top w:val="single" w:color="D4C9A8" w:sz="2"/>
              <w:left w:val="single" w:color="D4C9A8" w:sz="2"/>
              <w:bottom w:val="single" w:color="D4C9A8" w:sz="2"/>
              <w:right w:val="single" w:color="D4C9A8" w:sz="2"/>
            </w:tcBorders>
            <w:shd w:fill="F2F2F2"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Early access, bar discount, digital Union Card</w:t>
            </w:r>
          </w:p>
        </w:tc>
      </w:tr>
    </w:tbl>
    <w:p>
      <w:pPr>
        <w:spacing w:before="80"/>
      </w:pPr>
    </w:p>
    <w:p>
      <w:pPr>
        <w:spacing w:before="60" w:after="120"/>
      </w:pPr>
      <w:r>
        <w:rPr>
          <w:rFonts w:ascii="Arial" w:cs="Arial" w:eastAsia="Arial" w:hAnsi="Arial"/>
          <w:b w:val="false"/>
          <w:bCs w:val="false"/>
          <w:i w:val="false"/>
          <w:iCs w:val="false"/>
          <w:color w:val="1C0C04"/>
          <w:sz w:val="22"/>
          <w:szCs w:val="22"/>
        </w:rPr>
        <w:t xml:space="preserve">Every tier above the base level participates in the Patronage Dividend — earning back a portion of their annual spend at year-end proportional to usage. This is the financial mechanism that makes "built for its members" literally true, not just marketing language.</w:t>
      </w:r>
    </w:p>
    <w:p>
      <w:pPr>
        <w:spacing w:before="280" w:after="100"/>
      </w:pPr>
      <w:r>
        <w:rPr>
          <w:rFonts w:ascii="Arial" w:cs="Arial" w:eastAsia="Arial" w:hAnsi="Arial"/>
          <w:b/>
          <w:bCs/>
          <w:color w:val="B8150C"/>
          <w:sz w:val="26"/>
          <w:szCs w:val="26"/>
        </w:rPr>
        <w:t xml:space="preserve">The Chapter Roadmap</w:t>
      </w:r>
    </w:p>
    <w:p>
      <w:pPr>
        <w:spacing w:before="60" w:after="120"/>
      </w:pPr>
      <w:r>
        <w:rPr>
          <w:rFonts w:ascii="Arial" w:cs="Arial" w:eastAsia="Arial" w:hAnsi="Arial"/>
          <w:b w:val="false"/>
          <w:bCs w:val="false"/>
          <w:i w:val="false"/>
          <w:iCs w:val="false"/>
          <w:color w:val="1C0C04"/>
          <w:sz w:val="22"/>
          <w:szCs w:val="22"/>
        </w:rPr>
        <w:t xml:space="preserve">After proving the model in Austin, the natural chapter sequence follows the music economy: Nashville (615), Los Angeles (213), Chicago (312), New York (212), Atlanta (404), and beyond. Each chapter uses the same playbook, the same membership infrastructure, and the same Union Card network — with local themes, local artists, and local identity layered on top.</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B8150C" w:sz="36"/>
              <w:bottom w:val="none" w:color="FFFFFF" w:sz="0"/>
              <w:right w:val="none" w:color="FFFFFF" w:sz="0"/>
            </w:tcBorders>
            <w:shd w:fill="FDF8F0" w:val="clear"/>
            <w:tcMar>
              <w:top w:type="dxa" w:w="240"/>
              <w:left w:type="dxa" w:w="360"/>
              <w:bottom w:type="dxa" w:w="240"/>
              <w:right w:type="dxa" w:w="240"/>
            </w:tcMar>
          </w:tcPr>
          <w:p>
            <w:r>
              <w:rPr>
                <w:rFonts w:ascii="Georgia" w:cs="Georgia" w:eastAsia="Georgia" w:hAnsi="Georgia"/>
                <w:i/>
                <w:iCs/>
                <w:color w:val="1C0C04"/>
                <w:sz w:val="26"/>
                <w:szCs w:val="26"/>
              </w:rPr>
              <w:t xml:space="preserve">A single music campus is a good business. A national network of music campuses is a different category of institution entirely. The Music Union, at scale, is positioned to become the institution working musicians have never had — the institution every other profession takes for granted.</w:t>
            </w:r>
          </w:p>
        </w:tc>
      </w:tr>
    </w:tbl>
    <w:p>
      <w:pPr>
        <w:pageBreakBefore/>
        <w:spacing w:before="0" w:after="180"/>
      </w:pPr>
      <w:r>
        <w:rPr>
          <w:rFonts w:ascii="Georgia" w:cs="Georgia" w:eastAsia="Georgia" w:hAnsi="Georgia"/>
          <w:b/>
          <w:bCs/>
          <w:color w:val="1C0C04"/>
          <w:sz w:val="52"/>
          <w:szCs w:val="52"/>
        </w:rPr>
        <w:t xml:space="preserve">The Team</w:t>
      </w:r>
    </w:p>
    <w:p>
      <w:pPr>
        <w:spacing w:before="280" w:after="100"/>
      </w:pPr>
      <w:r>
        <w:rPr>
          <w:rFonts w:ascii="Arial" w:cs="Arial" w:eastAsia="Arial" w:hAnsi="Arial"/>
          <w:b/>
          <w:bCs/>
          <w:color w:val="B8150C"/>
          <w:sz w:val="26"/>
          <w:szCs w:val="26"/>
        </w:rPr>
        <w:t xml:space="preserve">Taylor Robinson — Co-Founder, Technology &amp; Growth</w:t>
      </w:r>
    </w:p>
    <w:p>
      <w:pPr>
        <w:spacing w:before="60" w:after="120"/>
      </w:pPr>
      <w:r>
        <w:rPr>
          <w:rFonts w:ascii="Arial" w:cs="Arial" w:eastAsia="Arial" w:hAnsi="Arial"/>
          <w:b w:val="false"/>
          <w:bCs w:val="false"/>
          <w:i w:val="false"/>
          <w:iCs w:val="false"/>
          <w:color w:val="1C0C04"/>
          <w:sz w:val="22"/>
          <w:szCs w:val="22"/>
        </w:rPr>
        <w:t xml:space="preserve">Founder and CEO of Taylor Robinson Music (TRM) — the nation's largest private music lesson marketplace, with 323,000+ students served and 26,000+ active instructors across all 50 states. Full-stack engineer. Professional guitarist. Leads technology platform, investor relations, dynamic pricing, and growth strategy. Former early-stage founder with demonstrated ability to build and scale a national marketplace from Austin.</w:t>
      </w:r>
    </w:p>
    <w:p>
      <w:pPr>
        <w:spacing w:before="280" w:after="100"/>
      </w:pPr>
      <w:r>
        <w:rPr>
          <w:rFonts w:ascii="Arial" w:cs="Arial" w:eastAsia="Arial" w:hAnsi="Arial"/>
          <w:b/>
          <w:bCs/>
          <w:color w:val="B8150C"/>
          <w:sz w:val="26"/>
          <w:szCs w:val="26"/>
        </w:rPr>
        <w:t xml:space="preserve">Daniel Lindenberg — Co-Founder, Real Estate &amp; Finance</w:t>
      </w:r>
    </w:p>
    <w:p>
      <w:pPr>
        <w:spacing w:before="60" w:after="120"/>
      </w:pPr>
      <w:r>
        <w:rPr>
          <w:rFonts w:ascii="Arial" w:cs="Arial" w:eastAsia="Arial" w:hAnsi="Arial"/>
          <w:b w:val="false"/>
          <w:bCs w:val="false"/>
          <w:i w:val="false"/>
          <w:iCs w:val="false"/>
          <w:color w:val="1C0C04"/>
          <w:sz w:val="22"/>
          <w:szCs w:val="22"/>
        </w:rPr>
        <w:t xml:space="preserve">Partner at JAR Real Estate (Houston/TX), specializing in retail strip center acquisition, development, leasing, and property management across 12+ Texas properties. Former VP Operations, AEGIS Hedging Solutions. Leads acquisition structuring and financing, construction management, Zone D/E leasing, and lender relations. Jeff's brother-in-law.</w:t>
      </w:r>
    </w:p>
    <w:p>
      <w:pPr>
        <w:spacing w:before="280" w:after="100"/>
      </w:pPr>
      <w:r>
        <w:rPr>
          <w:rFonts w:ascii="Arial" w:cs="Arial" w:eastAsia="Arial" w:hAnsi="Arial"/>
          <w:b/>
          <w:bCs/>
          <w:color w:val="B8150C"/>
          <w:sz w:val="26"/>
          <w:szCs w:val="26"/>
        </w:rPr>
        <w:t xml:space="preserve">Jeff Munn — Co-Founder &amp; General Manager (Full-Time)</w:t>
      </w:r>
    </w:p>
    <w:p>
      <w:pPr>
        <w:spacing w:before="60" w:after="120"/>
      </w:pPr>
      <w:r>
        <w:rPr>
          <w:rFonts w:ascii="Arial" w:cs="Arial" w:eastAsia="Arial" w:hAnsi="Arial"/>
          <w:b w:val="false"/>
          <w:bCs w:val="false"/>
          <w:i w:val="false"/>
          <w:iCs w:val="false"/>
          <w:color w:val="1C0C04"/>
          <w:sz w:val="22"/>
          <w:szCs w:val="22"/>
        </w:rPr>
        <w:t xml:space="preserve">BS Engineering Physics, Colorado School of Mines. 20+ years as a professional working musician. Software solutions marketing background. 500+ active Austin music industry connections spanning working bands, session musicians, engineers, producers, booking agents, venue operators, and label professionals. Leads day-to-day operations, music programming, Zone F venue booking, and Austin community engagement.</w:t>
      </w:r>
    </w:p>
    <w:p>
      <w:pPr>
        <w:pageBreakBefore/>
        <w:spacing w:before="0" w:after="180"/>
      </w:pPr>
      <w:r>
        <w:rPr>
          <w:rFonts w:ascii="Georgia" w:cs="Georgia" w:eastAsia="Georgia" w:hAnsi="Georgia"/>
          <w:b/>
          <w:bCs/>
          <w:color w:val="1C0C04"/>
          <w:sz w:val="52"/>
          <w:szCs w:val="52"/>
        </w:rPr>
        <w:t xml:space="preserve">Financial Summary</w:t>
      </w:r>
    </w:p>
    <w:p>
      <w:pPr>
        <w:spacing w:before="280" w:after="100"/>
      </w:pPr>
      <w:r>
        <w:rPr>
          <w:rFonts w:ascii="Arial" w:cs="Arial" w:eastAsia="Arial" w:hAnsi="Arial"/>
          <w:b/>
          <w:bCs/>
          <w:color w:val="B8150C"/>
          <w:sz w:val="26"/>
          <w:szCs w:val="26"/>
        </w:rPr>
        <w:t xml:space="preserve">Capital Structure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80"/>
        <w:gridCol w:w="4680"/>
      </w:tblGrid>
      <w:tr>
        <w:tc>
          <w:tcPr>
            <w:tcBorders>
              <w:top w:val="single" w:color="D4C9A8" w:sz="2"/>
              <w:left w:val="single" w:color="D4C9A8" w:sz="2"/>
              <w:bottom w:val="single" w:color="D4C9A8" w:sz="2"/>
              <w:right w:val="single" w:color="D4C9A8" w:sz="2"/>
            </w:tcBorders>
            <w:shd w:fill="1C0C04" w:val="clear"/>
            <w:tcMar>
              <w:top w:type="dxa" w:w="120"/>
              <w:left w:type="dxa" w:w="160"/>
              <w:bottom w:type="dxa" w:w="120"/>
              <w:right w:type="dxa" w:w="160"/>
            </w:tcMar>
            <w:vAlign w:val="center"/>
          </w:tcPr>
          <w:p>
            <w:pPr>
              <w:jc w:val="left"/>
            </w:pPr>
            <w:r>
              <w:rPr>
                <w:rFonts w:ascii="Arial" w:cs="Arial" w:eastAsia="Arial" w:hAnsi="Arial"/>
                <w:b/>
                <w:bCs/>
                <w:color w:val="FFFFFF"/>
                <w:sz w:val="20"/>
                <w:szCs w:val="20"/>
              </w:rPr>
              <w:t xml:space="preserve">Use of Capital</w:t>
            </w:r>
          </w:p>
        </w:tc>
        <w:tc>
          <w:tcPr>
            <w:tcBorders>
              <w:top w:val="single" w:color="D4C9A8" w:sz="2"/>
              <w:left w:val="single" w:color="D4C9A8" w:sz="2"/>
              <w:bottom w:val="single" w:color="D4C9A8" w:sz="2"/>
              <w:right w:val="single" w:color="D4C9A8" w:sz="2"/>
            </w:tcBorders>
            <w:shd w:fill="1C0C04" w:val="clear"/>
            <w:tcMar>
              <w:top w:type="dxa" w:w="120"/>
              <w:left w:type="dxa" w:w="160"/>
              <w:bottom w:type="dxa" w:w="120"/>
              <w:right w:type="dxa" w:w="160"/>
            </w:tcMar>
            <w:vAlign w:val="center"/>
          </w:tcPr>
          <w:p>
            <w:pPr>
              <w:jc w:val="center"/>
            </w:pPr>
            <w:r>
              <w:rPr>
                <w:rFonts w:ascii="Arial" w:cs="Arial" w:eastAsia="Arial" w:hAnsi="Arial"/>
                <w:b/>
                <w:bCs/>
                <w:color w:val="FFFFFF"/>
                <w:sz w:val="20"/>
                <w:szCs w:val="20"/>
              </w:rPr>
              <w:t xml:space="preserve">Amount</w:t>
            </w:r>
          </w:p>
        </w:tc>
      </w:tr>
      <w:tr>
        <w:tc>
          <w:tcPr>
            <w:tcBorders>
              <w:top w:val="single" w:color="D4C9A8" w:sz="2"/>
              <w:left w:val="single" w:color="D4C9A8" w:sz="2"/>
              <w:bottom w:val="single" w:color="D4C9A8" w:sz="2"/>
              <w:right w:val="single" w:color="D4C9A8" w:sz="2"/>
            </w:tcBorders>
            <w:shd w:fill="FFFFFF" w:val="clear"/>
            <w:tcMar>
              <w:top w:type="dxa" w:w="120"/>
              <w:left w:type="dxa" w:w="160"/>
              <w:bottom w:type="dxa" w:w="120"/>
              <w:right w:type="dxa" w:w="160"/>
            </w:tcMar>
            <w:vAlign w:val="center"/>
          </w:tcPr>
          <w:p>
            <w:pPr>
              <w:jc w:val="left"/>
            </w:pPr>
            <w:r>
              <w:rPr>
                <w:rFonts w:ascii="Arial" w:cs="Arial" w:eastAsia="Arial" w:hAnsi="Arial"/>
                <w:b/>
                <w:bCs/>
                <w:color w:val="1C0C04"/>
                <w:sz w:val="22"/>
                <w:szCs w:val="22"/>
              </w:rPr>
              <w:t xml:space="preserve">Acquisition (target offer)</w:t>
            </w:r>
          </w:p>
        </w:tc>
        <w:tc>
          <w:tcPr>
            <w:tcBorders>
              <w:top w:val="single" w:color="D4C9A8" w:sz="2"/>
              <w:left w:val="single" w:color="D4C9A8" w:sz="2"/>
              <w:bottom w:val="single" w:color="D4C9A8" w:sz="2"/>
              <w:right w:val="single" w:color="D4C9A8" w:sz="2"/>
            </w:tcBorders>
            <w:shd w:fill="FFFFFF"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$8,250,000</w:t>
            </w:r>
          </w:p>
        </w:tc>
      </w:tr>
      <w:tr>
        <w:tc>
          <w:tcPr>
            <w:tcBorders>
              <w:top w:val="single" w:color="D4C9A8" w:sz="2"/>
              <w:left w:val="single" w:color="D4C9A8" w:sz="2"/>
              <w:bottom w:val="single" w:color="D4C9A8" w:sz="2"/>
              <w:right w:val="single" w:color="D4C9A8" w:sz="2"/>
            </w:tcBorders>
            <w:shd w:fill="F2F2F2" w:val="clear"/>
            <w:tcMar>
              <w:top w:type="dxa" w:w="120"/>
              <w:left w:type="dxa" w:w="160"/>
              <w:bottom w:type="dxa" w:w="120"/>
              <w:right w:type="dxa" w:w="160"/>
            </w:tcMar>
            <w:vAlign w:val="center"/>
          </w:tcPr>
          <w:p>
            <w:pPr>
              <w:jc w:val="left"/>
            </w:pPr>
            <w:r>
              <w:rPr>
                <w:rFonts w:ascii="Arial" w:cs="Arial" w:eastAsia="Arial" w:hAnsi="Arial"/>
                <w:b/>
                <w:bCs/>
                <w:color w:val="1C0C04"/>
                <w:sz w:val="22"/>
                <w:szCs w:val="22"/>
              </w:rPr>
              <w:t xml:space="preserve">Zone A–C Buildout (Rehearsal + Production + Creator)</w:t>
            </w:r>
          </w:p>
        </w:tc>
        <w:tc>
          <w:tcPr>
            <w:tcBorders>
              <w:top w:val="single" w:color="D4C9A8" w:sz="2"/>
              <w:left w:val="single" w:color="D4C9A8" w:sz="2"/>
              <w:bottom w:val="single" w:color="D4C9A8" w:sz="2"/>
              <w:right w:val="single" w:color="D4C9A8" w:sz="2"/>
            </w:tcBorders>
            <w:shd w:fill="F2F2F2"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$1,750,000</w:t>
            </w:r>
          </w:p>
        </w:tc>
      </w:tr>
      <w:tr>
        <w:tc>
          <w:tcPr>
            <w:tcBorders>
              <w:top w:val="single" w:color="D4C9A8" w:sz="2"/>
              <w:left w:val="single" w:color="D4C9A8" w:sz="2"/>
              <w:bottom w:val="single" w:color="D4C9A8" w:sz="2"/>
              <w:right w:val="single" w:color="D4C9A8" w:sz="2"/>
            </w:tcBorders>
            <w:shd w:fill="FFFFFF" w:val="clear"/>
            <w:tcMar>
              <w:top w:type="dxa" w:w="120"/>
              <w:left w:type="dxa" w:w="160"/>
              <w:bottom w:type="dxa" w:w="120"/>
              <w:right w:type="dxa" w:w="160"/>
            </w:tcMar>
            <w:vAlign w:val="center"/>
          </w:tcPr>
          <w:p>
            <w:pPr>
              <w:jc w:val="left"/>
            </w:pPr>
            <w:r>
              <w:rPr>
                <w:rFonts w:ascii="Arial" w:cs="Arial" w:eastAsia="Arial" w:hAnsi="Arial"/>
                <w:b/>
                <w:bCs/>
                <w:color w:val="1C0C04"/>
                <w:sz w:val="22"/>
                <w:szCs w:val="22"/>
              </w:rPr>
              <w:t xml:space="preserve">Zone F — Venue &amp; Bar (7,500 SF)</w:t>
            </w:r>
          </w:p>
        </w:tc>
        <w:tc>
          <w:tcPr>
            <w:tcBorders>
              <w:top w:val="single" w:color="D4C9A8" w:sz="2"/>
              <w:left w:val="single" w:color="D4C9A8" w:sz="2"/>
              <w:bottom w:val="single" w:color="D4C9A8" w:sz="2"/>
              <w:right w:val="single" w:color="D4C9A8" w:sz="2"/>
            </w:tcBorders>
            <w:shd w:fill="FFFFFF"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$1,050,000</w:t>
            </w:r>
          </w:p>
        </w:tc>
      </w:tr>
      <w:tr>
        <w:tc>
          <w:tcPr>
            <w:tcBorders>
              <w:top w:val="single" w:color="D4C9A8" w:sz="2"/>
              <w:left w:val="single" w:color="D4C9A8" w:sz="2"/>
              <w:bottom w:val="single" w:color="D4C9A8" w:sz="2"/>
              <w:right w:val="single" w:color="D4C9A8" w:sz="2"/>
            </w:tcBorders>
            <w:shd w:fill="F2F2F2" w:val="clear"/>
            <w:tcMar>
              <w:top w:type="dxa" w:w="120"/>
              <w:left w:type="dxa" w:w="160"/>
              <w:bottom w:type="dxa" w:w="120"/>
              <w:right w:type="dxa" w:w="160"/>
            </w:tcMar>
            <w:vAlign w:val="center"/>
          </w:tcPr>
          <w:p>
            <w:pPr>
              <w:jc w:val="left"/>
            </w:pPr>
            <w:r>
              <w:rPr>
                <w:rFonts w:ascii="Arial" w:cs="Arial" w:eastAsia="Arial" w:hAnsi="Arial"/>
                <w:b/>
                <w:bCs/>
                <w:color w:val="1C0C04"/>
                <w:sz w:val="22"/>
                <w:szCs w:val="22"/>
              </w:rPr>
              <w:t xml:space="preserve">Zone B — 3rd Production Suite Upgrade</w:t>
            </w:r>
          </w:p>
        </w:tc>
        <w:tc>
          <w:tcPr>
            <w:tcBorders>
              <w:top w:val="single" w:color="D4C9A8" w:sz="2"/>
              <w:left w:val="single" w:color="D4C9A8" w:sz="2"/>
              <w:bottom w:val="single" w:color="D4C9A8" w:sz="2"/>
              <w:right w:val="single" w:color="D4C9A8" w:sz="2"/>
            </w:tcBorders>
            <w:shd w:fill="F2F2F2"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$300,000</w:t>
            </w:r>
          </w:p>
        </w:tc>
      </w:tr>
      <w:tr>
        <w:tc>
          <w:tcPr>
            <w:tcBorders>
              <w:top w:val="single" w:color="D4C9A8" w:sz="2"/>
              <w:left w:val="single" w:color="D4C9A8" w:sz="2"/>
              <w:bottom w:val="single" w:color="D4C9A8" w:sz="2"/>
              <w:right w:val="single" w:color="D4C9A8" w:sz="2"/>
            </w:tcBorders>
            <w:shd w:fill="FFFFFF" w:val="clear"/>
            <w:tcMar>
              <w:top w:type="dxa" w:w="120"/>
              <w:left w:type="dxa" w:w="160"/>
              <w:bottom w:type="dxa" w:w="120"/>
              <w:right w:type="dxa" w:w="160"/>
            </w:tcMar>
            <w:vAlign w:val="center"/>
          </w:tcPr>
          <w:p>
            <w:pPr>
              <w:jc w:val="left"/>
            </w:pPr>
            <w:r>
              <w:rPr>
                <w:rFonts w:ascii="Arial" w:cs="Arial" w:eastAsia="Arial" w:hAnsi="Arial"/>
                <w:b/>
                <w:bCs/>
                <w:color w:val="1C0C04"/>
                <w:sz w:val="22"/>
                <w:szCs w:val="22"/>
              </w:rPr>
              <w:t xml:space="preserve">Zone D — Union Builds Buildout (~$125/SF)</w:t>
            </w:r>
          </w:p>
        </w:tc>
        <w:tc>
          <w:tcPr>
            <w:tcBorders>
              <w:top w:val="single" w:color="D4C9A8" w:sz="2"/>
              <w:left w:val="single" w:color="D4C9A8" w:sz="2"/>
              <w:bottom w:val="single" w:color="D4C9A8" w:sz="2"/>
              <w:right w:val="single" w:color="D4C9A8" w:sz="2"/>
            </w:tcBorders>
            <w:shd w:fill="FFFFFF"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$375,000</w:t>
            </w:r>
          </w:p>
        </w:tc>
      </w:tr>
      <w:tr>
        <w:tc>
          <w:tcPr>
            <w:tcBorders>
              <w:top w:val="single" w:color="D4C9A8" w:sz="2"/>
              <w:left w:val="single" w:color="D4C9A8" w:sz="2"/>
              <w:bottom w:val="single" w:color="D4C9A8" w:sz="2"/>
              <w:right w:val="single" w:color="D4C9A8" w:sz="2"/>
            </w:tcBorders>
            <w:shd w:fill="F2F2F2" w:val="clear"/>
            <w:tcMar>
              <w:top w:type="dxa" w:w="120"/>
              <w:left w:type="dxa" w:w="160"/>
              <w:bottom w:type="dxa" w:w="120"/>
              <w:right w:type="dxa" w:w="160"/>
            </w:tcMar>
            <w:vAlign w:val="center"/>
          </w:tcPr>
          <w:p>
            <w:pPr>
              <w:jc w:val="left"/>
            </w:pPr>
            <w:r>
              <w:rPr>
                <w:rFonts w:ascii="Arial" w:cs="Arial" w:eastAsia="Arial" w:hAnsi="Arial"/>
                <w:b/>
                <w:bCs/>
                <w:color w:val="1C0C04"/>
                <w:sz w:val="22"/>
                <w:szCs w:val="22"/>
              </w:rPr>
              <w:t xml:space="preserve">Zone E — Music Industry Coworking Buildout</w:t>
            </w:r>
          </w:p>
        </w:tc>
        <w:tc>
          <w:tcPr>
            <w:tcBorders>
              <w:top w:val="single" w:color="D4C9A8" w:sz="2"/>
              <w:left w:val="single" w:color="D4C9A8" w:sz="2"/>
              <w:bottom w:val="single" w:color="D4C9A8" w:sz="2"/>
              <w:right w:val="single" w:color="D4C9A8" w:sz="2"/>
            </w:tcBorders>
            <w:shd w:fill="F2F2F2"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$300,000</w:t>
            </w:r>
          </w:p>
        </w:tc>
      </w:tr>
      <w:tr>
        <w:tc>
          <w:tcPr>
            <w:tcBorders>
              <w:top w:val="single" w:color="D4C9A8" w:sz="2"/>
              <w:left w:val="single" w:color="D4C9A8" w:sz="2"/>
              <w:bottom w:val="single" w:color="D4C9A8" w:sz="2"/>
              <w:right w:val="single" w:color="D4C9A8" w:sz="2"/>
            </w:tcBorders>
            <w:shd w:fill="FFFFFF" w:val="clear"/>
            <w:tcMar>
              <w:top w:type="dxa" w:w="120"/>
              <w:left w:type="dxa" w:w="160"/>
              <w:bottom w:type="dxa" w:w="120"/>
              <w:right w:type="dxa" w:w="160"/>
            </w:tcMar>
            <w:vAlign w:val="center"/>
          </w:tcPr>
          <w:p>
            <w:pPr>
              <w:jc w:val="left"/>
            </w:pPr>
            <w:r>
              <w:rPr>
                <w:rFonts w:ascii="Arial" w:cs="Arial" w:eastAsia="Arial" w:hAnsi="Arial"/>
                <w:b/>
                <w:bCs/>
                <w:color w:val="1C0C04"/>
                <w:sz w:val="22"/>
                <w:szCs w:val="22"/>
              </w:rPr>
              <w:t xml:space="preserve">FF&amp;E — All Zones</w:t>
            </w:r>
          </w:p>
        </w:tc>
        <w:tc>
          <w:tcPr>
            <w:tcBorders>
              <w:top w:val="single" w:color="D4C9A8" w:sz="2"/>
              <w:left w:val="single" w:color="D4C9A8" w:sz="2"/>
              <w:bottom w:val="single" w:color="D4C9A8" w:sz="2"/>
              <w:right w:val="single" w:color="D4C9A8" w:sz="2"/>
            </w:tcBorders>
            <w:shd w:fill="FFFFFF"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$300,000</w:t>
            </w:r>
          </w:p>
        </w:tc>
      </w:tr>
      <w:tr>
        <w:tc>
          <w:tcPr>
            <w:tcBorders>
              <w:top w:val="single" w:color="D4C9A8" w:sz="2"/>
              <w:left w:val="single" w:color="D4C9A8" w:sz="2"/>
              <w:bottom w:val="single" w:color="D4C9A8" w:sz="2"/>
              <w:right w:val="single" w:color="D4C9A8" w:sz="2"/>
            </w:tcBorders>
            <w:shd w:fill="F2F2F2" w:val="clear"/>
            <w:tcMar>
              <w:top w:type="dxa" w:w="120"/>
              <w:left w:type="dxa" w:w="160"/>
              <w:bottom w:type="dxa" w:w="120"/>
              <w:right w:type="dxa" w:w="160"/>
            </w:tcMar>
            <w:vAlign w:val="center"/>
          </w:tcPr>
          <w:p>
            <w:pPr>
              <w:jc w:val="left"/>
            </w:pPr>
            <w:r>
              <w:rPr>
                <w:rFonts w:ascii="Arial" w:cs="Arial" w:eastAsia="Arial" w:hAnsi="Arial"/>
                <w:b/>
                <w:bCs/>
                <w:color w:val="1C0C04"/>
                <w:sz w:val="22"/>
                <w:szCs w:val="22"/>
              </w:rPr>
              <w:t xml:space="preserve">Closing Costs &amp; Soft Costs</w:t>
            </w:r>
          </w:p>
        </w:tc>
        <w:tc>
          <w:tcPr>
            <w:tcBorders>
              <w:top w:val="single" w:color="D4C9A8" w:sz="2"/>
              <w:left w:val="single" w:color="D4C9A8" w:sz="2"/>
              <w:bottom w:val="single" w:color="D4C9A8" w:sz="2"/>
              <w:right w:val="single" w:color="D4C9A8" w:sz="2"/>
            </w:tcBorders>
            <w:shd w:fill="F2F2F2"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$125,000</w:t>
            </w:r>
          </w:p>
        </w:tc>
      </w:tr>
      <w:tr>
        <w:tc>
          <w:tcPr>
            <w:tcBorders>
              <w:top w:val="single" w:color="D4C9A8" w:sz="2"/>
              <w:left w:val="single" w:color="D4C9A8" w:sz="2"/>
              <w:bottom w:val="single" w:color="D4C9A8" w:sz="2"/>
              <w:right w:val="single" w:color="D4C9A8" w:sz="2"/>
            </w:tcBorders>
            <w:shd w:fill="FFFFFF" w:val="clear"/>
            <w:tcMar>
              <w:top w:type="dxa" w:w="120"/>
              <w:left w:type="dxa" w:w="160"/>
              <w:bottom w:type="dxa" w:w="120"/>
              <w:right w:type="dxa" w:w="160"/>
            </w:tcMar>
            <w:vAlign w:val="center"/>
          </w:tcPr>
          <w:p>
            <w:pPr>
              <w:jc w:val="left"/>
            </w:pPr>
            <w:r>
              <w:rPr>
                <w:rFonts w:ascii="Arial" w:cs="Arial" w:eastAsia="Arial" w:hAnsi="Arial"/>
                <w:b/>
                <w:bCs/>
                <w:color w:val="1C0C04"/>
                <w:sz w:val="22"/>
                <w:szCs w:val="22"/>
              </w:rPr>
              <w:t xml:space="preserve">Contingency Reserve (incl. Zone G)</w:t>
            </w:r>
          </w:p>
        </w:tc>
        <w:tc>
          <w:tcPr>
            <w:tcBorders>
              <w:top w:val="single" w:color="D4C9A8" w:sz="2"/>
              <w:left w:val="single" w:color="D4C9A8" w:sz="2"/>
              <w:bottom w:val="single" w:color="D4C9A8" w:sz="2"/>
              <w:right w:val="single" w:color="D4C9A8" w:sz="2"/>
            </w:tcBorders>
            <w:shd w:fill="FFFFFF"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$165,000</w:t>
            </w:r>
          </w:p>
        </w:tc>
      </w:tr>
      <w:tr>
        <w:tc>
          <w:tcPr>
            <w:tcBorders>
              <w:top w:val="single" w:color="D4C9A8" w:sz="2"/>
              <w:left w:val="single" w:color="D4C9A8" w:sz="2"/>
              <w:bottom w:val="single" w:color="D4C9A8" w:sz="2"/>
              <w:right w:val="single" w:color="D4C9A8" w:sz="2"/>
            </w:tcBorders>
            <w:shd w:fill="F2F2F2" w:val="clear"/>
            <w:tcMar>
              <w:top w:type="dxa" w:w="120"/>
              <w:left w:type="dxa" w:w="160"/>
              <w:bottom w:type="dxa" w:w="120"/>
              <w:right w:type="dxa" w:w="160"/>
            </w:tcMar>
            <w:vAlign w:val="center"/>
          </w:tcPr>
          <w:p>
            <w:pPr>
              <w:jc w:val="left"/>
            </w:pPr>
            <w:r>
              <w:rPr>
                <w:rFonts w:ascii="Arial" w:cs="Arial" w:eastAsia="Arial" w:hAnsi="Arial"/>
                <w:b/>
                <w:bCs/>
                <w:color w:val="1C0C04"/>
                <w:sz w:val="22"/>
                <w:szCs w:val="22"/>
              </w:rPr>
              <w:t xml:space="preserve">Working Capital Reserve</w:t>
            </w:r>
          </w:p>
        </w:tc>
        <w:tc>
          <w:tcPr>
            <w:tcBorders>
              <w:top w:val="single" w:color="D4C9A8" w:sz="2"/>
              <w:left w:val="single" w:color="D4C9A8" w:sz="2"/>
              <w:bottom w:val="single" w:color="D4C9A8" w:sz="2"/>
              <w:right w:val="single" w:color="D4C9A8" w:sz="2"/>
            </w:tcBorders>
            <w:shd w:fill="F2F2F2"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$450,000</w:t>
            </w:r>
          </w:p>
        </w:tc>
      </w:tr>
      <w:tr>
        <w:tc>
          <w:tcPr>
            <w:tcBorders>
              <w:top w:val="single" w:color="D4C9A8" w:sz="2"/>
              <w:left w:val="single" w:color="D4C9A8" w:sz="2"/>
              <w:bottom w:val="single" w:color="D4C9A8" w:sz="2"/>
              <w:right w:val="single" w:color="D4C9A8" w:sz="2"/>
            </w:tcBorders>
            <w:shd w:fill="FFFFFF" w:val="clear"/>
            <w:tcMar>
              <w:top w:type="dxa" w:w="120"/>
              <w:left w:type="dxa" w:w="160"/>
              <w:bottom w:type="dxa" w:w="120"/>
              <w:right w:type="dxa" w:w="160"/>
            </w:tcMar>
            <w:vAlign w:val="center"/>
          </w:tcPr>
          <w:p>
            <w:pPr>
              <w:jc w:val="left"/>
            </w:pPr>
            <w:r>
              <w:rPr>
                <w:rFonts w:ascii="Arial" w:cs="Arial" w:eastAsia="Arial" w:hAnsi="Arial"/>
                <w:b/>
                <w:bCs/>
                <w:color w:val="1C0C04"/>
                <w:sz w:val="22"/>
                <w:szCs w:val="22"/>
              </w:rPr>
              <w:t xml:space="preserve">TOTAL CAPITAL DEPLOYED</w:t>
            </w:r>
          </w:p>
        </w:tc>
        <w:tc>
          <w:tcPr>
            <w:tcBorders>
              <w:top w:val="single" w:color="D4C9A8" w:sz="2"/>
              <w:left w:val="single" w:color="D4C9A8" w:sz="2"/>
              <w:bottom w:val="single" w:color="D4C9A8" w:sz="2"/>
              <w:right w:val="single" w:color="D4C9A8" w:sz="2"/>
            </w:tcBorders>
            <w:shd w:fill="FFFFFF"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$13,065,000</w:t>
            </w:r>
          </w:p>
        </w:tc>
      </w:tr>
      <w:tr>
        <w:tc>
          <w:tcPr>
            <w:tcBorders>
              <w:top w:val="single" w:color="D4C9A8" w:sz="2"/>
              <w:left w:val="single" w:color="D4C9A8" w:sz="2"/>
              <w:bottom w:val="single" w:color="D4C9A8" w:sz="2"/>
              <w:right w:val="single" w:color="D4C9A8" w:sz="2"/>
            </w:tcBorders>
            <w:shd w:fill="F2F2F2" w:val="clear"/>
            <w:tcMar>
              <w:top w:type="dxa" w:w="120"/>
              <w:left w:type="dxa" w:w="160"/>
              <w:bottom w:type="dxa" w:w="120"/>
              <w:right w:type="dxa" w:w="160"/>
            </w:tcMar>
            <w:vAlign w:val="center"/>
          </w:tcPr>
          <w:p>
            <w:pPr>
              <w:jc w:val="left"/>
            </w:pPr>
            <w:r>
              <w:rPr>
                <w:rFonts w:ascii="Arial" w:cs="Arial" w:eastAsia="Arial" w:hAnsi="Arial"/>
                <w:b/>
                <w:bCs/>
                <w:color w:val="1A5C2A"/>
                <w:sz w:val="22"/>
                <w:szCs w:val="22"/>
              </w:rPr>
              <w:t xml:space="preserve">  Commercial Mortgage (65% of total, 7.5%, 25-yr)</w:t>
            </w:r>
          </w:p>
        </w:tc>
        <w:tc>
          <w:tcPr>
            <w:tcBorders>
              <w:top w:val="single" w:color="D4C9A8" w:sz="2"/>
              <w:left w:val="single" w:color="D4C9A8" w:sz="2"/>
              <w:bottom w:val="single" w:color="D4C9A8" w:sz="2"/>
              <w:right w:val="single" w:color="D4C9A8" w:sz="2"/>
            </w:tcBorders>
            <w:shd w:fill="F2F2F2"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$8,492,000</w:t>
            </w:r>
          </w:p>
        </w:tc>
      </w:tr>
      <w:tr>
        <w:tc>
          <w:tcPr>
            <w:tcBorders>
              <w:top w:val="single" w:color="D4C9A8" w:sz="2"/>
              <w:left w:val="single" w:color="D4C9A8" w:sz="2"/>
              <w:bottom w:val="single" w:color="D4C9A8" w:sz="2"/>
              <w:right w:val="single" w:color="D4C9A8" w:sz="2"/>
            </w:tcBorders>
            <w:shd w:fill="FFFFFF" w:val="clear"/>
            <w:tcMar>
              <w:top w:type="dxa" w:w="120"/>
              <w:left w:type="dxa" w:w="160"/>
              <w:bottom w:type="dxa" w:w="120"/>
              <w:right w:type="dxa" w:w="160"/>
            </w:tcMar>
            <w:vAlign w:val="center"/>
          </w:tcPr>
          <w:p>
            <w:pPr>
              <w:jc w:val="left"/>
            </w:pPr>
            <w:r>
              <w:rPr>
                <w:rFonts w:ascii="Arial" w:cs="Arial" w:eastAsia="Arial" w:hAnsi="Arial"/>
                <w:b/>
                <w:bCs/>
                <w:color w:val="1A5C2A"/>
                <w:sz w:val="22"/>
                <w:szCs w:val="22"/>
              </w:rPr>
              <w:t xml:space="preserve">  Equity Raise (35% of total)</w:t>
            </w:r>
          </w:p>
        </w:tc>
        <w:tc>
          <w:tcPr>
            <w:tcBorders>
              <w:top w:val="single" w:color="D4C9A8" w:sz="2"/>
              <w:left w:val="single" w:color="D4C9A8" w:sz="2"/>
              <w:bottom w:val="single" w:color="D4C9A8" w:sz="2"/>
              <w:right w:val="single" w:color="D4C9A8" w:sz="2"/>
            </w:tcBorders>
            <w:shd w:fill="FFFFFF"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$4,573,000</w:t>
            </w:r>
          </w:p>
        </w:tc>
      </w:tr>
    </w:tbl>
    <w:p>
      <w:pPr>
        <w:spacing w:before="120"/>
      </w:pPr>
    </w:p>
    <w:p>
      <w:pPr>
        <w:spacing w:before="280" w:after="100"/>
      </w:pPr>
      <w:r>
        <w:rPr>
          <w:rFonts w:ascii="Arial" w:cs="Arial" w:eastAsia="Arial" w:hAnsi="Arial"/>
          <w:b/>
          <w:bCs/>
          <w:color w:val="B8150C"/>
          <w:sz w:val="26"/>
          <w:szCs w:val="26"/>
        </w:rPr>
        <w:t xml:space="preserve">Seven-Year P&amp;L (Base Case)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560"/>
        <w:gridCol w:w="1560"/>
        <w:gridCol w:w="1560"/>
        <w:gridCol w:w="1560"/>
        <w:gridCol w:w="1560"/>
        <w:gridCol w:w="1560"/>
      </w:tblGrid>
      <w:tr>
        <w:tc>
          <w:tcPr>
            <w:tcBorders>
              <w:top w:val="single" w:color="D4C9A8" w:sz="2"/>
              <w:left w:val="single" w:color="D4C9A8" w:sz="2"/>
              <w:bottom w:val="single" w:color="D4C9A8" w:sz="2"/>
              <w:right w:val="single" w:color="D4C9A8" w:sz="2"/>
            </w:tcBorders>
            <w:shd w:fill="1C0C04" w:val="clear"/>
            <w:tcMar>
              <w:top w:type="dxa" w:w="120"/>
              <w:left w:type="dxa" w:w="160"/>
              <w:bottom w:type="dxa" w:w="120"/>
              <w:right w:type="dxa" w:w="160"/>
            </w:tcMar>
            <w:vAlign w:val="center"/>
          </w:tcPr>
          <w:p>
            <w:pPr>
              <w:jc w:val="left"/>
            </w:pPr>
            <w:r>
              <w:rPr>
                <w:rFonts w:ascii="Arial" w:cs="Arial" w:eastAsia="Arial" w:hAnsi="Arial"/>
                <w:b/>
                <w:bCs/>
                <w:color w:val="FFFFFF"/>
                <w:sz w:val="20"/>
                <w:szCs w:val="20"/>
              </w:rPr>
              <w:t xml:space="preserve">Revenue / Metric</w:t>
            </w:r>
          </w:p>
        </w:tc>
        <w:tc>
          <w:tcPr>
            <w:tcBorders>
              <w:top w:val="single" w:color="D4C9A8" w:sz="2"/>
              <w:left w:val="single" w:color="D4C9A8" w:sz="2"/>
              <w:bottom w:val="single" w:color="D4C9A8" w:sz="2"/>
              <w:right w:val="single" w:color="D4C9A8" w:sz="2"/>
            </w:tcBorders>
            <w:shd w:fill="1C0C04" w:val="clear"/>
            <w:tcMar>
              <w:top w:type="dxa" w:w="120"/>
              <w:left w:type="dxa" w:w="160"/>
              <w:bottom w:type="dxa" w:w="120"/>
              <w:right w:type="dxa" w:w="160"/>
            </w:tcMar>
            <w:vAlign w:val="center"/>
          </w:tcPr>
          <w:p>
            <w:pPr>
              <w:jc w:val="center"/>
            </w:pPr>
            <w:r>
              <w:rPr>
                <w:rFonts w:ascii="Arial" w:cs="Arial" w:eastAsia="Arial" w:hAnsi="Arial"/>
                <w:b/>
                <w:bCs/>
                <w:color w:val="FFFFFF"/>
                <w:sz w:val="20"/>
                <w:szCs w:val="20"/>
              </w:rPr>
              <w:t xml:space="preserve">Y1 (2027)</w:t>
            </w:r>
          </w:p>
        </w:tc>
        <w:tc>
          <w:tcPr>
            <w:tcBorders>
              <w:top w:val="single" w:color="D4C9A8" w:sz="2"/>
              <w:left w:val="single" w:color="D4C9A8" w:sz="2"/>
              <w:bottom w:val="single" w:color="D4C9A8" w:sz="2"/>
              <w:right w:val="single" w:color="D4C9A8" w:sz="2"/>
            </w:tcBorders>
            <w:shd w:fill="1C0C04" w:val="clear"/>
            <w:tcMar>
              <w:top w:type="dxa" w:w="120"/>
              <w:left w:type="dxa" w:w="160"/>
              <w:bottom w:type="dxa" w:w="120"/>
              <w:right w:type="dxa" w:w="160"/>
            </w:tcMar>
            <w:vAlign w:val="center"/>
          </w:tcPr>
          <w:p>
            <w:pPr>
              <w:jc w:val="center"/>
            </w:pPr>
            <w:r>
              <w:rPr>
                <w:rFonts w:ascii="Arial" w:cs="Arial" w:eastAsia="Arial" w:hAnsi="Arial"/>
                <w:b/>
                <w:bCs/>
                <w:color w:val="FFFFFF"/>
                <w:sz w:val="20"/>
                <w:szCs w:val="20"/>
              </w:rPr>
              <w:t xml:space="preserve">Y2 (2028)</w:t>
            </w:r>
          </w:p>
        </w:tc>
        <w:tc>
          <w:tcPr>
            <w:tcBorders>
              <w:top w:val="single" w:color="D4C9A8" w:sz="2"/>
              <w:left w:val="single" w:color="D4C9A8" w:sz="2"/>
              <w:bottom w:val="single" w:color="D4C9A8" w:sz="2"/>
              <w:right w:val="single" w:color="D4C9A8" w:sz="2"/>
            </w:tcBorders>
            <w:shd w:fill="1C0C04" w:val="clear"/>
            <w:tcMar>
              <w:top w:type="dxa" w:w="120"/>
              <w:left w:type="dxa" w:w="160"/>
              <w:bottom w:type="dxa" w:w="120"/>
              <w:right w:type="dxa" w:w="160"/>
            </w:tcMar>
            <w:vAlign w:val="center"/>
          </w:tcPr>
          <w:p>
            <w:pPr>
              <w:jc w:val="center"/>
            </w:pPr>
            <w:r>
              <w:rPr>
                <w:rFonts w:ascii="Arial" w:cs="Arial" w:eastAsia="Arial" w:hAnsi="Arial"/>
                <w:b/>
                <w:bCs/>
                <w:color w:val="FFFFFF"/>
                <w:sz w:val="20"/>
                <w:szCs w:val="20"/>
              </w:rPr>
              <w:t xml:space="preserve">Y3 (2029)</w:t>
            </w:r>
          </w:p>
        </w:tc>
        <w:tc>
          <w:tcPr>
            <w:tcBorders>
              <w:top w:val="single" w:color="D4C9A8" w:sz="2"/>
              <w:left w:val="single" w:color="D4C9A8" w:sz="2"/>
              <w:bottom w:val="single" w:color="D4C9A8" w:sz="2"/>
              <w:right w:val="single" w:color="D4C9A8" w:sz="2"/>
            </w:tcBorders>
            <w:shd w:fill="1C0C04" w:val="clear"/>
            <w:tcMar>
              <w:top w:type="dxa" w:w="120"/>
              <w:left w:type="dxa" w:w="160"/>
              <w:bottom w:type="dxa" w:w="120"/>
              <w:right w:type="dxa" w:w="160"/>
            </w:tcMar>
            <w:vAlign w:val="center"/>
          </w:tcPr>
          <w:p>
            <w:pPr>
              <w:jc w:val="center"/>
            </w:pPr>
            <w:r>
              <w:rPr>
                <w:rFonts w:ascii="Arial" w:cs="Arial" w:eastAsia="Arial" w:hAnsi="Arial"/>
                <w:b/>
                <w:bCs/>
                <w:color w:val="FFFFFF"/>
                <w:sz w:val="20"/>
                <w:szCs w:val="20"/>
              </w:rPr>
              <w:t xml:space="preserve">Y5 (2031)</w:t>
            </w:r>
          </w:p>
        </w:tc>
        <w:tc>
          <w:tcPr>
            <w:tcBorders>
              <w:top w:val="single" w:color="D4C9A8" w:sz="2"/>
              <w:left w:val="single" w:color="D4C9A8" w:sz="2"/>
              <w:bottom w:val="single" w:color="D4C9A8" w:sz="2"/>
              <w:right w:val="single" w:color="D4C9A8" w:sz="2"/>
            </w:tcBorders>
            <w:shd w:fill="1C0C04" w:val="clear"/>
            <w:tcMar>
              <w:top w:type="dxa" w:w="120"/>
              <w:left w:type="dxa" w:w="160"/>
              <w:bottom w:type="dxa" w:w="120"/>
              <w:right w:type="dxa" w:w="160"/>
            </w:tcMar>
            <w:vAlign w:val="center"/>
          </w:tcPr>
          <w:p>
            <w:pPr>
              <w:jc w:val="center"/>
            </w:pPr>
            <w:r>
              <w:rPr>
                <w:rFonts w:ascii="Arial" w:cs="Arial" w:eastAsia="Arial" w:hAnsi="Arial"/>
                <w:b/>
                <w:bCs/>
                <w:color w:val="FFFFFF"/>
                <w:sz w:val="20"/>
                <w:szCs w:val="20"/>
              </w:rPr>
              <w:t xml:space="preserve">Y7 (2033)</w:t>
            </w:r>
          </w:p>
        </w:tc>
      </w:tr>
      <w:tr>
        <w:tc>
          <w:tcPr>
            <w:tcBorders>
              <w:top w:val="single" w:color="D4C9A8" w:sz="2"/>
              <w:left w:val="single" w:color="D4C9A8" w:sz="2"/>
              <w:bottom w:val="single" w:color="D4C9A8" w:sz="2"/>
              <w:right w:val="single" w:color="D4C9A8" w:sz="2"/>
            </w:tcBorders>
            <w:shd w:fill="FFFFFF" w:val="clear"/>
            <w:tcMar>
              <w:top w:type="dxa" w:w="120"/>
              <w:left w:type="dxa" w:w="160"/>
              <w:bottom w:type="dxa" w:w="120"/>
              <w:right w:type="dxa" w:w="160"/>
            </w:tcMar>
            <w:vAlign w:val="center"/>
          </w:tcPr>
          <w:p>
            <w:pPr>
              <w:jc w:val="left"/>
            </w:pPr>
            <w:r>
              <w:rPr>
                <w:rFonts w:ascii="Arial" w:cs="Arial" w:eastAsia="Arial" w:hAnsi="Arial"/>
                <w:b/>
                <w:bCs/>
                <w:color w:val="1C0C04"/>
                <w:sz w:val="22"/>
                <w:szCs w:val="22"/>
              </w:rPr>
              <w:t xml:space="preserve">Zone A — Rehearsal</w:t>
            </w:r>
          </w:p>
        </w:tc>
        <w:tc>
          <w:tcPr>
            <w:tcBorders>
              <w:top w:val="single" w:color="D4C9A8" w:sz="2"/>
              <w:left w:val="single" w:color="D4C9A8" w:sz="2"/>
              <w:bottom w:val="single" w:color="D4C9A8" w:sz="2"/>
              <w:right w:val="single" w:color="D4C9A8" w:sz="2"/>
            </w:tcBorders>
            <w:shd w:fill="FFFFFF"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$876K</w:t>
            </w:r>
          </w:p>
        </w:tc>
        <w:tc>
          <w:tcPr>
            <w:tcBorders>
              <w:top w:val="single" w:color="D4C9A8" w:sz="2"/>
              <w:left w:val="single" w:color="D4C9A8" w:sz="2"/>
              <w:bottom w:val="single" w:color="D4C9A8" w:sz="2"/>
              <w:right w:val="single" w:color="D4C9A8" w:sz="2"/>
            </w:tcBorders>
            <w:shd w:fill="FFFFFF"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$1,372K</w:t>
            </w:r>
          </w:p>
        </w:tc>
        <w:tc>
          <w:tcPr>
            <w:tcBorders>
              <w:top w:val="single" w:color="D4C9A8" w:sz="2"/>
              <w:left w:val="single" w:color="D4C9A8" w:sz="2"/>
              <w:bottom w:val="single" w:color="D4C9A8" w:sz="2"/>
              <w:right w:val="single" w:color="D4C9A8" w:sz="2"/>
            </w:tcBorders>
            <w:shd w:fill="FFFFFF"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$1,814K</w:t>
            </w:r>
          </w:p>
        </w:tc>
        <w:tc>
          <w:tcPr>
            <w:tcBorders>
              <w:top w:val="single" w:color="D4C9A8" w:sz="2"/>
              <w:left w:val="single" w:color="D4C9A8" w:sz="2"/>
              <w:bottom w:val="single" w:color="D4C9A8" w:sz="2"/>
              <w:right w:val="single" w:color="D4C9A8" w:sz="2"/>
            </w:tcBorders>
            <w:shd w:fill="FFFFFF"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$1,925K</w:t>
            </w:r>
          </w:p>
        </w:tc>
        <w:tc>
          <w:tcPr>
            <w:tcBorders>
              <w:top w:val="single" w:color="D4C9A8" w:sz="2"/>
              <w:left w:val="single" w:color="D4C9A8" w:sz="2"/>
              <w:bottom w:val="single" w:color="D4C9A8" w:sz="2"/>
              <w:right w:val="single" w:color="D4C9A8" w:sz="2"/>
            </w:tcBorders>
            <w:shd w:fill="FFFFFF"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$2,036K</w:t>
            </w:r>
          </w:p>
        </w:tc>
      </w:tr>
      <w:tr>
        <w:tc>
          <w:tcPr>
            <w:tcBorders>
              <w:top w:val="single" w:color="D4C9A8" w:sz="2"/>
              <w:left w:val="single" w:color="D4C9A8" w:sz="2"/>
              <w:bottom w:val="single" w:color="D4C9A8" w:sz="2"/>
              <w:right w:val="single" w:color="D4C9A8" w:sz="2"/>
            </w:tcBorders>
            <w:shd w:fill="F2F2F2" w:val="clear"/>
            <w:tcMar>
              <w:top w:type="dxa" w:w="120"/>
              <w:left w:type="dxa" w:w="160"/>
              <w:bottom w:type="dxa" w:w="120"/>
              <w:right w:type="dxa" w:w="160"/>
            </w:tcMar>
            <w:vAlign w:val="center"/>
          </w:tcPr>
          <w:p>
            <w:pPr>
              <w:jc w:val="left"/>
            </w:pPr>
            <w:r>
              <w:rPr>
                <w:rFonts w:ascii="Arial" w:cs="Arial" w:eastAsia="Arial" w:hAnsi="Arial"/>
                <w:b/>
                <w:bCs/>
                <w:color w:val="1C0C04"/>
                <w:sz w:val="22"/>
                <w:szCs w:val="22"/>
              </w:rPr>
              <w:t xml:space="preserve">Zone B — Production</w:t>
            </w:r>
          </w:p>
        </w:tc>
        <w:tc>
          <w:tcPr>
            <w:tcBorders>
              <w:top w:val="single" w:color="D4C9A8" w:sz="2"/>
              <w:left w:val="single" w:color="D4C9A8" w:sz="2"/>
              <w:bottom w:val="single" w:color="D4C9A8" w:sz="2"/>
              <w:right w:val="single" w:color="D4C9A8" w:sz="2"/>
            </w:tcBorders>
            <w:shd w:fill="F2F2F2"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$352K</w:t>
            </w:r>
          </w:p>
        </w:tc>
        <w:tc>
          <w:tcPr>
            <w:tcBorders>
              <w:top w:val="single" w:color="D4C9A8" w:sz="2"/>
              <w:left w:val="single" w:color="D4C9A8" w:sz="2"/>
              <w:bottom w:val="single" w:color="D4C9A8" w:sz="2"/>
              <w:right w:val="single" w:color="D4C9A8" w:sz="2"/>
            </w:tcBorders>
            <w:shd w:fill="F2F2F2"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$505K</w:t>
            </w:r>
          </w:p>
        </w:tc>
        <w:tc>
          <w:tcPr>
            <w:tcBorders>
              <w:top w:val="single" w:color="D4C9A8" w:sz="2"/>
              <w:left w:val="single" w:color="D4C9A8" w:sz="2"/>
              <w:bottom w:val="single" w:color="D4C9A8" w:sz="2"/>
              <w:right w:val="single" w:color="D4C9A8" w:sz="2"/>
            </w:tcBorders>
            <w:shd w:fill="F2F2F2"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$626K</w:t>
            </w:r>
          </w:p>
        </w:tc>
        <w:tc>
          <w:tcPr>
            <w:tcBorders>
              <w:top w:val="single" w:color="D4C9A8" w:sz="2"/>
              <w:left w:val="single" w:color="D4C9A8" w:sz="2"/>
              <w:bottom w:val="single" w:color="D4C9A8" w:sz="2"/>
              <w:right w:val="single" w:color="D4C9A8" w:sz="2"/>
            </w:tcBorders>
            <w:shd w:fill="F2F2F2"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$691K</w:t>
            </w:r>
          </w:p>
        </w:tc>
        <w:tc>
          <w:tcPr>
            <w:tcBorders>
              <w:top w:val="single" w:color="D4C9A8" w:sz="2"/>
              <w:left w:val="single" w:color="D4C9A8" w:sz="2"/>
              <w:bottom w:val="single" w:color="D4C9A8" w:sz="2"/>
              <w:right w:val="single" w:color="D4C9A8" w:sz="2"/>
            </w:tcBorders>
            <w:shd w:fill="F2F2F2"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$761K</w:t>
            </w:r>
          </w:p>
        </w:tc>
      </w:tr>
      <w:tr>
        <w:tc>
          <w:tcPr>
            <w:tcBorders>
              <w:top w:val="single" w:color="D4C9A8" w:sz="2"/>
              <w:left w:val="single" w:color="D4C9A8" w:sz="2"/>
              <w:bottom w:val="single" w:color="D4C9A8" w:sz="2"/>
              <w:right w:val="single" w:color="D4C9A8" w:sz="2"/>
            </w:tcBorders>
            <w:shd w:fill="FFFFFF" w:val="clear"/>
            <w:tcMar>
              <w:top w:type="dxa" w:w="120"/>
              <w:left w:type="dxa" w:w="160"/>
              <w:bottom w:type="dxa" w:w="120"/>
              <w:right w:type="dxa" w:w="160"/>
            </w:tcMar>
            <w:vAlign w:val="center"/>
          </w:tcPr>
          <w:p>
            <w:pPr>
              <w:jc w:val="left"/>
            </w:pPr>
            <w:r>
              <w:rPr>
                <w:rFonts w:ascii="Arial" w:cs="Arial" w:eastAsia="Arial" w:hAnsi="Arial"/>
                <w:b/>
                <w:bCs/>
                <w:color w:val="1C0C04"/>
                <w:sz w:val="22"/>
                <w:szCs w:val="22"/>
              </w:rPr>
              <w:t xml:space="preserve">Zone C — Creator Studios</w:t>
            </w:r>
          </w:p>
        </w:tc>
        <w:tc>
          <w:tcPr>
            <w:tcBorders>
              <w:top w:val="single" w:color="D4C9A8" w:sz="2"/>
              <w:left w:val="single" w:color="D4C9A8" w:sz="2"/>
              <w:bottom w:val="single" w:color="D4C9A8" w:sz="2"/>
              <w:right w:val="single" w:color="D4C9A8" w:sz="2"/>
            </w:tcBorders>
            <w:shd w:fill="FFFFFF"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$175K</w:t>
            </w:r>
          </w:p>
        </w:tc>
        <w:tc>
          <w:tcPr>
            <w:tcBorders>
              <w:top w:val="single" w:color="D4C9A8" w:sz="2"/>
              <w:left w:val="single" w:color="D4C9A8" w:sz="2"/>
              <w:bottom w:val="single" w:color="D4C9A8" w:sz="2"/>
              <w:right w:val="single" w:color="D4C9A8" w:sz="2"/>
            </w:tcBorders>
            <w:shd w:fill="FFFFFF"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$275K</w:t>
            </w:r>
          </w:p>
        </w:tc>
        <w:tc>
          <w:tcPr>
            <w:tcBorders>
              <w:top w:val="single" w:color="D4C9A8" w:sz="2"/>
              <w:left w:val="single" w:color="D4C9A8" w:sz="2"/>
              <w:bottom w:val="single" w:color="D4C9A8" w:sz="2"/>
              <w:right w:val="single" w:color="D4C9A8" w:sz="2"/>
            </w:tcBorders>
            <w:shd w:fill="FFFFFF"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$329K</w:t>
            </w:r>
          </w:p>
        </w:tc>
        <w:tc>
          <w:tcPr>
            <w:tcBorders>
              <w:top w:val="single" w:color="D4C9A8" w:sz="2"/>
              <w:left w:val="single" w:color="D4C9A8" w:sz="2"/>
              <w:bottom w:val="single" w:color="D4C9A8" w:sz="2"/>
              <w:right w:val="single" w:color="D4C9A8" w:sz="2"/>
            </w:tcBorders>
            <w:shd w:fill="FFFFFF"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$355K</w:t>
            </w:r>
          </w:p>
        </w:tc>
        <w:tc>
          <w:tcPr>
            <w:tcBorders>
              <w:top w:val="single" w:color="D4C9A8" w:sz="2"/>
              <w:left w:val="single" w:color="D4C9A8" w:sz="2"/>
              <w:bottom w:val="single" w:color="D4C9A8" w:sz="2"/>
              <w:right w:val="single" w:color="D4C9A8" w:sz="2"/>
            </w:tcBorders>
            <w:shd w:fill="FFFFFF"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$381K</w:t>
            </w:r>
          </w:p>
        </w:tc>
      </w:tr>
      <w:tr>
        <w:tc>
          <w:tcPr>
            <w:tcBorders>
              <w:top w:val="single" w:color="D4C9A8" w:sz="2"/>
              <w:left w:val="single" w:color="D4C9A8" w:sz="2"/>
              <w:bottom w:val="single" w:color="D4C9A8" w:sz="2"/>
              <w:right w:val="single" w:color="D4C9A8" w:sz="2"/>
            </w:tcBorders>
            <w:shd w:fill="F2F2F2" w:val="clear"/>
            <w:tcMar>
              <w:top w:type="dxa" w:w="120"/>
              <w:left w:type="dxa" w:w="160"/>
              <w:bottom w:type="dxa" w:w="120"/>
              <w:right w:type="dxa" w:w="160"/>
            </w:tcMar>
            <w:vAlign w:val="center"/>
          </w:tcPr>
          <w:p>
            <w:pPr>
              <w:jc w:val="left"/>
            </w:pPr>
            <w:r>
              <w:rPr>
                <w:rFonts w:ascii="Arial" w:cs="Arial" w:eastAsia="Arial" w:hAnsi="Arial"/>
                <w:b/>
                <w:bCs/>
                <w:color w:val="1C0C04"/>
                <w:sz w:val="22"/>
                <w:szCs w:val="22"/>
              </w:rPr>
              <w:t xml:space="preserve">Zone D — Coffee/Bar/Stage</w:t>
            </w:r>
          </w:p>
        </w:tc>
        <w:tc>
          <w:tcPr>
            <w:tcBorders>
              <w:top w:val="single" w:color="D4C9A8" w:sz="2"/>
              <w:left w:val="single" w:color="D4C9A8" w:sz="2"/>
              <w:bottom w:val="single" w:color="D4C9A8" w:sz="2"/>
              <w:right w:val="single" w:color="D4C9A8" w:sz="2"/>
            </w:tcBorders>
            <w:shd w:fill="F2F2F2"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$82.5K</w:t>
            </w:r>
          </w:p>
        </w:tc>
        <w:tc>
          <w:tcPr>
            <w:tcBorders>
              <w:top w:val="single" w:color="D4C9A8" w:sz="2"/>
              <w:left w:val="single" w:color="D4C9A8" w:sz="2"/>
              <w:bottom w:val="single" w:color="D4C9A8" w:sz="2"/>
              <w:right w:val="single" w:color="D4C9A8" w:sz="2"/>
            </w:tcBorders>
            <w:shd w:fill="F2F2F2"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$84K</w:t>
            </w:r>
          </w:p>
        </w:tc>
        <w:tc>
          <w:tcPr>
            <w:tcBorders>
              <w:top w:val="single" w:color="D4C9A8" w:sz="2"/>
              <w:left w:val="single" w:color="D4C9A8" w:sz="2"/>
              <w:bottom w:val="single" w:color="D4C9A8" w:sz="2"/>
              <w:right w:val="single" w:color="D4C9A8" w:sz="2"/>
            </w:tcBorders>
            <w:shd w:fill="F2F2F2"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$86K</w:t>
            </w:r>
          </w:p>
        </w:tc>
        <w:tc>
          <w:tcPr>
            <w:tcBorders>
              <w:top w:val="single" w:color="D4C9A8" w:sz="2"/>
              <w:left w:val="single" w:color="D4C9A8" w:sz="2"/>
              <w:bottom w:val="single" w:color="D4C9A8" w:sz="2"/>
              <w:right w:val="single" w:color="D4C9A8" w:sz="2"/>
            </w:tcBorders>
            <w:shd w:fill="F2F2F2"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$89K</w:t>
            </w:r>
          </w:p>
        </w:tc>
        <w:tc>
          <w:tcPr>
            <w:tcBorders>
              <w:top w:val="single" w:color="D4C9A8" w:sz="2"/>
              <w:left w:val="single" w:color="D4C9A8" w:sz="2"/>
              <w:bottom w:val="single" w:color="D4C9A8" w:sz="2"/>
              <w:right w:val="single" w:color="D4C9A8" w:sz="2"/>
            </w:tcBorders>
            <w:shd w:fill="F2F2F2"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$93K</w:t>
            </w:r>
          </w:p>
        </w:tc>
      </w:tr>
      <w:tr>
        <w:tc>
          <w:tcPr>
            <w:tcBorders>
              <w:top w:val="single" w:color="D4C9A8" w:sz="2"/>
              <w:left w:val="single" w:color="D4C9A8" w:sz="2"/>
              <w:bottom w:val="single" w:color="D4C9A8" w:sz="2"/>
              <w:right w:val="single" w:color="D4C9A8" w:sz="2"/>
            </w:tcBorders>
            <w:shd w:fill="FFFFFF" w:val="clear"/>
            <w:tcMar>
              <w:top w:type="dxa" w:w="120"/>
              <w:left w:type="dxa" w:w="160"/>
              <w:bottom w:type="dxa" w:w="120"/>
              <w:right w:type="dxa" w:w="160"/>
            </w:tcMar>
            <w:vAlign w:val="center"/>
          </w:tcPr>
          <w:p>
            <w:pPr>
              <w:jc w:val="left"/>
            </w:pPr>
            <w:r>
              <w:rPr>
                <w:rFonts w:ascii="Arial" w:cs="Arial" w:eastAsia="Arial" w:hAnsi="Arial"/>
                <w:b/>
                <w:bCs/>
                <w:color w:val="1C0C04"/>
                <w:sz w:val="22"/>
                <w:szCs w:val="22"/>
              </w:rPr>
              <w:t xml:space="preserve">Zone E — Coworking</w:t>
            </w:r>
          </w:p>
        </w:tc>
        <w:tc>
          <w:tcPr>
            <w:tcBorders>
              <w:top w:val="single" w:color="D4C9A8" w:sz="2"/>
              <w:left w:val="single" w:color="D4C9A8" w:sz="2"/>
              <w:bottom w:val="single" w:color="D4C9A8" w:sz="2"/>
              <w:right w:val="single" w:color="D4C9A8" w:sz="2"/>
            </w:tcBorders>
            <w:shd w:fill="FFFFFF"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$192K</w:t>
            </w:r>
          </w:p>
        </w:tc>
        <w:tc>
          <w:tcPr>
            <w:tcBorders>
              <w:top w:val="single" w:color="D4C9A8" w:sz="2"/>
              <w:left w:val="single" w:color="D4C9A8" w:sz="2"/>
              <w:bottom w:val="single" w:color="D4C9A8" w:sz="2"/>
              <w:right w:val="single" w:color="D4C9A8" w:sz="2"/>
            </w:tcBorders>
            <w:shd w:fill="FFFFFF"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$261K</w:t>
            </w:r>
          </w:p>
        </w:tc>
        <w:tc>
          <w:tcPr>
            <w:tcBorders>
              <w:top w:val="single" w:color="D4C9A8" w:sz="2"/>
              <w:left w:val="single" w:color="D4C9A8" w:sz="2"/>
              <w:bottom w:val="single" w:color="D4C9A8" w:sz="2"/>
              <w:right w:val="single" w:color="D4C9A8" w:sz="2"/>
            </w:tcBorders>
            <w:shd w:fill="FFFFFF"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$304K</w:t>
            </w:r>
          </w:p>
        </w:tc>
        <w:tc>
          <w:tcPr>
            <w:tcBorders>
              <w:top w:val="single" w:color="D4C9A8" w:sz="2"/>
              <w:left w:val="single" w:color="D4C9A8" w:sz="2"/>
              <w:bottom w:val="single" w:color="D4C9A8" w:sz="2"/>
              <w:right w:val="single" w:color="D4C9A8" w:sz="2"/>
            </w:tcBorders>
            <w:shd w:fill="FFFFFF"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$329K</w:t>
            </w:r>
          </w:p>
        </w:tc>
        <w:tc>
          <w:tcPr>
            <w:tcBorders>
              <w:top w:val="single" w:color="D4C9A8" w:sz="2"/>
              <w:left w:val="single" w:color="D4C9A8" w:sz="2"/>
              <w:bottom w:val="single" w:color="D4C9A8" w:sz="2"/>
              <w:right w:val="single" w:color="D4C9A8" w:sz="2"/>
            </w:tcBorders>
            <w:shd w:fill="FFFFFF"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$356K</w:t>
            </w:r>
          </w:p>
        </w:tc>
      </w:tr>
      <w:tr>
        <w:tc>
          <w:tcPr>
            <w:tcBorders>
              <w:top w:val="single" w:color="D4C9A8" w:sz="2"/>
              <w:left w:val="single" w:color="D4C9A8" w:sz="2"/>
              <w:bottom w:val="single" w:color="D4C9A8" w:sz="2"/>
              <w:right w:val="single" w:color="D4C9A8" w:sz="2"/>
            </w:tcBorders>
            <w:shd w:fill="F2F2F2" w:val="clear"/>
            <w:tcMar>
              <w:top w:type="dxa" w:w="120"/>
              <w:left w:type="dxa" w:w="160"/>
              <w:bottom w:type="dxa" w:w="120"/>
              <w:right w:type="dxa" w:w="160"/>
            </w:tcMar>
            <w:vAlign w:val="center"/>
          </w:tcPr>
          <w:p>
            <w:pPr>
              <w:jc w:val="left"/>
            </w:pPr>
            <w:r>
              <w:rPr>
                <w:rFonts w:ascii="Arial" w:cs="Arial" w:eastAsia="Arial" w:hAnsi="Arial"/>
                <w:b/>
                <w:bCs/>
                <w:color w:val="1C0C04"/>
                <w:sz w:val="22"/>
                <w:szCs w:val="22"/>
              </w:rPr>
              <w:t xml:space="preserve">Zone F — Venue &amp; Bar</w:t>
            </w:r>
          </w:p>
        </w:tc>
        <w:tc>
          <w:tcPr>
            <w:tcBorders>
              <w:top w:val="single" w:color="D4C9A8" w:sz="2"/>
              <w:left w:val="single" w:color="D4C9A8" w:sz="2"/>
              <w:bottom w:val="single" w:color="D4C9A8" w:sz="2"/>
              <w:right w:val="single" w:color="D4C9A8" w:sz="2"/>
            </w:tcBorders>
            <w:shd w:fill="F2F2F2"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$369K</w:t>
            </w:r>
          </w:p>
        </w:tc>
        <w:tc>
          <w:tcPr>
            <w:tcBorders>
              <w:top w:val="single" w:color="D4C9A8" w:sz="2"/>
              <w:left w:val="single" w:color="D4C9A8" w:sz="2"/>
              <w:bottom w:val="single" w:color="D4C9A8" w:sz="2"/>
              <w:right w:val="single" w:color="D4C9A8" w:sz="2"/>
            </w:tcBorders>
            <w:shd w:fill="F2F2F2"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$573K</w:t>
            </w:r>
          </w:p>
        </w:tc>
        <w:tc>
          <w:tcPr>
            <w:tcBorders>
              <w:top w:val="single" w:color="D4C9A8" w:sz="2"/>
              <w:left w:val="single" w:color="D4C9A8" w:sz="2"/>
              <w:bottom w:val="single" w:color="D4C9A8" w:sz="2"/>
              <w:right w:val="single" w:color="D4C9A8" w:sz="2"/>
            </w:tcBorders>
            <w:shd w:fill="F2F2F2"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$769K</w:t>
            </w:r>
          </w:p>
        </w:tc>
        <w:tc>
          <w:tcPr>
            <w:tcBorders>
              <w:top w:val="single" w:color="D4C9A8" w:sz="2"/>
              <w:left w:val="single" w:color="D4C9A8" w:sz="2"/>
              <w:bottom w:val="single" w:color="D4C9A8" w:sz="2"/>
              <w:right w:val="single" w:color="D4C9A8" w:sz="2"/>
            </w:tcBorders>
            <w:shd w:fill="F2F2F2"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$932K</w:t>
            </w:r>
          </w:p>
        </w:tc>
        <w:tc>
          <w:tcPr>
            <w:tcBorders>
              <w:top w:val="single" w:color="D4C9A8" w:sz="2"/>
              <w:left w:val="single" w:color="D4C9A8" w:sz="2"/>
              <w:bottom w:val="single" w:color="D4C9A8" w:sz="2"/>
              <w:right w:val="single" w:color="D4C9A8" w:sz="2"/>
            </w:tcBorders>
            <w:shd w:fill="F2F2F2"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$1,082K</w:t>
            </w:r>
          </w:p>
        </w:tc>
      </w:tr>
      <w:tr>
        <w:tc>
          <w:tcPr>
            <w:tcBorders>
              <w:top w:val="single" w:color="D4C9A8" w:sz="2"/>
              <w:left w:val="single" w:color="D4C9A8" w:sz="2"/>
              <w:bottom w:val="single" w:color="D4C9A8" w:sz="2"/>
              <w:right w:val="single" w:color="D4C9A8" w:sz="2"/>
            </w:tcBorders>
            <w:shd w:fill="FFFFFF" w:val="clear"/>
            <w:tcMar>
              <w:top w:type="dxa" w:w="120"/>
              <w:left w:type="dxa" w:w="160"/>
              <w:bottom w:type="dxa" w:w="120"/>
              <w:right w:type="dxa" w:w="160"/>
            </w:tcMar>
            <w:vAlign w:val="center"/>
          </w:tcPr>
          <w:p>
            <w:pPr>
              <w:jc w:val="left"/>
            </w:pPr>
            <w:r>
              <w:rPr>
                <w:rFonts w:ascii="Arial" w:cs="Arial" w:eastAsia="Arial" w:hAnsi="Arial"/>
                <w:b/>
                <w:bCs/>
                <w:color w:val="1C0C04"/>
                <w:sz w:val="22"/>
                <w:szCs w:val="22"/>
              </w:rPr>
              <w:t xml:space="preserve">Zone G + Consignment + Gear + Membership</w:t>
            </w:r>
          </w:p>
        </w:tc>
        <w:tc>
          <w:tcPr>
            <w:tcBorders>
              <w:top w:val="single" w:color="D4C9A8" w:sz="2"/>
              <w:left w:val="single" w:color="D4C9A8" w:sz="2"/>
              <w:bottom w:val="single" w:color="D4C9A8" w:sz="2"/>
              <w:right w:val="single" w:color="D4C9A8" w:sz="2"/>
            </w:tcBorders>
            <w:shd w:fill="FFFFFF"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$212K</w:t>
            </w:r>
          </w:p>
        </w:tc>
        <w:tc>
          <w:tcPr>
            <w:tcBorders>
              <w:top w:val="single" w:color="D4C9A8" w:sz="2"/>
              <w:left w:val="single" w:color="D4C9A8" w:sz="2"/>
              <w:bottom w:val="single" w:color="D4C9A8" w:sz="2"/>
              <w:right w:val="single" w:color="D4C9A8" w:sz="2"/>
            </w:tcBorders>
            <w:shd w:fill="FFFFFF"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$297K</w:t>
            </w:r>
          </w:p>
        </w:tc>
        <w:tc>
          <w:tcPr>
            <w:tcBorders>
              <w:top w:val="single" w:color="D4C9A8" w:sz="2"/>
              <w:left w:val="single" w:color="D4C9A8" w:sz="2"/>
              <w:bottom w:val="single" w:color="D4C9A8" w:sz="2"/>
              <w:right w:val="single" w:color="D4C9A8" w:sz="2"/>
            </w:tcBorders>
            <w:shd w:fill="FFFFFF"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$422K</w:t>
            </w:r>
          </w:p>
        </w:tc>
        <w:tc>
          <w:tcPr>
            <w:tcBorders>
              <w:top w:val="single" w:color="D4C9A8" w:sz="2"/>
              <w:left w:val="single" w:color="D4C9A8" w:sz="2"/>
              <w:bottom w:val="single" w:color="D4C9A8" w:sz="2"/>
              <w:right w:val="single" w:color="D4C9A8" w:sz="2"/>
            </w:tcBorders>
            <w:shd w:fill="FFFFFF"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$575K</w:t>
            </w:r>
          </w:p>
        </w:tc>
        <w:tc>
          <w:tcPr>
            <w:tcBorders>
              <w:top w:val="single" w:color="D4C9A8" w:sz="2"/>
              <w:left w:val="single" w:color="D4C9A8" w:sz="2"/>
              <w:bottom w:val="single" w:color="D4C9A8" w:sz="2"/>
              <w:right w:val="single" w:color="D4C9A8" w:sz="2"/>
            </w:tcBorders>
            <w:shd w:fill="FFFFFF"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$684K</w:t>
            </w:r>
          </w:p>
        </w:tc>
      </w:tr>
      <w:tr>
        <w:tc>
          <w:tcPr>
            <w:tcBorders>
              <w:top w:val="single" w:color="D4C9A8" w:sz="2"/>
              <w:left w:val="single" w:color="D4C9A8" w:sz="2"/>
              <w:bottom w:val="single" w:color="D4C9A8" w:sz="2"/>
              <w:right w:val="single" w:color="D4C9A8" w:sz="2"/>
            </w:tcBorders>
            <w:shd w:fill="F2F2F2" w:val="clear"/>
            <w:tcMar>
              <w:top w:type="dxa" w:w="120"/>
              <w:left w:type="dxa" w:w="160"/>
              <w:bottom w:type="dxa" w:w="120"/>
              <w:right w:type="dxa" w:w="160"/>
            </w:tcMar>
            <w:vAlign w:val="center"/>
          </w:tcPr>
          <w:p>
            <w:pPr>
              <w:jc w:val="left"/>
            </w:pPr>
            <w:r>
              <w:rPr>
                <w:rFonts w:ascii="Arial" w:cs="Arial" w:eastAsia="Arial" w:hAnsi="Arial"/>
                <w:b/>
                <w:bCs/>
                <w:color w:val="1C0C04"/>
                <w:sz w:val="22"/>
                <w:szCs w:val="22"/>
              </w:rPr>
              <w:t xml:space="preserve">TOTAL REVENUE</w:t>
            </w:r>
          </w:p>
        </w:tc>
        <w:tc>
          <w:tcPr>
            <w:tcBorders>
              <w:top w:val="single" w:color="D4C9A8" w:sz="2"/>
              <w:left w:val="single" w:color="D4C9A8" w:sz="2"/>
              <w:bottom w:val="single" w:color="D4C9A8" w:sz="2"/>
              <w:right w:val="single" w:color="D4C9A8" w:sz="2"/>
            </w:tcBorders>
            <w:shd w:fill="F2F2F2"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$2,258K</w:t>
            </w:r>
          </w:p>
        </w:tc>
        <w:tc>
          <w:tcPr>
            <w:tcBorders>
              <w:top w:val="single" w:color="D4C9A8" w:sz="2"/>
              <w:left w:val="single" w:color="D4C9A8" w:sz="2"/>
              <w:bottom w:val="single" w:color="D4C9A8" w:sz="2"/>
              <w:right w:val="single" w:color="D4C9A8" w:sz="2"/>
            </w:tcBorders>
            <w:shd w:fill="F2F2F2"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$3,368K</w:t>
            </w:r>
          </w:p>
        </w:tc>
        <w:tc>
          <w:tcPr>
            <w:tcBorders>
              <w:top w:val="single" w:color="D4C9A8" w:sz="2"/>
              <w:left w:val="single" w:color="D4C9A8" w:sz="2"/>
              <w:bottom w:val="single" w:color="D4C9A8" w:sz="2"/>
              <w:right w:val="single" w:color="D4C9A8" w:sz="2"/>
            </w:tcBorders>
            <w:shd w:fill="F2F2F2"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$4,350K</w:t>
            </w:r>
          </w:p>
        </w:tc>
        <w:tc>
          <w:tcPr>
            <w:tcBorders>
              <w:top w:val="single" w:color="D4C9A8" w:sz="2"/>
              <w:left w:val="single" w:color="D4C9A8" w:sz="2"/>
              <w:bottom w:val="single" w:color="D4C9A8" w:sz="2"/>
              <w:right w:val="single" w:color="D4C9A8" w:sz="2"/>
            </w:tcBorders>
            <w:shd w:fill="F2F2F2"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$4,897K</w:t>
            </w:r>
          </w:p>
        </w:tc>
        <w:tc>
          <w:tcPr>
            <w:tcBorders>
              <w:top w:val="single" w:color="D4C9A8" w:sz="2"/>
              <w:left w:val="single" w:color="D4C9A8" w:sz="2"/>
              <w:bottom w:val="single" w:color="D4C9A8" w:sz="2"/>
              <w:right w:val="single" w:color="D4C9A8" w:sz="2"/>
            </w:tcBorders>
            <w:shd w:fill="F2F2F2"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$5,400K</w:t>
            </w:r>
          </w:p>
        </w:tc>
      </w:tr>
      <w:tr>
        <w:tc>
          <w:tcPr>
            <w:tcBorders>
              <w:top w:val="single" w:color="D4C9A8" w:sz="2"/>
              <w:left w:val="single" w:color="D4C9A8" w:sz="2"/>
              <w:bottom w:val="single" w:color="D4C9A8" w:sz="2"/>
              <w:right w:val="single" w:color="D4C9A8" w:sz="2"/>
            </w:tcBorders>
            <w:shd w:fill="FFFFFF" w:val="clear"/>
            <w:tcMar>
              <w:top w:type="dxa" w:w="120"/>
              <w:left w:type="dxa" w:w="160"/>
              <w:bottom w:type="dxa" w:w="120"/>
              <w:right w:type="dxa" w:w="160"/>
            </w:tcMar>
            <w:vAlign w:val="center"/>
          </w:tcPr>
          <w:p>
            <w:pPr>
              <w:jc w:val="left"/>
            </w:pPr>
            <w:r>
              <w:rPr>
                <w:rFonts w:ascii="Arial" w:cs="Arial" w:eastAsia="Arial" w:hAnsi="Arial"/>
                <w:b/>
                <w:bCs/>
                <w:color w:val="1A5C2A"/>
                <w:sz w:val="22"/>
                <w:szCs w:val="22"/>
              </w:rPr>
              <w:t xml:space="preserve">Total Operating Expenses</w:t>
            </w:r>
          </w:p>
        </w:tc>
        <w:tc>
          <w:tcPr>
            <w:tcBorders>
              <w:top w:val="single" w:color="D4C9A8" w:sz="2"/>
              <w:left w:val="single" w:color="D4C9A8" w:sz="2"/>
              <w:bottom w:val="single" w:color="D4C9A8" w:sz="2"/>
              <w:right w:val="single" w:color="D4C9A8" w:sz="2"/>
            </w:tcBorders>
            <w:shd w:fill="FFFFFF"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($1,020K)</w:t>
            </w:r>
          </w:p>
        </w:tc>
        <w:tc>
          <w:tcPr>
            <w:tcBorders>
              <w:top w:val="single" w:color="D4C9A8" w:sz="2"/>
              <w:left w:val="single" w:color="D4C9A8" w:sz="2"/>
              <w:bottom w:val="single" w:color="D4C9A8" w:sz="2"/>
              <w:right w:val="single" w:color="D4C9A8" w:sz="2"/>
            </w:tcBorders>
            <w:shd w:fill="FFFFFF"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($1,094K)</w:t>
            </w:r>
          </w:p>
        </w:tc>
        <w:tc>
          <w:tcPr>
            <w:tcBorders>
              <w:top w:val="single" w:color="D4C9A8" w:sz="2"/>
              <w:left w:val="single" w:color="D4C9A8" w:sz="2"/>
              <w:bottom w:val="single" w:color="D4C9A8" w:sz="2"/>
              <w:right w:val="single" w:color="D4C9A8" w:sz="2"/>
            </w:tcBorders>
            <w:shd w:fill="FFFFFF"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($1,175K)</w:t>
            </w:r>
          </w:p>
        </w:tc>
        <w:tc>
          <w:tcPr>
            <w:tcBorders>
              <w:top w:val="single" w:color="D4C9A8" w:sz="2"/>
              <w:left w:val="single" w:color="D4C9A8" w:sz="2"/>
              <w:bottom w:val="single" w:color="D4C9A8" w:sz="2"/>
              <w:right w:val="single" w:color="D4C9A8" w:sz="2"/>
            </w:tcBorders>
            <w:shd w:fill="FFFFFF"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($1,242K)</w:t>
            </w:r>
          </w:p>
        </w:tc>
        <w:tc>
          <w:tcPr>
            <w:tcBorders>
              <w:top w:val="single" w:color="D4C9A8" w:sz="2"/>
              <w:left w:val="single" w:color="D4C9A8" w:sz="2"/>
              <w:bottom w:val="single" w:color="D4C9A8" w:sz="2"/>
              <w:right w:val="single" w:color="D4C9A8" w:sz="2"/>
            </w:tcBorders>
            <w:shd w:fill="FFFFFF"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($1,384K)</w:t>
            </w:r>
          </w:p>
        </w:tc>
      </w:tr>
      <w:tr>
        <w:tc>
          <w:tcPr>
            <w:tcBorders>
              <w:top w:val="single" w:color="D4C9A8" w:sz="2"/>
              <w:left w:val="single" w:color="D4C9A8" w:sz="2"/>
              <w:bottom w:val="single" w:color="D4C9A8" w:sz="2"/>
              <w:right w:val="single" w:color="D4C9A8" w:sz="2"/>
            </w:tcBorders>
            <w:shd w:fill="F2F2F2" w:val="clear"/>
            <w:tcMar>
              <w:top w:type="dxa" w:w="120"/>
              <w:left w:type="dxa" w:w="160"/>
              <w:bottom w:type="dxa" w:w="120"/>
              <w:right w:type="dxa" w:w="160"/>
            </w:tcMar>
            <w:vAlign w:val="center"/>
          </w:tcPr>
          <w:p>
            <w:pPr>
              <w:jc w:val="left"/>
            </w:pPr>
            <w:r>
              <w:rPr>
                <w:rFonts w:ascii="Arial" w:cs="Arial" w:eastAsia="Arial" w:hAnsi="Arial"/>
                <w:b/>
                <w:bCs/>
                <w:color w:val="1C0C04"/>
                <w:sz w:val="22"/>
                <w:szCs w:val="22"/>
              </w:rPr>
              <w:t xml:space="preserve">NET OPERATING INCOME</w:t>
            </w:r>
          </w:p>
        </w:tc>
        <w:tc>
          <w:tcPr>
            <w:tcBorders>
              <w:top w:val="single" w:color="D4C9A8" w:sz="2"/>
              <w:left w:val="single" w:color="D4C9A8" w:sz="2"/>
              <w:bottom w:val="single" w:color="D4C9A8" w:sz="2"/>
              <w:right w:val="single" w:color="D4C9A8" w:sz="2"/>
            </w:tcBorders>
            <w:shd w:fill="F2F2F2"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$1,215K</w:t>
            </w:r>
          </w:p>
        </w:tc>
        <w:tc>
          <w:tcPr>
            <w:tcBorders>
              <w:top w:val="single" w:color="D4C9A8" w:sz="2"/>
              <w:left w:val="single" w:color="D4C9A8" w:sz="2"/>
              <w:bottom w:val="single" w:color="D4C9A8" w:sz="2"/>
              <w:right w:val="single" w:color="D4C9A8" w:sz="2"/>
            </w:tcBorders>
            <w:shd w:fill="F2F2F2"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$2,244K</w:t>
            </w:r>
          </w:p>
        </w:tc>
        <w:tc>
          <w:tcPr>
            <w:tcBorders>
              <w:top w:val="single" w:color="D4C9A8" w:sz="2"/>
              <w:left w:val="single" w:color="D4C9A8" w:sz="2"/>
              <w:bottom w:val="single" w:color="D4C9A8" w:sz="2"/>
              <w:right w:val="single" w:color="D4C9A8" w:sz="2"/>
            </w:tcBorders>
            <w:shd w:fill="F2F2F2"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$3,133K</w:t>
            </w:r>
          </w:p>
        </w:tc>
        <w:tc>
          <w:tcPr>
            <w:tcBorders>
              <w:top w:val="single" w:color="D4C9A8" w:sz="2"/>
              <w:left w:val="single" w:color="D4C9A8" w:sz="2"/>
              <w:bottom w:val="single" w:color="D4C9A8" w:sz="2"/>
              <w:right w:val="single" w:color="D4C9A8" w:sz="2"/>
            </w:tcBorders>
            <w:shd w:fill="F2F2F2"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$3,593K</w:t>
            </w:r>
          </w:p>
        </w:tc>
        <w:tc>
          <w:tcPr>
            <w:tcBorders>
              <w:top w:val="single" w:color="D4C9A8" w:sz="2"/>
              <w:left w:val="single" w:color="D4C9A8" w:sz="2"/>
              <w:bottom w:val="single" w:color="D4C9A8" w:sz="2"/>
              <w:right w:val="single" w:color="D4C9A8" w:sz="2"/>
            </w:tcBorders>
            <w:shd w:fill="F2F2F2"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$3,938K</w:t>
            </w:r>
          </w:p>
        </w:tc>
      </w:tr>
      <w:tr>
        <w:tc>
          <w:tcPr>
            <w:tcBorders>
              <w:top w:val="single" w:color="D4C9A8" w:sz="2"/>
              <w:left w:val="single" w:color="D4C9A8" w:sz="2"/>
              <w:bottom w:val="single" w:color="D4C9A8" w:sz="2"/>
              <w:right w:val="single" w:color="D4C9A8" w:sz="2"/>
            </w:tcBorders>
            <w:shd w:fill="FFFFFF" w:val="clear"/>
            <w:tcMar>
              <w:top w:type="dxa" w:w="120"/>
              <w:left w:type="dxa" w:w="160"/>
              <w:bottom w:type="dxa" w:w="120"/>
              <w:right w:type="dxa" w:w="160"/>
            </w:tcMar>
            <w:vAlign w:val="center"/>
          </w:tcPr>
          <w:p>
            <w:pPr>
              <w:jc w:val="left"/>
            </w:pPr>
            <w:r>
              <w:rPr>
                <w:rFonts w:ascii="Arial" w:cs="Arial" w:eastAsia="Arial" w:hAnsi="Arial"/>
                <w:b/>
                <w:bCs/>
                <w:color w:val="1C0C04"/>
                <w:sz w:val="22"/>
                <w:szCs w:val="22"/>
              </w:rPr>
              <w:t xml:space="preserve">Total Debt Service</w:t>
            </w:r>
          </w:p>
        </w:tc>
        <w:tc>
          <w:tcPr>
            <w:tcBorders>
              <w:top w:val="single" w:color="D4C9A8" w:sz="2"/>
              <w:left w:val="single" w:color="D4C9A8" w:sz="2"/>
              <w:bottom w:val="single" w:color="D4C9A8" w:sz="2"/>
              <w:right w:val="single" w:color="D4C9A8" w:sz="2"/>
            </w:tcBorders>
            <w:shd w:fill="FFFFFF"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($753K)</w:t>
            </w:r>
          </w:p>
        </w:tc>
        <w:tc>
          <w:tcPr>
            <w:tcBorders>
              <w:top w:val="single" w:color="D4C9A8" w:sz="2"/>
              <w:left w:val="single" w:color="D4C9A8" w:sz="2"/>
              <w:bottom w:val="single" w:color="D4C9A8" w:sz="2"/>
              <w:right w:val="single" w:color="D4C9A8" w:sz="2"/>
            </w:tcBorders>
            <w:shd w:fill="FFFFFF"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($753K)</w:t>
            </w:r>
          </w:p>
        </w:tc>
        <w:tc>
          <w:tcPr>
            <w:tcBorders>
              <w:top w:val="single" w:color="D4C9A8" w:sz="2"/>
              <w:left w:val="single" w:color="D4C9A8" w:sz="2"/>
              <w:bottom w:val="single" w:color="D4C9A8" w:sz="2"/>
              <w:right w:val="single" w:color="D4C9A8" w:sz="2"/>
            </w:tcBorders>
            <w:shd w:fill="FFFFFF"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($753K)</w:t>
            </w:r>
          </w:p>
        </w:tc>
        <w:tc>
          <w:tcPr>
            <w:tcBorders>
              <w:top w:val="single" w:color="D4C9A8" w:sz="2"/>
              <w:left w:val="single" w:color="D4C9A8" w:sz="2"/>
              <w:bottom w:val="single" w:color="D4C9A8" w:sz="2"/>
              <w:right w:val="single" w:color="D4C9A8" w:sz="2"/>
            </w:tcBorders>
            <w:shd w:fill="FFFFFF"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($753K)</w:t>
            </w:r>
          </w:p>
        </w:tc>
        <w:tc>
          <w:tcPr>
            <w:tcBorders>
              <w:top w:val="single" w:color="D4C9A8" w:sz="2"/>
              <w:left w:val="single" w:color="D4C9A8" w:sz="2"/>
              <w:bottom w:val="single" w:color="D4C9A8" w:sz="2"/>
              <w:right w:val="single" w:color="D4C9A8" w:sz="2"/>
            </w:tcBorders>
            <w:shd w:fill="FFFFFF"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($753K)</w:t>
            </w:r>
          </w:p>
        </w:tc>
      </w:tr>
      <w:tr>
        <w:tc>
          <w:tcPr>
            <w:tcBorders>
              <w:top w:val="single" w:color="D4C9A8" w:sz="2"/>
              <w:left w:val="single" w:color="D4C9A8" w:sz="2"/>
              <w:bottom w:val="single" w:color="D4C9A8" w:sz="2"/>
              <w:right w:val="single" w:color="D4C9A8" w:sz="2"/>
            </w:tcBorders>
            <w:shd w:fill="F2F2F2" w:val="clear"/>
            <w:tcMar>
              <w:top w:type="dxa" w:w="120"/>
              <w:left w:type="dxa" w:w="160"/>
              <w:bottom w:type="dxa" w:w="120"/>
              <w:right w:type="dxa" w:w="160"/>
            </w:tcMar>
            <w:vAlign w:val="center"/>
          </w:tcPr>
          <w:p>
            <w:pPr>
              <w:jc w:val="left"/>
            </w:pPr>
            <w:r>
              <w:rPr>
                <w:rFonts w:ascii="Arial" w:cs="Arial" w:eastAsia="Arial" w:hAnsi="Arial"/>
                <w:b/>
                <w:bCs/>
                <w:color w:val="1C0C04"/>
                <w:sz w:val="22"/>
                <w:szCs w:val="22"/>
              </w:rPr>
              <w:t xml:space="preserve">NET CASH FLOW TO EQUITY</w:t>
            </w:r>
          </w:p>
        </w:tc>
        <w:tc>
          <w:tcPr>
            <w:tcBorders>
              <w:top w:val="single" w:color="D4C9A8" w:sz="2"/>
              <w:left w:val="single" w:color="D4C9A8" w:sz="2"/>
              <w:bottom w:val="single" w:color="D4C9A8" w:sz="2"/>
              <w:right w:val="single" w:color="D4C9A8" w:sz="2"/>
            </w:tcBorders>
            <w:shd w:fill="F2F2F2"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$462K</w:t>
            </w:r>
          </w:p>
        </w:tc>
        <w:tc>
          <w:tcPr>
            <w:tcBorders>
              <w:top w:val="single" w:color="D4C9A8" w:sz="2"/>
              <w:left w:val="single" w:color="D4C9A8" w:sz="2"/>
              <w:bottom w:val="single" w:color="D4C9A8" w:sz="2"/>
              <w:right w:val="single" w:color="D4C9A8" w:sz="2"/>
            </w:tcBorders>
            <w:shd w:fill="F2F2F2"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$1,491K</w:t>
            </w:r>
          </w:p>
        </w:tc>
        <w:tc>
          <w:tcPr>
            <w:tcBorders>
              <w:top w:val="single" w:color="D4C9A8" w:sz="2"/>
              <w:left w:val="single" w:color="D4C9A8" w:sz="2"/>
              <w:bottom w:val="single" w:color="D4C9A8" w:sz="2"/>
              <w:right w:val="single" w:color="D4C9A8" w:sz="2"/>
            </w:tcBorders>
            <w:shd w:fill="F2F2F2"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$2,380K</w:t>
            </w:r>
          </w:p>
        </w:tc>
        <w:tc>
          <w:tcPr>
            <w:tcBorders>
              <w:top w:val="single" w:color="D4C9A8" w:sz="2"/>
              <w:left w:val="single" w:color="D4C9A8" w:sz="2"/>
              <w:bottom w:val="single" w:color="D4C9A8" w:sz="2"/>
              <w:right w:val="single" w:color="D4C9A8" w:sz="2"/>
            </w:tcBorders>
            <w:shd w:fill="F2F2F2"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$2,840K</w:t>
            </w:r>
          </w:p>
        </w:tc>
        <w:tc>
          <w:tcPr>
            <w:tcBorders>
              <w:top w:val="single" w:color="D4C9A8" w:sz="2"/>
              <w:left w:val="single" w:color="D4C9A8" w:sz="2"/>
              <w:bottom w:val="single" w:color="D4C9A8" w:sz="2"/>
              <w:right w:val="single" w:color="D4C9A8" w:sz="2"/>
            </w:tcBorders>
            <w:shd w:fill="F2F2F2"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$3,185K</w:t>
            </w:r>
          </w:p>
        </w:tc>
      </w:tr>
      <w:tr>
        <w:tc>
          <w:tcPr>
            <w:tcBorders>
              <w:top w:val="single" w:color="D4C9A8" w:sz="2"/>
              <w:left w:val="single" w:color="D4C9A8" w:sz="2"/>
              <w:bottom w:val="single" w:color="D4C9A8" w:sz="2"/>
              <w:right w:val="single" w:color="D4C9A8" w:sz="2"/>
            </w:tcBorders>
            <w:shd w:fill="FFFFFF" w:val="clear"/>
            <w:tcMar>
              <w:top w:type="dxa" w:w="120"/>
              <w:left w:type="dxa" w:w="160"/>
              <w:bottom w:type="dxa" w:w="120"/>
              <w:right w:type="dxa" w:w="160"/>
            </w:tcMar>
            <w:vAlign w:val="center"/>
          </w:tcPr>
          <w:p>
            <w:pPr>
              <w:jc w:val="left"/>
            </w:pPr>
            <w:r>
              <w:rPr>
                <w:rFonts w:ascii="Arial" w:cs="Arial" w:eastAsia="Arial" w:hAnsi="Arial"/>
                <w:b/>
                <w:bCs/>
                <w:color w:val="1C0C04"/>
                <w:sz w:val="22"/>
                <w:szCs w:val="22"/>
              </w:rPr>
              <w:t xml:space="preserve">Cash-on-Cash Return</w:t>
            </w:r>
          </w:p>
        </w:tc>
        <w:tc>
          <w:tcPr>
            <w:tcBorders>
              <w:top w:val="single" w:color="D4C9A8" w:sz="2"/>
              <w:left w:val="single" w:color="D4C9A8" w:sz="2"/>
              <w:bottom w:val="single" w:color="D4C9A8" w:sz="2"/>
              <w:right w:val="single" w:color="D4C9A8" w:sz="2"/>
            </w:tcBorders>
            <w:shd w:fill="FFFFFF" w:val="clear"/>
            <w:tcMar>
              <w:top w:type="dxa" w:w="120"/>
              <w:left w:type="dxa" w:w="160"/>
              <w:bottom w:type="dxa" w:w="120"/>
              <w:right w:type="dxa" w:w="160"/>
            </w:tcMar>
            <w:vAlign w:val="center"/>
          </w:tcPr>
          <w:p>
            <w:pPr>
              <w:jc w:val="center"/>
            </w:pPr>
            <w:r>
              <w:rPr>
                <w:rFonts w:ascii="Arial" w:cs="Arial" w:eastAsia="Arial" w:hAnsi="Arial"/>
                <w:b w:val="false"/>
                <w:bCs w:val="false"/>
                <w:color w:val="1A5C2A"/>
                <w:sz w:val="22"/>
                <w:szCs w:val="22"/>
              </w:rPr>
              <w:t xml:space="preserve">10.1%</w:t>
            </w:r>
          </w:p>
        </w:tc>
        <w:tc>
          <w:tcPr>
            <w:tcBorders>
              <w:top w:val="single" w:color="D4C9A8" w:sz="2"/>
              <w:left w:val="single" w:color="D4C9A8" w:sz="2"/>
              <w:bottom w:val="single" w:color="D4C9A8" w:sz="2"/>
              <w:right w:val="single" w:color="D4C9A8" w:sz="2"/>
            </w:tcBorders>
            <w:shd w:fill="FFFFFF" w:val="clear"/>
            <w:tcMar>
              <w:top w:type="dxa" w:w="120"/>
              <w:left w:type="dxa" w:w="160"/>
              <w:bottom w:type="dxa" w:w="120"/>
              <w:right w:type="dxa" w:w="160"/>
            </w:tcMar>
            <w:vAlign w:val="center"/>
          </w:tcPr>
          <w:p>
            <w:pPr>
              <w:jc w:val="center"/>
            </w:pPr>
            <w:r>
              <w:rPr>
                <w:rFonts w:ascii="Arial" w:cs="Arial" w:eastAsia="Arial" w:hAnsi="Arial"/>
                <w:b w:val="false"/>
                <w:bCs w:val="false"/>
                <w:color w:val="1A5C2A"/>
                <w:sz w:val="22"/>
                <w:szCs w:val="22"/>
              </w:rPr>
              <w:t xml:space="preserve">32.6%</w:t>
            </w:r>
          </w:p>
        </w:tc>
        <w:tc>
          <w:tcPr>
            <w:tcBorders>
              <w:top w:val="single" w:color="D4C9A8" w:sz="2"/>
              <w:left w:val="single" w:color="D4C9A8" w:sz="2"/>
              <w:bottom w:val="single" w:color="D4C9A8" w:sz="2"/>
              <w:right w:val="single" w:color="D4C9A8" w:sz="2"/>
            </w:tcBorders>
            <w:shd w:fill="FFFFFF" w:val="clear"/>
            <w:tcMar>
              <w:top w:type="dxa" w:w="120"/>
              <w:left w:type="dxa" w:w="160"/>
              <w:bottom w:type="dxa" w:w="120"/>
              <w:right w:type="dxa" w:w="160"/>
            </w:tcMar>
            <w:vAlign w:val="center"/>
          </w:tcPr>
          <w:p>
            <w:pPr>
              <w:jc w:val="center"/>
            </w:pPr>
            <w:r>
              <w:rPr>
                <w:rFonts w:ascii="Arial" w:cs="Arial" w:eastAsia="Arial" w:hAnsi="Arial"/>
                <w:b w:val="false"/>
                <w:bCs w:val="false"/>
                <w:color w:val="1A5C2A"/>
                <w:sz w:val="22"/>
                <w:szCs w:val="22"/>
              </w:rPr>
              <w:t xml:space="preserve">52.0%</w:t>
            </w:r>
          </w:p>
        </w:tc>
        <w:tc>
          <w:tcPr>
            <w:tcBorders>
              <w:top w:val="single" w:color="D4C9A8" w:sz="2"/>
              <w:left w:val="single" w:color="D4C9A8" w:sz="2"/>
              <w:bottom w:val="single" w:color="D4C9A8" w:sz="2"/>
              <w:right w:val="single" w:color="D4C9A8" w:sz="2"/>
            </w:tcBorders>
            <w:shd w:fill="FFFFFF" w:val="clear"/>
            <w:tcMar>
              <w:top w:type="dxa" w:w="120"/>
              <w:left w:type="dxa" w:w="160"/>
              <w:bottom w:type="dxa" w:w="120"/>
              <w:right w:type="dxa" w:w="160"/>
            </w:tcMar>
            <w:vAlign w:val="center"/>
          </w:tcPr>
          <w:p>
            <w:pPr>
              <w:jc w:val="center"/>
            </w:pPr>
            <w:r>
              <w:rPr>
                <w:rFonts w:ascii="Arial" w:cs="Arial" w:eastAsia="Arial" w:hAnsi="Arial"/>
                <w:b w:val="false"/>
                <w:bCs w:val="false"/>
                <w:color w:val="1A5C2A"/>
                <w:sz w:val="22"/>
                <w:szCs w:val="22"/>
              </w:rPr>
              <w:t xml:space="preserve">62.1%</w:t>
            </w:r>
          </w:p>
        </w:tc>
        <w:tc>
          <w:tcPr>
            <w:tcBorders>
              <w:top w:val="single" w:color="D4C9A8" w:sz="2"/>
              <w:left w:val="single" w:color="D4C9A8" w:sz="2"/>
              <w:bottom w:val="single" w:color="D4C9A8" w:sz="2"/>
              <w:right w:val="single" w:color="D4C9A8" w:sz="2"/>
            </w:tcBorders>
            <w:shd w:fill="FFFFFF" w:val="clear"/>
            <w:tcMar>
              <w:top w:type="dxa" w:w="120"/>
              <w:left w:type="dxa" w:w="160"/>
              <w:bottom w:type="dxa" w:w="120"/>
              <w:right w:type="dxa" w:w="160"/>
            </w:tcMar>
            <w:vAlign w:val="center"/>
          </w:tcPr>
          <w:p>
            <w:pPr>
              <w:jc w:val="center"/>
            </w:pPr>
            <w:r>
              <w:rPr>
                <w:rFonts w:ascii="Arial" w:cs="Arial" w:eastAsia="Arial" w:hAnsi="Arial"/>
                <w:b w:val="false"/>
                <w:bCs w:val="false"/>
                <w:color w:val="1A5C2A"/>
                <w:sz w:val="22"/>
                <w:szCs w:val="22"/>
              </w:rPr>
              <w:t xml:space="preserve">69.6%</w:t>
            </w:r>
          </w:p>
        </w:tc>
      </w:tr>
      <w:tr>
        <w:tc>
          <w:tcPr>
            <w:tcBorders>
              <w:top w:val="single" w:color="D4C9A8" w:sz="2"/>
              <w:left w:val="single" w:color="D4C9A8" w:sz="2"/>
              <w:bottom w:val="single" w:color="D4C9A8" w:sz="2"/>
              <w:right w:val="single" w:color="D4C9A8" w:sz="2"/>
            </w:tcBorders>
            <w:shd w:fill="F2F2F2" w:val="clear"/>
            <w:tcMar>
              <w:top w:type="dxa" w:w="120"/>
              <w:left w:type="dxa" w:w="160"/>
              <w:bottom w:type="dxa" w:w="120"/>
              <w:right w:type="dxa" w:w="160"/>
            </w:tcMar>
            <w:vAlign w:val="center"/>
          </w:tcPr>
          <w:p>
            <w:pPr>
              <w:jc w:val="left"/>
            </w:pPr>
            <w:r>
              <w:rPr>
                <w:rFonts w:ascii="Arial" w:cs="Arial" w:eastAsia="Arial" w:hAnsi="Arial"/>
                <w:b/>
                <w:bCs/>
                <w:color w:val="1C0C04"/>
                <w:sz w:val="22"/>
                <w:szCs w:val="22"/>
              </w:rPr>
              <w:t xml:space="preserve">DSCR</w:t>
            </w:r>
          </w:p>
        </w:tc>
        <w:tc>
          <w:tcPr>
            <w:tcBorders>
              <w:top w:val="single" w:color="D4C9A8" w:sz="2"/>
              <w:left w:val="single" w:color="D4C9A8" w:sz="2"/>
              <w:bottom w:val="single" w:color="D4C9A8" w:sz="2"/>
              <w:right w:val="single" w:color="D4C9A8" w:sz="2"/>
            </w:tcBorders>
            <w:shd w:fill="F2F2F2"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1.61×</w:t>
            </w:r>
          </w:p>
        </w:tc>
        <w:tc>
          <w:tcPr>
            <w:tcBorders>
              <w:top w:val="single" w:color="D4C9A8" w:sz="2"/>
              <w:left w:val="single" w:color="D4C9A8" w:sz="2"/>
              <w:bottom w:val="single" w:color="D4C9A8" w:sz="2"/>
              <w:right w:val="single" w:color="D4C9A8" w:sz="2"/>
            </w:tcBorders>
            <w:shd w:fill="F2F2F2"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3.00×</w:t>
            </w:r>
          </w:p>
        </w:tc>
        <w:tc>
          <w:tcPr>
            <w:tcBorders>
              <w:top w:val="single" w:color="D4C9A8" w:sz="2"/>
              <w:left w:val="single" w:color="D4C9A8" w:sz="2"/>
              <w:bottom w:val="single" w:color="D4C9A8" w:sz="2"/>
              <w:right w:val="single" w:color="D4C9A8" w:sz="2"/>
            </w:tcBorders>
            <w:shd w:fill="F2F2F2"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4.16×</w:t>
            </w:r>
          </w:p>
        </w:tc>
        <w:tc>
          <w:tcPr>
            <w:tcBorders>
              <w:top w:val="single" w:color="D4C9A8" w:sz="2"/>
              <w:left w:val="single" w:color="D4C9A8" w:sz="2"/>
              <w:bottom w:val="single" w:color="D4C9A8" w:sz="2"/>
              <w:right w:val="single" w:color="D4C9A8" w:sz="2"/>
            </w:tcBorders>
            <w:shd w:fill="F2F2F2"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4.77×</w:t>
            </w:r>
          </w:p>
        </w:tc>
        <w:tc>
          <w:tcPr>
            <w:tcBorders>
              <w:top w:val="single" w:color="D4C9A8" w:sz="2"/>
              <w:left w:val="single" w:color="D4C9A8" w:sz="2"/>
              <w:bottom w:val="single" w:color="D4C9A8" w:sz="2"/>
              <w:right w:val="single" w:color="D4C9A8" w:sz="2"/>
            </w:tcBorders>
            <w:shd w:fill="F2F2F2"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5.23×</w:t>
            </w:r>
          </w:p>
        </w:tc>
      </w:tr>
    </w:tbl>
    <w:p>
      <w:pPr>
        <w:spacing w:before="120"/>
      </w:pPr>
    </w:p>
    <w:p>
      <w:pPr>
        <w:spacing w:before="280" w:after="100"/>
      </w:pPr>
      <w:r>
        <w:rPr>
          <w:rFonts w:ascii="Arial" w:cs="Arial" w:eastAsia="Arial" w:hAnsi="Arial"/>
          <w:b/>
          <w:bCs/>
          <w:color w:val="B8150C"/>
          <w:sz w:val="26"/>
          <w:szCs w:val="26"/>
        </w:rPr>
        <w:t xml:space="preserve">Exit &amp; Investment Returns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340"/>
        <w:gridCol w:w="2340"/>
        <w:gridCol w:w="2340"/>
        <w:gridCol w:w="2340"/>
      </w:tblGrid>
      <w:tr>
        <w:tc>
          <w:tcPr>
            <w:tcBorders>
              <w:top w:val="single" w:color="D4C9A8" w:sz="2"/>
              <w:left w:val="single" w:color="D4C9A8" w:sz="2"/>
              <w:bottom w:val="single" w:color="D4C9A8" w:sz="2"/>
              <w:right w:val="single" w:color="D4C9A8" w:sz="2"/>
            </w:tcBorders>
            <w:shd w:fill="1C0C04" w:val="clear"/>
            <w:tcMar>
              <w:top w:type="dxa" w:w="120"/>
              <w:left w:type="dxa" w:w="160"/>
              <w:bottom w:type="dxa" w:w="120"/>
              <w:right w:type="dxa" w:w="160"/>
            </w:tcMar>
            <w:vAlign w:val="center"/>
          </w:tcPr>
          <w:p>
            <w:pPr>
              <w:jc w:val="left"/>
            </w:pPr>
            <w:r>
              <w:rPr>
                <w:rFonts w:ascii="Arial" w:cs="Arial" w:eastAsia="Arial" w:hAnsi="Arial"/>
                <w:b/>
                <w:bCs/>
                <w:color w:val="FFFFFF"/>
                <w:sz w:val="20"/>
                <w:szCs w:val="20"/>
              </w:rPr>
              <w:t xml:space="preserve">Scenario</w:t>
            </w:r>
          </w:p>
        </w:tc>
        <w:tc>
          <w:tcPr>
            <w:tcBorders>
              <w:top w:val="single" w:color="D4C9A8" w:sz="2"/>
              <w:left w:val="single" w:color="D4C9A8" w:sz="2"/>
              <w:bottom w:val="single" w:color="D4C9A8" w:sz="2"/>
              <w:right w:val="single" w:color="D4C9A8" w:sz="2"/>
            </w:tcBorders>
            <w:shd w:fill="1C0C04" w:val="clear"/>
            <w:tcMar>
              <w:top w:type="dxa" w:w="120"/>
              <w:left w:type="dxa" w:w="160"/>
              <w:bottom w:type="dxa" w:w="120"/>
              <w:right w:type="dxa" w:w="160"/>
            </w:tcMar>
            <w:vAlign w:val="center"/>
          </w:tcPr>
          <w:p>
            <w:pPr>
              <w:jc w:val="center"/>
            </w:pPr>
            <w:r>
              <w:rPr>
                <w:rFonts w:ascii="Arial" w:cs="Arial" w:eastAsia="Arial" w:hAnsi="Arial"/>
                <w:b/>
                <w:bCs/>
                <w:color w:val="FFFFFF"/>
                <w:sz w:val="20"/>
                <w:szCs w:val="20"/>
              </w:rPr>
              <w:t xml:space="preserve">Worst Case</w:t>
            </w:r>
          </w:p>
        </w:tc>
        <w:tc>
          <w:tcPr>
            <w:tcBorders>
              <w:top w:val="single" w:color="D4C9A8" w:sz="2"/>
              <w:left w:val="single" w:color="D4C9A8" w:sz="2"/>
              <w:bottom w:val="single" w:color="D4C9A8" w:sz="2"/>
              <w:right w:val="single" w:color="D4C9A8" w:sz="2"/>
            </w:tcBorders>
            <w:shd w:fill="1C0C04" w:val="clear"/>
            <w:tcMar>
              <w:top w:type="dxa" w:w="120"/>
              <w:left w:type="dxa" w:w="160"/>
              <w:bottom w:type="dxa" w:w="120"/>
              <w:right w:type="dxa" w:w="160"/>
            </w:tcMar>
            <w:vAlign w:val="center"/>
          </w:tcPr>
          <w:p>
            <w:pPr>
              <w:jc w:val="center"/>
            </w:pPr>
            <w:r>
              <w:rPr>
                <w:rFonts w:ascii="Arial" w:cs="Arial" w:eastAsia="Arial" w:hAnsi="Arial"/>
                <w:b/>
                <w:bCs/>
                <w:color w:val="FFFFFF"/>
                <w:sz w:val="20"/>
                <w:szCs w:val="20"/>
              </w:rPr>
              <w:t xml:space="preserve">Base Case</w:t>
            </w:r>
          </w:p>
        </w:tc>
        <w:tc>
          <w:tcPr>
            <w:tcBorders>
              <w:top w:val="single" w:color="D4C9A8" w:sz="2"/>
              <w:left w:val="single" w:color="D4C9A8" w:sz="2"/>
              <w:bottom w:val="single" w:color="D4C9A8" w:sz="2"/>
              <w:right w:val="single" w:color="D4C9A8" w:sz="2"/>
            </w:tcBorders>
            <w:shd w:fill="1C0C04" w:val="clear"/>
            <w:tcMar>
              <w:top w:type="dxa" w:w="120"/>
              <w:left w:type="dxa" w:w="160"/>
              <w:bottom w:type="dxa" w:w="120"/>
              <w:right w:type="dxa" w:w="160"/>
            </w:tcMar>
            <w:vAlign w:val="center"/>
          </w:tcPr>
          <w:p>
            <w:pPr>
              <w:jc w:val="center"/>
            </w:pPr>
            <w:r>
              <w:rPr>
                <w:rFonts w:ascii="Arial" w:cs="Arial" w:eastAsia="Arial" w:hAnsi="Arial"/>
                <w:b/>
                <w:bCs/>
                <w:color w:val="FFFFFF"/>
                <w:sz w:val="20"/>
                <w:szCs w:val="20"/>
              </w:rPr>
              <w:t xml:space="preserve">Best Case</w:t>
            </w:r>
          </w:p>
        </w:tc>
      </w:tr>
      <w:tr>
        <w:tc>
          <w:tcPr>
            <w:tcBorders>
              <w:top w:val="single" w:color="D4C9A8" w:sz="2"/>
              <w:left w:val="single" w:color="D4C9A8" w:sz="2"/>
              <w:bottom w:val="single" w:color="D4C9A8" w:sz="2"/>
              <w:right w:val="single" w:color="D4C9A8" w:sz="2"/>
            </w:tcBorders>
            <w:shd w:fill="FFFFFF" w:val="clear"/>
            <w:tcMar>
              <w:top w:type="dxa" w:w="120"/>
              <w:left w:type="dxa" w:w="160"/>
              <w:bottom w:type="dxa" w:w="120"/>
              <w:right w:type="dxa" w:w="160"/>
            </w:tcMar>
            <w:vAlign w:val="center"/>
          </w:tcPr>
          <w:p>
            <w:pPr>
              <w:jc w:val="left"/>
            </w:pPr>
            <w:r>
              <w:rPr>
                <w:rFonts w:ascii="Arial" w:cs="Arial" w:eastAsia="Arial" w:hAnsi="Arial"/>
                <w:b/>
                <w:bCs/>
                <w:color w:val="1C0C04"/>
                <w:sz w:val="22"/>
                <w:szCs w:val="22"/>
              </w:rPr>
              <w:t xml:space="preserve">NOI Year 1</w:t>
            </w:r>
          </w:p>
        </w:tc>
        <w:tc>
          <w:tcPr>
            <w:tcBorders>
              <w:top w:val="single" w:color="D4C9A8" w:sz="2"/>
              <w:left w:val="single" w:color="D4C9A8" w:sz="2"/>
              <w:bottom w:val="single" w:color="D4C9A8" w:sz="2"/>
              <w:right w:val="single" w:color="D4C9A8" w:sz="2"/>
            </w:tcBorders>
            <w:shd w:fill="FFFFFF"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$700K</w:t>
            </w:r>
          </w:p>
        </w:tc>
        <w:tc>
          <w:tcPr>
            <w:tcBorders>
              <w:top w:val="single" w:color="D4C9A8" w:sz="2"/>
              <w:left w:val="single" w:color="D4C9A8" w:sz="2"/>
              <w:bottom w:val="single" w:color="D4C9A8" w:sz="2"/>
              <w:right w:val="single" w:color="D4C9A8" w:sz="2"/>
            </w:tcBorders>
            <w:shd w:fill="FFFFFF"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$1,215K</w:t>
            </w:r>
          </w:p>
        </w:tc>
        <w:tc>
          <w:tcPr>
            <w:tcBorders>
              <w:top w:val="single" w:color="D4C9A8" w:sz="2"/>
              <w:left w:val="single" w:color="D4C9A8" w:sz="2"/>
              <w:bottom w:val="single" w:color="D4C9A8" w:sz="2"/>
              <w:right w:val="single" w:color="D4C9A8" w:sz="2"/>
            </w:tcBorders>
            <w:shd w:fill="FFFFFF"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$2,000K</w:t>
            </w:r>
          </w:p>
        </w:tc>
      </w:tr>
      <w:tr>
        <w:tc>
          <w:tcPr>
            <w:tcBorders>
              <w:top w:val="single" w:color="D4C9A8" w:sz="2"/>
              <w:left w:val="single" w:color="D4C9A8" w:sz="2"/>
              <w:bottom w:val="single" w:color="D4C9A8" w:sz="2"/>
              <w:right w:val="single" w:color="D4C9A8" w:sz="2"/>
            </w:tcBorders>
            <w:shd w:fill="F2F2F2" w:val="clear"/>
            <w:tcMar>
              <w:top w:type="dxa" w:w="120"/>
              <w:left w:type="dxa" w:w="160"/>
              <w:bottom w:type="dxa" w:w="120"/>
              <w:right w:type="dxa" w:w="160"/>
            </w:tcMar>
            <w:vAlign w:val="center"/>
          </w:tcPr>
          <w:p>
            <w:pPr>
              <w:jc w:val="left"/>
            </w:pPr>
            <w:r>
              <w:rPr>
                <w:rFonts w:ascii="Arial" w:cs="Arial" w:eastAsia="Arial" w:hAnsi="Arial"/>
                <w:b/>
                <w:bCs/>
                <w:color w:val="1C0C04"/>
                <w:sz w:val="22"/>
                <w:szCs w:val="22"/>
              </w:rPr>
              <w:t xml:space="preserve">NOI Year 3</w:t>
            </w:r>
          </w:p>
        </w:tc>
        <w:tc>
          <w:tcPr>
            <w:tcBorders>
              <w:top w:val="single" w:color="D4C9A8" w:sz="2"/>
              <w:left w:val="single" w:color="D4C9A8" w:sz="2"/>
              <w:bottom w:val="single" w:color="D4C9A8" w:sz="2"/>
              <w:right w:val="single" w:color="D4C9A8" w:sz="2"/>
            </w:tcBorders>
            <w:shd w:fill="F2F2F2"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$1,400K</w:t>
            </w:r>
          </w:p>
        </w:tc>
        <w:tc>
          <w:tcPr>
            <w:tcBorders>
              <w:top w:val="single" w:color="D4C9A8" w:sz="2"/>
              <w:left w:val="single" w:color="D4C9A8" w:sz="2"/>
              <w:bottom w:val="single" w:color="D4C9A8" w:sz="2"/>
              <w:right w:val="single" w:color="D4C9A8" w:sz="2"/>
            </w:tcBorders>
            <w:shd w:fill="F2F2F2"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$3,133K</w:t>
            </w:r>
          </w:p>
        </w:tc>
        <w:tc>
          <w:tcPr>
            <w:tcBorders>
              <w:top w:val="single" w:color="D4C9A8" w:sz="2"/>
              <w:left w:val="single" w:color="D4C9A8" w:sz="2"/>
              <w:bottom w:val="single" w:color="D4C9A8" w:sz="2"/>
              <w:right w:val="single" w:color="D4C9A8" w:sz="2"/>
            </w:tcBorders>
            <w:shd w:fill="F2F2F2"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$5,200K</w:t>
            </w:r>
          </w:p>
        </w:tc>
      </w:tr>
      <w:tr>
        <w:tc>
          <w:tcPr>
            <w:tcBorders>
              <w:top w:val="single" w:color="D4C9A8" w:sz="2"/>
              <w:left w:val="single" w:color="D4C9A8" w:sz="2"/>
              <w:bottom w:val="single" w:color="D4C9A8" w:sz="2"/>
              <w:right w:val="single" w:color="D4C9A8" w:sz="2"/>
            </w:tcBorders>
            <w:shd w:fill="FFFFFF" w:val="clear"/>
            <w:tcMar>
              <w:top w:type="dxa" w:w="120"/>
              <w:left w:type="dxa" w:w="160"/>
              <w:bottom w:type="dxa" w:w="120"/>
              <w:right w:type="dxa" w:w="160"/>
            </w:tcMar>
            <w:vAlign w:val="center"/>
          </w:tcPr>
          <w:p>
            <w:pPr>
              <w:jc w:val="left"/>
            </w:pPr>
            <w:r>
              <w:rPr>
                <w:rFonts w:ascii="Arial" w:cs="Arial" w:eastAsia="Arial" w:hAnsi="Arial"/>
                <w:b/>
                <w:bCs/>
                <w:color w:val="1C0C04"/>
                <w:sz w:val="22"/>
                <w:szCs w:val="22"/>
              </w:rPr>
              <w:t xml:space="preserve">NOI Year 7</w:t>
            </w:r>
          </w:p>
        </w:tc>
        <w:tc>
          <w:tcPr>
            <w:tcBorders>
              <w:top w:val="single" w:color="D4C9A8" w:sz="2"/>
              <w:left w:val="single" w:color="D4C9A8" w:sz="2"/>
              <w:bottom w:val="single" w:color="D4C9A8" w:sz="2"/>
              <w:right w:val="single" w:color="D4C9A8" w:sz="2"/>
            </w:tcBorders>
            <w:shd w:fill="FFFFFF"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$1,887K</w:t>
            </w:r>
          </w:p>
        </w:tc>
        <w:tc>
          <w:tcPr>
            <w:tcBorders>
              <w:top w:val="single" w:color="D4C9A8" w:sz="2"/>
              <w:left w:val="single" w:color="D4C9A8" w:sz="2"/>
              <w:bottom w:val="single" w:color="D4C9A8" w:sz="2"/>
              <w:right w:val="single" w:color="D4C9A8" w:sz="2"/>
            </w:tcBorders>
            <w:shd w:fill="FFFFFF"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$3,902K</w:t>
            </w:r>
          </w:p>
        </w:tc>
        <w:tc>
          <w:tcPr>
            <w:tcBorders>
              <w:top w:val="single" w:color="D4C9A8" w:sz="2"/>
              <w:left w:val="single" w:color="D4C9A8" w:sz="2"/>
              <w:bottom w:val="single" w:color="D4C9A8" w:sz="2"/>
              <w:right w:val="single" w:color="D4C9A8" w:sz="2"/>
            </w:tcBorders>
            <w:shd w:fill="FFFFFF"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$6,160K</w:t>
            </w:r>
          </w:p>
        </w:tc>
      </w:tr>
      <w:tr>
        <w:tc>
          <w:tcPr>
            <w:tcBorders>
              <w:top w:val="single" w:color="D4C9A8" w:sz="2"/>
              <w:left w:val="single" w:color="D4C9A8" w:sz="2"/>
              <w:bottom w:val="single" w:color="D4C9A8" w:sz="2"/>
              <w:right w:val="single" w:color="D4C9A8" w:sz="2"/>
            </w:tcBorders>
            <w:shd w:fill="F2F2F2" w:val="clear"/>
            <w:tcMar>
              <w:top w:type="dxa" w:w="120"/>
              <w:left w:type="dxa" w:w="160"/>
              <w:bottom w:type="dxa" w:w="120"/>
              <w:right w:type="dxa" w:w="160"/>
            </w:tcMar>
            <w:vAlign w:val="center"/>
          </w:tcPr>
          <w:p>
            <w:pPr>
              <w:jc w:val="left"/>
            </w:pPr>
            <w:r>
              <w:rPr>
                <w:rFonts w:ascii="Arial" w:cs="Arial" w:eastAsia="Arial" w:hAnsi="Arial"/>
                <w:b/>
                <w:bCs/>
                <w:color w:val="1C0C04"/>
                <w:sz w:val="22"/>
                <w:szCs w:val="22"/>
              </w:rPr>
              <w:t xml:space="preserve">Implied Asset Value Y7</w:t>
            </w:r>
          </w:p>
        </w:tc>
        <w:tc>
          <w:tcPr>
            <w:tcBorders>
              <w:top w:val="single" w:color="D4C9A8" w:sz="2"/>
              <w:left w:val="single" w:color="D4C9A8" w:sz="2"/>
              <w:bottom w:val="single" w:color="D4C9A8" w:sz="2"/>
              <w:right w:val="single" w:color="D4C9A8" w:sz="2"/>
            </w:tcBorders>
            <w:shd w:fill="F2F2F2"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~$21.5M</w:t>
            </w:r>
          </w:p>
        </w:tc>
        <w:tc>
          <w:tcPr>
            <w:tcBorders>
              <w:top w:val="single" w:color="D4C9A8" w:sz="2"/>
              <w:left w:val="single" w:color="D4C9A8" w:sz="2"/>
              <w:bottom w:val="single" w:color="D4C9A8" w:sz="2"/>
              <w:right w:val="single" w:color="D4C9A8" w:sz="2"/>
            </w:tcBorders>
            <w:shd w:fill="F2F2F2"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~$58.6M</w:t>
            </w:r>
          </w:p>
        </w:tc>
        <w:tc>
          <w:tcPr>
            <w:tcBorders>
              <w:top w:val="single" w:color="D4C9A8" w:sz="2"/>
              <w:left w:val="single" w:color="D4C9A8" w:sz="2"/>
              <w:bottom w:val="single" w:color="D4C9A8" w:sz="2"/>
              <w:right w:val="single" w:color="D4C9A8" w:sz="2"/>
            </w:tcBorders>
            <w:shd w:fill="F2F2F2"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~$107M</w:t>
            </w:r>
          </w:p>
        </w:tc>
      </w:tr>
      <w:tr>
        <w:tc>
          <w:tcPr>
            <w:tcBorders>
              <w:top w:val="single" w:color="D4C9A8" w:sz="2"/>
              <w:left w:val="single" w:color="D4C9A8" w:sz="2"/>
              <w:bottom w:val="single" w:color="D4C9A8" w:sz="2"/>
              <w:right w:val="single" w:color="D4C9A8" w:sz="2"/>
            </w:tcBorders>
            <w:shd w:fill="FFFFFF" w:val="clear"/>
            <w:tcMar>
              <w:top w:type="dxa" w:w="120"/>
              <w:left w:type="dxa" w:w="160"/>
              <w:bottom w:type="dxa" w:w="120"/>
              <w:right w:type="dxa" w:w="160"/>
            </w:tcMar>
            <w:vAlign w:val="center"/>
          </w:tcPr>
          <w:p>
            <w:pPr>
              <w:jc w:val="left"/>
            </w:pPr>
            <w:r>
              <w:rPr>
                <w:rFonts w:ascii="Arial" w:cs="Arial" w:eastAsia="Arial" w:hAnsi="Arial"/>
                <w:b/>
                <w:bCs/>
                <w:color w:val="1C0C04"/>
                <w:sz w:val="22"/>
                <w:szCs w:val="22"/>
              </w:rPr>
              <w:t xml:space="preserve">Equity Invested</w:t>
            </w:r>
          </w:p>
        </w:tc>
        <w:tc>
          <w:tcPr>
            <w:tcBorders>
              <w:top w:val="single" w:color="D4C9A8" w:sz="2"/>
              <w:left w:val="single" w:color="D4C9A8" w:sz="2"/>
              <w:bottom w:val="single" w:color="D4C9A8" w:sz="2"/>
              <w:right w:val="single" w:color="D4C9A8" w:sz="2"/>
            </w:tcBorders>
            <w:shd w:fill="FFFFFF"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$4,573K</w:t>
            </w:r>
          </w:p>
        </w:tc>
        <w:tc>
          <w:tcPr>
            <w:tcBorders>
              <w:top w:val="single" w:color="D4C9A8" w:sz="2"/>
              <w:left w:val="single" w:color="D4C9A8" w:sz="2"/>
              <w:bottom w:val="single" w:color="D4C9A8" w:sz="2"/>
              <w:right w:val="single" w:color="D4C9A8" w:sz="2"/>
            </w:tcBorders>
            <w:shd w:fill="FFFFFF"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$4,573K</w:t>
            </w:r>
          </w:p>
        </w:tc>
        <w:tc>
          <w:tcPr>
            <w:tcBorders>
              <w:top w:val="single" w:color="D4C9A8" w:sz="2"/>
              <w:left w:val="single" w:color="D4C9A8" w:sz="2"/>
              <w:bottom w:val="single" w:color="D4C9A8" w:sz="2"/>
              <w:right w:val="single" w:color="D4C9A8" w:sz="2"/>
            </w:tcBorders>
            <w:shd w:fill="FFFFFF"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$4,573K</w:t>
            </w:r>
          </w:p>
        </w:tc>
      </w:tr>
      <w:tr>
        <w:tc>
          <w:tcPr>
            <w:tcBorders>
              <w:top w:val="single" w:color="D4C9A8" w:sz="2"/>
              <w:left w:val="single" w:color="D4C9A8" w:sz="2"/>
              <w:bottom w:val="single" w:color="D4C9A8" w:sz="2"/>
              <w:right w:val="single" w:color="D4C9A8" w:sz="2"/>
            </w:tcBorders>
            <w:shd w:fill="F2F2F2" w:val="clear"/>
            <w:tcMar>
              <w:top w:type="dxa" w:w="120"/>
              <w:left w:type="dxa" w:w="160"/>
              <w:bottom w:type="dxa" w:w="120"/>
              <w:right w:type="dxa" w:w="160"/>
            </w:tcMar>
            <w:vAlign w:val="center"/>
          </w:tcPr>
          <w:p>
            <w:pPr>
              <w:jc w:val="left"/>
            </w:pPr>
            <w:r>
              <w:rPr>
                <w:rFonts w:ascii="Arial" w:cs="Arial" w:eastAsia="Arial" w:hAnsi="Arial"/>
                <w:b/>
                <w:bCs/>
                <w:color w:val="1C0C04"/>
                <w:sz w:val="22"/>
                <w:szCs w:val="22"/>
              </w:rPr>
              <w:t xml:space="preserve">Leveraged Equity Multiple (Y7)</w:t>
            </w:r>
          </w:p>
        </w:tc>
        <w:tc>
          <w:tcPr>
            <w:tcBorders>
              <w:top w:val="single" w:color="D4C9A8" w:sz="2"/>
              <w:left w:val="single" w:color="D4C9A8" w:sz="2"/>
              <w:bottom w:val="single" w:color="D4C9A8" w:sz="2"/>
              <w:right w:val="single" w:color="D4C9A8" w:sz="2"/>
            </w:tcBorders>
            <w:shd w:fill="F2F2F2"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6.2×</w:t>
            </w:r>
          </w:p>
        </w:tc>
        <w:tc>
          <w:tcPr>
            <w:tcBorders>
              <w:top w:val="single" w:color="D4C9A8" w:sz="2"/>
              <w:left w:val="single" w:color="D4C9A8" w:sz="2"/>
              <w:bottom w:val="single" w:color="D4C9A8" w:sz="2"/>
              <w:right w:val="single" w:color="D4C9A8" w:sz="2"/>
            </w:tcBorders>
            <w:shd w:fill="F2F2F2"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14.7×</w:t>
            </w:r>
          </w:p>
        </w:tc>
        <w:tc>
          <w:tcPr>
            <w:tcBorders>
              <w:top w:val="single" w:color="D4C9A8" w:sz="2"/>
              <w:left w:val="single" w:color="D4C9A8" w:sz="2"/>
              <w:bottom w:val="single" w:color="D4C9A8" w:sz="2"/>
              <w:right w:val="single" w:color="D4C9A8" w:sz="2"/>
            </w:tcBorders>
            <w:shd w:fill="F2F2F2"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24.4×</w:t>
            </w:r>
          </w:p>
        </w:tc>
      </w:tr>
    </w:tbl>
    <w:p>
      <w:pPr>
        <w:spacing w:before="80"/>
      </w:pPr>
    </w:p>
    <w:p>
      <w:pPr>
        <w:spacing w:before="60" w:after="120"/>
      </w:pPr>
      <w:r>
        <w:rPr>
          <w:rFonts w:ascii="Arial" w:cs="Arial" w:eastAsia="Arial" w:hAnsi="Arial"/>
          <w:b w:val="false"/>
          <w:bCs w:val="false"/>
          <w:i w:val="false"/>
          <w:iCs w:val="false"/>
          <w:color w:val="444444"/>
          <w:sz w:val="22"/>
          <w:szCs w:val="22"/>
        </w:rPr>
        <w:t xml:space="preserve">Downside protection is strong: break-even occupancy is ~23% of hourly room capacity (only ~16% crediting Zone D+E NNN base revenue). Even under a severe simultaneous stress scenario — occupancy 20% below model, venue revenue 40% below model, Zone E underperforming — the business generates positive NOI from operations.</w:t>
      </w:r>
    </w:p>
    <w:p>
      <w:pPr>
        <w:pageBreakBefore/>
        <w:spacing w:before="0" w:after="180"/>
      </w:pPr>
      <w:r>
        <w:rPr>
          <w:rFonts w:ascii="Georgia" w:cs="Georgia" w:eastAsia="Georgia" w:hAnsi="Georgia"/>
          <w:b/>
          <w:bCs/>
          <w:color w:val="1C0C04"/>
          <w:sz w:val="52"/>
          <w:szCs w:val="52"/>
        </w:rPr>
        <w:t xml:space="preserve">The Tax Advantage</w:t>
      </w:r>
    </w:p>
    <w:p>
      <w:pPr>
        <w:spacing w:before="60" w:after="120"/>
      </w:pPr>
      <w:r>
        <w:rPr>
          <w:rFonts w:ascii="Arial" w:cs="Arial" w:eastAsia="Arial" w:hAnsi="Arial"/>
          <w:b w:val="false"/>
          <w:bCs w:val="false"/>
          <w:i w:val="false"/>
          <w:iCs w:val="false"/>
          <w:color w:val="1C0C04"/>
          <w:sz w:val="22"/>
          <w:szCs w:val="22"/>
        </w:rPr>
        <w:t xml:space="preserve">The One Big Beautiful Bill Act (OBBBA), signed July 4, 2025, permanently restored 100% first-year bonus depreciation on qualifying assets for property acquired and placed in service after January 19, 2025. The Music Union 512 qualifies in full.</w:t>
      </w:r>
    </w:p>
    <w:p>
      <w:pPr>
        <w:spacing w:before="60" w:after="120"/>
      </w:pPr>
      <w:r>
        <w:rPr>
          <w:rFonts w:ascii="Arial" w:cs="Arial" w:eastAsia="Arial" w:hAnsi="Arial"/>
          <w:b w:val="false"/>
          <w:bCs w:val="false"/>
          <w:i w:val="false"/>
          <w:iCs w:val="false"/>
          <w:color w:val="1C0C04"/>
          <w:sz w:val="22"/>
          <w:szCs w:val="22"/>
        </w:rPr>
        <w:t xml:space="preserve">For investors structured as pass-through partners in the LLC, this creates a meaningful Year 1 tax benefit in addition to the operating returns:</w:t>
      </w:r>
    </w:p>
    <w:p>
      <w:pPr>
        <w:spacing w:before="8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120"/>
        <w:gridCol w:w="3120"/>
        <w:gridCol w:w="3120"/>
      </w:tblGrid>
      <w:tr>
        <w:tc>
          <w:tcPr>
            <w:tcBorders>
              <w:top w:val="single" w:color="D4C9A8" w:sz="2"/>
              <w:left w:val="single" w:color="D4C9A8" w:sz="2"/>
              <w:bottom w:val="single" w:color="D4C9A8" w:sz="2"/>
              <w:right w:val="single" w:color="D4C9A8" w:sz="2"/>
            </w:tcBorders>
            <w:shd w:fill="1C0C04" w:val="clear"/>
            <w:tcMar>
              <w:top w:type="dxa" w:w="120"/>
              <w:left w:type="dxa" w:w="160"/>
              <w:bottom w:type="dxa" w:w="120"/>
              <w:right w:type="dxa" w:w="160"/>
            </w:tcMar>
            <w:vAlign w:val="center"/>
          </w:tcPr>
          <w:p>
            <w:pPr>
              <w:jc w:val="left"/>
            </w:pPr>
            <w:r>
              <w:rPr>
                <w:rFonts w:ascii="Arial" w:cs="Arial" w:eastAsia="Arial" w:hAnsi="Arial"/>
                <w:b/>
                <w:bCs/>
                <w:color w:val="FFFFFF"/>
                <w:sz w:val="20"/>
                <w:szCs w:val="20"/>
              </w:rPr>
              <w:t xml:space="preserve">Tax Metric</w:t>
            </w:r>
          </w:p>
        </w:tc>
        <w:tc>
          <w:tcPr>
            <w:tcBorders>
              <w:top w:val="single" w:color="D4C9A8" w:sz="2"/>
              <w:left w:val="single" w:color="D4C9A8" w:sz="2"/>
              <w:bottom w:val="single" w:color="D4C9A8" w:sz="2"/>
              <w:right w:val="single" w:color="D4C9A8" w:sz="2"/>
            </w:tcBorders>
            <w:shd w:fill="1C0C04" w:val="clear"/>
            <w:tcMar>
              <w:top w:type="dxa" w:w="120"/>
              <w:left w:type="dxa" w:w="160"/>
              <w:bottom w:type="dxa" w:w="120"/>
              <w:right w:type="dxa" w:w="160"/>
            </w:tcMar>
            <w:vAlign w:val="center"/>
          </w:tcPr>
          <w:p>
            <w:pPr>
              <w:jc w:val="center"/>
            </w:pPr>
            <w:r>
              <w:rPr>
                <w:rFonts w:ascii="Arial" w:cs="Arial" w:eastAsia="Arial" w:hAnsi="Arial"/>
                <w:b/>
                <w:bCs/>
                <w:color w:val="FFFFFF"/>
                <w:sz w:val="20"/>
                <w:szCs w:val="20"/>
              </w:rPr>
              <w:t xml:space="preserve">Standard CRE Estimate</w:t>
            </w:r>
          </w:p>
        </w:tc>
        <w:tc>
          <w:tcPr>
            <w:tcBorders>
              <w:top w:val="single" w:color="D4C9A8" w:sz="2"/>
              <w:left w:val="single" w:color="D4C9A8" w:sz="2"/>
              <w:bottom w:val="single" w:color="D4C9A8" w:sz="2"/>
              <w:right w:val="single" w:color="D4C9A8" w:sz="2"/>
            </w:tcBorders>
            <w:shd w:fill="1C0C04" w:val="clear"/>
            <w:tcMar>
              <w:top w:type="dxa" w:w="120"/>
              <w:left w:type="dxa" w:w="160"/>
              <w:bottom w:type="dxa" w:w="120"/>
              <w:right w:type="dxa" w:w="160"/>
            </w:tcMar>
            <w:vAlign w:val="center"/>
          </w:tcPr>
          <w:p>
            <w:pPr>
              <w:jc w:val="center"/>
            </w:pPr>
            <w:r>
              <w:rPr>
                <w:rFonts w:ascii="Arial" w:cs="Arial" w:eastAsia="Arial" w:hAnsi="Arial"/>
                <w:b/>
                <w:bCs/>
                <w:color w:val="FFFFFF"/>
                <w:sz w:val="20"/>
                <w:szCs w:val="20"/>
              </w:rPr>
              <w:t xml:space="preserve">ESAS + Union Builds Estimate</w:t>
            </w:r>
          </w:p>
        </w:tc>
      </w:tr>
      <w:tr>
        <w:tc>
          <w:tcPr>
            <w:tcBorders>
              <w:top w:val="single" w:color="D4C9A8" w:sz="2"/>
              <w:left w:val="single" w:color="D4C9A8" w:sz="2"/>
              <w:bottom w:val="single" w:color="D4C9A8" w:sz="2"/>
              <w:right w:val="single" w:color="D4C9A8" w:sz="2"/>
            </w:tcBorders>
            <w:shd w:fill="FFFFFF" w:val="clear"/>
            <w:tcMar>
              <w:top w:type="dxa" w:w="120"/>
              <w:left w:type="dxa" w:w="160"/>
              <w:bottom w:type="dxa" w:w="120"/>
              <w:right w:type="dxa" w:w="160"/>
            </w:tcMar>
            <w:vAlign w:val="center"/>
          </w:tcPr>
          <w:p>
            <w:pPr>
              <w:jc w:val="left"/>
            </w:pPr>
            <w:r>
              <w:rPr>
                <w:rFonts w:ascii="Arial" w:cs="Arial" w:eastAsia="Arial" w:hAnsi="Arial"/>
                <w:b/>
                <w:bCs/>
                <w:color w:val="1C0C04"/>
                <w:sz w:val="22"/>
                <w:szCs w:val="22"/>
              </w:rPr>
              <w:t xml:space="preserve">Year 1 eligible deductions (depreciation)</w:t>
            </w:r>
          </w:p>
        </w:tc>
        <w:tc>
          <w:tcPr>
            <w:tcBorders>
              <w:top w:val="single" w:color="D4C9A8" w:sz="2"/>
              <w:left w:val="single" w:color="D4C9A8" w:sz="2"/>
              <w:bottom w:val="single" w:color="D4C9A8" w:sz="2"/>
              <w:right w:val="single" w:color="D4C9A8" w:sz="2"/>
            </w:tcBorders>
            <w:shd w:fill="FFFFFF"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$2.5M–$3.5M</w:t>
            </w:r>
          </w:p>
        </w:tc>
        <w:tc>
          <w:tcPr>
            <w:tcBorders>
              <w:top w:val="single" w:color="D4C9A8" w:sz="2"/>
              <w:left w:val="single" w:color="D4C9A8" w:sz="2"/>
              <w:bottom w:val="single" w:color="D4C9A8" w:sz="2"/>
              <w:right w:val="single" w:color="D4C9A8" w:sz="2"/>
            </w:tcBorders>
            <w:shd w:fill="FFFFFF"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$3.8M–$5.2M</w:t>
            </w:r>
          </w:p>
        </w:tc>
      </w:tr>
      <w:tr>
        <w:tc>
          <w:tcPr>
            <w:tcBorders>
              <w:top w:val="single" w:color="D4C9A8" w:sz="2"/>
              <w:left w:val="single" w:color="D4C9A8" w:sz="2"/>
              <w:bottom w:val="single" w:color="D4C9A8" w:sz="2"/>
              <w:right w:val="single" w:color="D4C9A8" w:sz="2"/>
            </w:tcBorders>
            <w:shd w:fill="F2F2F2" w:val="clear"/>
            <w:tcMar>
              <w:top w:type="dxa" w:w="120"/>
              <w:left w:type="dxa" w:w="160"/>
              <w:bottom w:type="dxa" w:w="120"/>
              <w:right w:type="dxa" w:w="160"/>
            </w:tcMar>
            <w:vAlign w:val="center"/>
          </w:tcPr>
          <w:p>
            <w:pPr>
              <w:jc w:val="left"/>
            </w:pPr>
            <w:r>
              <w:rPr>
                <w:rFonts w:ascii="Arial" w:cs="Arial" w:eastAsia="Arial" w:hAnsi="Arial"/>
                <w:b/>
                <w:bCs/>
                <w:color w:val="1A5C2A"/>
                <w:sz w:val="22"/>
                <w:szCs w:val="22"/>
              </w:rPr>
              <w:t xml:space="preserve">Year 1 interest expense deduction</w:t>
            </w:r>
          </w:p>
        </w:tc>
        <w:tc>
          <w:tcPr>
            <w:tcBorders>
              <w:top w:val="single" w:color="D4C9A8" w:sz="2"/>
              <w:left w:val="single" w:color="D4C9A8" w:sz="2"/>
              <w:bottom w:val="single" w:color="D4C9A8" w:sz="2"/>
              <w:right w:val="single" w:color="D4C9A8" w:sz="2"/>
            </w:tcBorders>
            <w:shd w:fill="F2F2F2"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$0 (all-cash)</w:t>
            </w:r>
          </w:p>
        </w:tc>
        <w:tc>
          <w:tcPr>
            <w:tcBorders>
              <w:top w:val="single" w:color="D4C9A8" w:sz="2"/>
              <w:left w:val="single" w:color="D4C9A8" w:sz="2"/>
              <w:bottom w:val="single" w:color="D4C9A8" w:sz="2"/>
              <w:right w:val="single" w:color="D4C9A8" w:sz="2"/>
            </w:tcBorders>
            <w:shd w:fill="F2F2F2"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~$632,823 (leveraged)</w:t>
            </w:r>
          </w:p>
        </w:tc>
      </w:tr>
      <w:tr>
        <w:tc>
          <w:tcPr>
            <w:tcBorders>
              <w:top w:val="single" w:color="D4C9A8" w:sz="2"/>
              <w:left w:val="single" w:color="D4C9A8" w:sz="2"/>
              <w:bottom w:val="single" w:color="D4C9A8" w:sz="2"/>
              <w:right w:val="single" w:color="D4C9A8" w:sz="2"/>
            </w:tcBorders>
            <w:shd w:fill="FFFFFF" w:val="clear"/>
            <w:tcMar>
              <w:top w:type="dxa" w:w="120"/>
              <w:left w:type="dxa" w:w="160"/>
              <w:bottom w:type="dxa" w:w="120"/>
              <w:right w:type="dxa" w:w="160"/>
            </w:tcMar>
            <w:vAlign w:val="center"/>
          </w:tcPr>
          <w:p>
            <w:pPr>
              <w:jc w:val="left"/>
            </w:pPr>
            <w:r>
              <w:rPr>
                <w:rFonts w:ascii="Arial" w:cs="Arial" w:eastAsia="Arial" w:hAnsi="Arial"/>
                <w:b/>
                <w:bCs/>
                <w:color w:val="1C0C04"/>
                <w:sz w:val="22"/>
                <w:szCs w:val="22"/>
              </w:rPr>
              <w:t xml:space="preserve">Total Year 1 K-1 deductions (leveraged)</w:t>
            </w:r>
          </w:p>
        </w:tc>
        <w:tc>
          <w:tcPr>
            <w:tcBorders>
              <w:top w:val="single" w:color="D4C9A8" w:sz="2"/>
              <w:left w:val="single" w:color="D4C9A8" w:sz="2"/>
              <w:bottom w:val="single" w:color="D4C9A8" w:sz="2"/>
              <w:right w:val="single" w:color="D4C9A8" w:sz="2"/>
            </w:tcBorders>
            <w:shd w:fill="FFFFFF"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$3.1M–$4.1M</w:t>
            </w:r>
          </w:p>
        </w:tc>
        <w:tc>
          <w:tcPr>
            <w:tcBorders>
              <w:top w:val="single" w:color="D4C9A8" w:sz="2"/>
              <w:left w:val="single" w:color="D4C9A8" w:sz="2"/>
              <w:bottom w:val="single" w:color="D4C9A8" w:sz="2"/>
              <w:right w:val="single" w:color="D4C9A8" w:sz="2"/>
            </w:tcBorders>
            <w:shd w:fill="FFFFFF"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$4.4M–$5.8M</w:t>
            </w:r>
          </w:p>
        </w:tc>
      </w:tr>
      <w:tr>
        <w:tc>
          <w:tcPr>
            <w:tcBorders>
              <w:top w:val="single" w:color="D4C9A8" w:sz="2"/>
              <w:left w:val="single" w:color="D4C9A8" w:sz="2"/>
              <w:bottom w:val="single" w:color="D4C9A8" w:sz="2"/>
              <w:right w:val="single" w:color="D4C9A8" w:sz="2"/>
            </w:tcBorders>
            <w:shd w:fill="F2F2F2" w:val="clear"/>
            <w:tcMar>
              <w:top w:type="dxa" w:w="120"/>
              <w:left w:type="dxa" w:w="160"/>
              <w:bottom w:type="dxa" w:w="120"/>
              <w:right w:type="dxa" w:w="160"/>
            </w:tcMar>
            <w:vAlign w:val="center"/>
          </w:tcPr>
          <w:p>
            <w:pPr>
              <w:jc w:val="left"/>
            </w:pPr>
            <w:r>
              <w:rPr>
                <w:rFonts w:ascii="Arial" w:cs="Arial" w:eastAsia="Arial" w:hAnsi="Arial"/>
                <w:b/>
                <w:bCs/>
                <w:color w:val="1A5C2A"/>
                <w:sz w:val="22"/>
                <w:szCs w:val="22"/>
              </w:rPr>
              <w:t xml:space="preserve">Collective tax savings at 37% bracket</w:t>
            </w:r>
          </w:p>
        </w:tc>
        <w:tc>
          <w:tcPr>
            <w:tcBorders>
              <w:top w:val="single" w:color="D4C9A8" w:sz="2"/>
              <w:left w:val="single" w:color="D4C9A8" w:sz="2"/>
              <w:bottom w:val="single" w:color="D4C9A8" w:sz="2"/>
              <w:right w:val="single" w:color="D4C9A8" w:sz="2"/>
            </w:tcBorders>
            <w:shd w:fill="F2F2F2"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$1.1M–$1.5M</w:t>
            </w:r>
          </w:p>
        </w:tc>
        <w:tc>
          <w:tcPr>
            <w:tcBorders>
              <w:top w:val="single" w:color="D4C9A8" w:sz="2"/>
              <w:left w:val="single" w:color="D4C9A8" w:sz="2"/>
              <w:bottom w:val="single" w:color="D4C9A8" w:sz="2"/>
              <w:right w:val="single" w:color="D4C9A8" w:sz="2"/>
            </w:tcBorders>
            <w:shd w:fill="F2F2F2"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$1.6M–$2.1M</w:t>
            </w:r>
          </w:p>
        </w:tc>
      </w:tr>
      <w:tr>
        <w:tc>
          <w:tcPr>
            <w:tcBorders>
              <w:top w:val="single" w:color="D4C9A8" w:sz="2"/>
              <w:left w:val="single" w:color="D4C9A8" w:sz="2"/>
              <w:bottom w:val="single" w:color="D4C9A8" w:sz="2"/>
              <w:right w:val="single" w:color="D4C9A8" w:sz="2"/>
            </w:tcBorders>
            <w:shd w:fill="FFFFFF" w:val="clear"/>
            <w:tcMar>
              <w:top w:type="dxa" w:w="120"/>
              <w:left w:type="dxa" w:w="160"/>
              <w:bottom w:type="dxa" w:w="120"/>
              <w:right w:type="dxa" w:w="160"/>
            </w:tcMar>
            <w:vAlign w:val="center"/>
          </w:tcPr>
          <w:p>
            <w:pPr>
              <w:jc w:val="left"/>
            </w:pPr>
            <w:r>
              <w:rPr>
                <w:rFonts w:ascii="Arial" w:cs="Arial" w:eastAsia="Arial" w:hAnsi="Arial"/>
                <w:b/>
                <w:bCs/>
                <w:color w:val="1C0C04"/>
                <w:sz w:val="22"/>
                <w:szCs w:val="22"/>
              </w:rPr>
              <w:t xml:space="preserve">$1M Founding Partner — Year 1 K-1 deductions</w:t>
            </w:r>
          </w:p>
        </w:tc>
        <w:tc>
          <w:tcPr>
            <w:tcBorders>
              <w:top w:val="single" w:color="D4C9A8" w:sz="2"/>
              <w:left w:val="single" w:color="D4C9A8" w:sz="2"/>
              <w:bottom w:val="single" w:color="D4C9A8" w:sz="2"/>
              <w:right w:val="single" w:color="D4C9A8" w:sz="2"/>
            </w:tcBorders>
            <w:shd w:fill="FFFFFF"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~$670K</w:t>
            </w:r>
          </w:p>
        </w:tc>
        <w:tc>
          <w:tcPr>
            <w:tcBorders>
              <w:top w:val="single" w:color="D4C9A8" w:sz="2"/>
              <w:left w:val="single" w:color="D4C9A8" w:sz="2"/>
              <w:bottom w:val="single" w:color="D4C9A8" w:sz="2"/>
              <w:right w:val="single" w:color="D4C9A8" w:sz="2"/>
            </w:tcBorders>
            <w:shd w:fill="FFFFFF"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~$800K+</w:t>
            </w:r>
          </w:p>
        </w:tc>
      </w:tr>
      <w:tr>
        <w:tc>
          <w:tcPr>
            <w:tcBorders>
              <w:top w:val="single" w:color="D4C9A8" w:sz="2"/>
              <w:left w:val="single" w:color="D4C9A8" w:sz="2"/>
              <w:bottom w:val="single" w:color="D4C9A8" w:sz="2"/>
              <w:right w:val="single" w:color="D4C9A8" w:sz="2"/>
            </w:tcBorders>
            <w:shd w:fill="F2F2F2" w:val="clear"/>
            <w:tcMar>
              <w:top w:type="dxa" w:w="120"/>
              <w:left w:type="dxa" w:w="160"/>
              <w:bottom w:type="dxa" w:w="120"/>
              <w:right w:type="dxa" w:w="160"/>
            </w:tcMar>
            <w:vAlign w:val="center"/>
          </w:tcPr>
          <w:p>
            <w:pPr>
              <w:jc w:val="left"/>
            </w:pPr>
            <w:r>
              <w:rPr>
                <w:rFonts w:ascii="Arial" w:cs="Arial" w:eastAsia="Arial" w:hAnsi="Arial"/>
                <w:b/>
                <w:bCs/>
                <w:color w:val="1A5C2A"/>
                <w:sz w:val="22"/>
                <w:szCs w:val="22"/>
              </w:rPr>
              <w:t xml:space="preserve">$1M Founding Partner — Year 1 tax savings (37%)</w:t>
            </w:r>
          </w:p>
        </w:tc>
        <w:tc>
          <w:tcPr>
            <w:tcBorders>
              <w:top w:val="single" w:color="D4C9A8" w:sz="2"/>
              <w:left w:val="single" w:color="D4C9A8" w:sz="2"/>
              <w:bottom w:val="single" w:color="D4C9A8" w:sz="2"/>
              <w:right w:val="single" w:color="D4C9A8" w:sz="2"/>
            </w:tcBorders>
            <w:shd w:fill="F2F2F2"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~$248K</w:t>
            </w:r>
          </w:p>
        </w:tc>
        <w:tc>
          <w:tcPr>
            <w:tcBorders>
              <w:top w:val="single" w:color="D4C9A8" w:sz="2"/>
              <w:left w:val="single" w:color="D4C9A8" w:sz="2"/>
              <w:bottom w:val="single" w:color="D4C9A8" w:sz="2"/>
              <w:right w:val="single" w:color="D4C9A8" w:sz="2"/>
            </w:tcBorders>
            <w:shd w:fill="F2F2F2"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~$296K+</w:t>
            </w:r>
          </w:p>
        </w:tc>
      </w:tr>
      <w:tr>
        <w:tc>
          <w:tcPr>
            <w:tcBorders>
              <w:top w:val="single" w:color="D4C9A8" w:sz="2"/>
              <w:left w:val="single" w:color="D4C9A8" w:sz="2"/>
              <w:bottom w:val="single" w:color="D4C9A8" w:sz="2"/>
              <w:right w:val="single" w:color="D4C9A8" w:sz="2"/>
            </w:tcBorders>
            <w:shd w:fill="FFFFFF" w:val="clear"/>
            <w:tcMar>
              <w:top w:type="dxa" w:w="120"/>
              <w:left w:type="dxa" w:w="160"/>
              <w:bottom w:type="dxa" w:w="120"/>
              <w:right w:type="dxa" w:w="160"/>
            </w:tcMar>
            <w:vAlign w:val="center"/>
          </w:tcPr>
          <w:p>
            <w:pPr>
              <w:jc w:val="left"/>
            </w:pPr>
            <w:r>
              <w:rPr>
                <w:rFonts w:ascii="Arial" w:cs="Arial" w:eastAsia="Arial" w:hAnsi="Arial"/>
                <w:b/>
                <w:bCs/>
                <w:color w:val="1A5C2A"/>
                <w:sz w:val="22"/>
                <w:szCs w:val="22"/>
              </w:rPr>
              <w:t xml:space="preserve">Texas state income tax</w:t>
            </w:r>
          </w:p>
        </w:tc>
        <w:tc>
          <w:tcPr>
            <w:tcBorders>
              <w:top w:val="single" w:color="D4C9A8" w:sz="2"/>
              <w:left w:val="single" w:color="D4C9A8" w:sz="2"/>
              <w:bottom w:val="single" w:color="D4C9A8" w:sz="2"/>
              <w:right w:val="single" w:color="D4C9A8" w:sz="2"/>
            </w:tcBorders>
            <w:shd w:fill="FFFFFF"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$0</w:t>
            </w:r>
          </w:p>
        </w:tc>
        <w:tc>
          <w:tcPr>
            <w:tcBorders>
              <w:top w:val="single" w:color="D4C9A8" w:sz="2"/>
              <w:left w:val="single" w:color="D4C9A8" w:sz="2"/>
              <w:bottom w:val="single" w:color="D4C9A8" w:sz="2"/>
              <w:right w:val="single" w:color="D4C9A8" w:sz="2"/>
            </w:tcBorders>
            <w:shd w:fill="FFFFFF" w:val="clear"/>
            <w:tcMar>
              <w:top w:type="dxa" w:w="120"/>
              <w:left w:type="dxa" w:w="160"/>
              <w:bottom w:type="dxa" w:w="120"/>
              <w:right w:type="dxa" w:w="160"/>
            </w:tcMar>
            <w:vAlign w:val="center"/>
          </w:tcPr>
          <w:p>
            <w:pPr>
              <w:jc w:val="center"/>
            </w:pPr>
            <w:r>
              <w:rPr>
                <w:rFonts w:ascii="Arial" w:cs="Arial" w:eastAsia="Arial" w:hAnsi="Arial"/>
                <w:b w:val="false"/>
                <w:bCs w:val="false"/>
                <w:color w:val="1A5C2A"/>
                <w:sz w:val="22"/>
                <w:szCs w:val="22"/>
              </w:rPr>
              <w:t xml:space="preserve">$0 — no state income tax</w:t>
            </w:r>
          </w:p>
        </w:tc>
      </w:tr>
    </w:tbl>
    <w:p>
      <w:pPr>
        <w:spacing w:before="80"/>
      </w:pPr>
    </w:p>
    <w:p>
      <w:pPr>
        <w:spacing w:before="60" w:after="120"/>
      </w:pPr>
      <w:r>
        <w:rPr>
          <w:rFonts w:ascii="Arial" w:cs="Arial" w:eastAsia="Arial" w:hAnsi="Arial"/>
          <w:b w:val="false"/>
          <w:bCs w:val="false"/>
          <w:i w:val="false"/>
          <w:iCs w:val="false"/>
          <w:color w:val="1C0C04"/>
          <w:sz w:val="22"/>
          <w:szCs w:val="22"/>
        </w:rPr>
        <w:t xml:space="preserve">Key point: depreciation is calculated on the full cost basis regardless of financing. Financing the deal at 65/35 does not reduce the depreciation pool by a dollar — it adds a ~$633K interest deduction on top. A $1M investor in the leveraged structure owns 21.9% of the equity (vs. 7.8% all-cash) — 2.8× more ownership, 2.8× more depreciation, 2.8× more tax savings on the same check.</w:t>
      </w:r>
    </w:p>
    <w:p>
      <w:pPr>
        <w:spacing w:before="40"/>
      </w:pPr>
    </w:p>
    <w:p>
      <w:pPr>
        <w:spacing w:before="60" w:after="120"/>
      </w:pPr>
      <w:r>
        <w:rPr>
          <w:rFonts w:ascii="Arial" w:cs="Arial" w:eastAsia="Arial" w:hAnsi="Arial"/>
          <w:b w:val="false"/>
          <w:bCs w:val="false"/>
          <w:i w:val="false"/>
          <w:iCs w:val="false"/>
          <w:color w:val="555555"/>
          <w:sz w:val="22"/>
          <w:szCs w:val="22"/>
        </w:rPr>
        <w:t xml:space="preserve">A cost segregation study should be commissioned at or before close. Budget: $8K–$15K. Every dollar it reclassifies to short-life personal property is eligible for 100% Year 1 write-off under OBBBA.</w:t>
      </w:r>
    </w:p>
    <w:p>
      <w:pPr>
        <w:pageBreakBefore/>
        <w:spacing w:before="0" w:after="180"/>
      </w:pPr>
      <w:r>
        <w:rPr>
          <w:rFonts w:ascii="Georgia" w:cs="Georgia" w:eastAsia="Georgia" w:hAnsi="Georgia"/>
          <w:b/>
          <w:bCs/>
          <w:color w:val="1C0C04"/>
          <w:sz w:val="52"/>
          <w:szCs w:val="52"/>
        </w:rPr>
        <w:t xml:space="preserve">The Investment</w:t>
      </w:r>
    </w:p>
    <w:p>
      <w:pPr>
        <w:spacing w:before="280" w:after="100"/>
      </w:pPr>
      <w:r>
        <w:rPr>
          <w:rFonts w:ascii="Arial" w:cs="Arial" w:eastAsia="Arial" w:hAnsi="Arial"/>
          <w:b/>
          <w:bCs/>
          <w:color w:val="B8150C"/>
          <w:sz w:val="26"/>
          <w:szCs w:val="26"/>
        </w:rPr>
        <w:t xml:space="preserve">What We Are Building</w:t>
      </w:r>
    </w:p>
    <w:p>
      <w:pPr>
        <w:spacing w:before="60" w:after="80"/>
        <w:ind w:left="360" w:hanging="240"/>
      </w:pPr>
      <w:r>
        <w:rPr>
          <w:rFonts w:ascii="Arial" w:cs="Arial" w:eastAsia="Arial" w:hAnsi="Arial"/>
          <w:color w:val="C9A84C"/>
          <w:sz w:val="22"/>
          <w:szCs w:val="22"/>
        </w:rPr>
        <w:t xml:space="preserve">— </w:t>
      </w:r>
      <w:r>
        <w:rPr>
          <w:rFonts w:ascii="Arial" w:cs="Arial" w:eastAsia="Arial" w:hAnsi="Arial"/>
          <w:color w:val="1C0C04"/>
          <w:sz w:val="22"/>
          <w:szCs w:val="22"/>
        </w:rPr>
        <w:t xml:space="preserve">Chapter 512 of a national music campus network — the first in a repeatable, branded playbook</w:t>
      </w:r>
    </w:p>
    <w:p>
      <w:pPr>
        <w:spacing w:before="60" w:after="80"/>
        <w:ind w:left="360" w:hanging="240"/>
      </w:pPr>
      <w:r>
        <w:rPr>
          <w:rFonts w:ascii="Arial" w:cs="Arial" w:eastAsia="Arial" w:hAnsi="Arial"/>
          <w:color w:val="C9A84C"/>
          <w:sz w:val="22"/>
          <w:szCs w:val="22"/>
        </w:rPr>
        <w:t xml:space="preserve">— </w:t>
      </w:r>
      <w:r>
        <w:rPr>
          <w:rFonts w:ascii="Arial" w:cs="Arial" w:eastAsia="Arial" w:hAnsi="Arial"/>
          <w:color w:val="1C0C04"/>
          <w:sz w:val="22"/>
          <w:szCs w:val="22"/>
        </w:rPr>
        <w:t xml:space="preserve">A permanent cash-flowing real estate asset in one of the fastest-appreciating creative corridors in America</w:t>
      </w:r>
    </w:p>
    <w:p>
      <w:pPr>
        <w:spacing w:before="60" w:after="80"/>
        <w:ind w:left="360" w:hanging="240"/>
      </w:pPr>
      <w:r>
        <w:rPr>
          <w:rFonts w:ascii="Arial" w:cs="Arial" w:eastAsia="Arial" w:hAnsi="Arial"/>
          <w:color w:val="C9A84C"/>
          <w:sz w:val="22"/>
          <w:szCs w:val="22"/>
        </w:rPr>
        <w:t xml:space="preserve">— </w:t>
      </w:r>
      <w:r>
        <w:rPr>
          <w:rFonts w:ascii="Arial" w:cs="Arial" w:eastAsia="Arial" w:hAnsi="Arial"/>
          <w:color w:val="1C0C04"/>
          <w:sz w:val="22"/>
          <w:szCs w:val="22"/>
        </w:rPr>
        <w:t xml:space="preserve">The founding chapter of an institution: cross-city membership, touring circuit, group insurance, national sponsorship</w:t>
      </w:r>
    </w:p>
    <w:p>
      <w:pPr>
        <w:spacing w:before="60" w:after="80"/>
        <w:ind w:left="360" w:hanging="240"/>
      </w:pPr>
      <w:r>
        <w:rPr>
          <w:rFonts w:ascii="Arial" w:cs="Arial" w:eastAsia="Arial" w:hAnsi="Arial"/>
          <w:color w:val="C9A84C"/>
          <w:sz w:val="22"/>
          <w:szCs w:val="22"/>
        </w:rPr>
        <w:t xml:space="preserve">— </w:t>
      </w:r>
      <w:r>
        <w:rPr>
          <w:rFonts w:ascii="Arial" w:cs="Arial" w:eastAsia="Arial" w:hAnsi="Arial"/>
          <w:color w:val="1C0C04"/>
          <w:sz w:val="22"/>
          <w:szCs w:val="22"/>
        </w:rPr>
        <w:t xml:space="preserve">A depreciation-amplified investment structure where the design philosophy and the tax strategy are the same decision</w:t>
      </w:r>
    </w:p>
    <w:p>
      <w:pPr>
        <w:spacing w:before="80"/>
      </w:pPr>
    </w:p>
    <w:p>
      <w:pPr>
        <w:spacing w:before="280" w:after="100"/>
      </w:pPr>
      <w:r>
        <w:rPr>
          <w:rFonts w:ascii="Arial" w:cs="Arial" w:eastAsia="Arial" w:hAnsi="Arial"/>
          <w:b/>
          <w:bCs/>
          <w:color w:val="B8150C"/>
          <w:sz w:val="26"/>
          <w:szCs w:val="26"/>
        </w:rPr>
        <w:t xml:space="preserve">What Founding Partners Receive</w:t>
      </w:r>
    </w:p>
    <w:p>
      <w:pPr>
        <w:spacing w:before="60" w:after="80"/>
        <w:ind w:left="360" w:hanging="240"/>
      </w:pPr>
      <w:r>
        <w:rPr>
          <w:rFonts w:ascii="Arial" w:cs="Arial" w:eastAsia="Arial" w:hAnsi="Arial"/>
          <w:color w:val="C9A84C"/>
          <w:sz w:val="22"/>
          <w:szCs w:val="22"/>
        </w:rPr>
        <w:t xml:space="preserve">— </w:t>
      </w:r>
      <w:r>
        <w:rPr>
          <w:rFonts w:ascii="Arial" w:cs="Arial" w:eastAsia="Arial" w:hAnsi="Arial"/>
          <w:color w:val="1C0C04"/>
          <w:sz w:val="22"/>
          <w:szCs w:val="22"/>
        </w:rPr>
        <w:t xml:space="preserve">Pro-rata equity in The Music Union 512 LLC with full pass-through economics</w:t>
      </w:r>
    </w:p>
    <w:p>
      <w:pPr>
        <w:spacing w:before="60" w:after="80"/>
        <w:ind w:left="360" w:hanging="240"/>
      </w:pPr>
      <w:r>
        <w:rPr>
          <w:rFonts w:ascii="Arial" w:cs="Arial" w:eastAsia="Arial" w:hAnsi="Arial"/>
          <w:color w:val="C9A84C"/>
          <w:sz w:val="22"/>
          <w:szCs w:val="22"/>
        </w:rPr>
        <w:t xml:space="preserve">— </w:t>
      </w:r>
      <w:r>
        <w:rPr>
          <w:rFonts w:ascii="Arial" w:cs="Arial" w:eastAsia="Arial" w:hAnsi="Arial"/>
          <w:color w:val="1C0C04"/>
          <w:sz w:val="22"/>
          <w:szCs w:val="22"/>
        </w:rPr>
        <w:t xml:space="preserve">Proportional Year 1 K-1 depreciation deductions — $670K–$800K+ for a $1M investment</w:t>
      </w:r>
    </w:p>
    <w:p>
      <w:pPr>
        <w:spacing w:before="60" w:after="80"/>
        <w:ind w:left="360" w:hanging="240"/>
      </w:pPr>
      <w:r>
        <w:rPr>
          <w:rFonts w:ascii="Arial" w:cs="Arial" w:eastAsia="Arial" w:hAnsi="Arial"/>
          <w:color w:val="C9A84C"/>
          <w:sz w:val="22"/>
          <w:szCs w:val="22"/>
        </w:rPr>
        <w:t xml:space="preserve">— </w:t>
      </w:r>
      <w:r>
        <w:rPr>
          <w:rFonts w:ascii="Arial" w:cs="Arial" w:eastAsia="Arial" w:hAnsi="Arial"/>
          <w:color w:val="1C0C04"/>
          <w:sz w:val="22"/>
          <w:szCs w:val="22"/>
        </w:rPr>
        <w:t xml:space="preserve">Permanent Founding Partner recognition — named on the building, annual dinner, dedicated contact</w:t>
      </w:r>
    </w:p>
    <w:p>
      <w:pPr>
        <w:spacing w:before="60" w:after="80"/>
        <w:ind w:left="360" w:hanging="240"/>
      </w:pPr>
      <w:r>
        <w:rPr>
          <w:rFonts w:ascii="Arial" w:cs="Arial" w:eastAsia="Arial" w:hAnsi="Arial"/>
          <w:color w:val="C9A84C"/>
          <w:sz w:val="22"/>
          <w:szCs w:val="22"/>
        </w:rPr>
        <w:t xml:space="preserve">— </w:t>
      </w:r>
      <w:r>
        <w:rPr>
          <w:rFonts w:ascii="Arial" w:cs="Arial" w:eastAsia="Arial" w:hAnsi="Arial"/>
          <w:color w:val="1C0C04"/>
          <w:sz w:val="22"/>
          <w:szCs w:val="22"/>
        </w:rPr>
        <w:t xml:space="preserve">Complimentary lifetime access to all zones and all shows at every chapter, for life</w:t>
      </w:r>
    </w:p>
    <w:p>
      <w:pPr>
        <w:spacing w:before="60" w:after="80"/>
        <w:ind w:left="360" w:hanging="240"/>
      </w:pPr>
      <w:r>
        <w:rPr>
          <w:rFonts w:ascii="Arial" w:cs="Arial" w:eastAsia="Arial" w:hAnsi="Arial"/>
          <w:color w:val="C9A84C"/>
          <w:sz w:val="22"/>
          <w:szCs w:val="22"/>
        </w:rPr>
        <w:t xml:space="preserve">— </w:t>
      </w:r>
      <w:r>
        <w:rPr>
          <w:rFonts w:ascii="Arial" w:cs="Arial" w:eastAsia="Arial" w:hAnsi="Arial"/>
          <w:color w:val="1C0C04"/>
          <w:sz w:val="22"/>
          <w:szCs w:val="22"/>
        </w:rPr>
        <w:t xml:space="preserve">First right of refusal on future chapter investments before outside capital is solicited</w:t>
      </w:r>
    </w:p>
    <w:p>
      <w:pPr>
        <w:spacing w:before="60" w:after="80"/>
        <w:ind w:left="360" w:hanging="240"/>
      </w:pPr>
      <w:r>
        <w:rPr>
          <w:rFonts w:ascii="Arial" w:cs="Arial" w:eastAsia="Arial" w:hAnsi="Arial"/>
          <w:color w:val="C9A84C"/>
          <w:sz w:val="22"/>
          <w:szCs w:val="22"/>
        </w:rPr>
        <w:t xml:space="preserve">— </w:t>
      </w:r>
      <w:r>
        <w:rPr>
          <w:rFonts w:ascii="Arial" w:cs="Arial" w:eastAsia="Arial" w:hAnsi="Arial"/>
          <w:color w:val="1C0C04"/>
          <w:sz w:val="22"/>
          <w:szCs w:val="22"/>
        </w:rPr>
        <w:t xml:space="preserve">Founding Partner card — the heaviest-gauge metal card in the Union Card system, founding year etched</w:t>
      </w:r>
    </w:p>
    <w:p>
      <w:pPr>
        <w:spacing w:before="60" w:after="80"/>
        <w:ind w:left="360" w:hanging="240"/>
      </w:pPr>
      <w:r>
        <w:rPr>
          <w:rFonts w:ascii="Arial" w:cs="Arial" w:eastAsia="Arial" w:hAnsi="Arial"/>
          <w:color w:val="C9A84C"/>
          <w:sz w:val="22"/>
          <w:szCs w:val="22"/>
        </w:rPr>
        <w:t xml:space="preserve">— </w:t>
      </w:r>
      <w:r>
        <w:rPr>
          <w:rFonts w:ascii="Arial" w:cs="Arial" w:eastAsia="Arial" w:hAnsi="Arial"/>
          <w:color w:val="1C0C04"/>
          <w:sz w:val="22"/>
          <w:szCs w:val="22"/>
        </w:rPr>
        <w:t xml:space="preserve">Full operational governance rights from Day 1</w:t>
      </w:r>
    </w:p>
    <w:p>
      <w:pPr>
        <w:spacing w:before="80"/>
      </w:pPr>
    </w:p>
    <w:p>
      <w:pPr>
        <w:spacing w:before="280" w:after="100"/>
      </w:pPr>
      <w:r>
        <w:rPr>
          <w:rFonts w:ascii="Arial" w:cs="Arial" w:eastAsia="Arial" w:hAnsi="Arial"/>
          <w:b/>
          <w:bCs/>
          <w:color w:val="B8150C"/>
          <w:sz w:val="26"/>
          <w:szCs w:val="26"/>
        </w:rPr>
        <w:t xml:space="preserve">Financing Structure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80"/>
        <w:gridCol w:w="4680"/>
      </w:tblGrid>
      <w:tr>
        <w:tc>
          <w:tcPr>
            <w:tcBorders>
              <w:top w:val="single" w:color="D4C9A8" w:sz="2"/>
              <w:left w:val="single" w:color="D4C9A8" w:sz="2"/>
              <w:bottom w:val="single" w:color="D4C9A8" w:sz="2"/>
              <w:right w:val="single" w:color="D4C9A8" w:sz="2"/>
            </w:tcBorders>
            <w:shd w:fill="1C0C04" w:val="clear"/>
            <w:tcMar>
              <w:top w:type="dxa" w:w="120"/>
              <w:left w:type="dxa" w:w="160"/>
              <w:bottom w:type="dxa" w:w="120"/>
              <w:right w:type="dxa" w:w="160"/>
            </w:tcMar>
            <w:vAlign w:val="center"/>
          </w:tcPr>
          <w:p>
            <w:pPr>
              <w:jc w:val="left"/>
            </w:pPr>
            <w:r>
              <w:rPr>
                <w:rFonts w:ascii="Arial" w:cs="Arial" w:eastAsia="Arial" w:hAnsi="Arial"/>
                <w:b/>
                <w:bCs/>
                <w:color w:val="FFFFFF"/>
                <w:sz w:val="20"/>
                <w:szCs w:val="20"/>
              </w:rPr>
              <w:t xml:space="preserve">Parameter</w:t>
            </w:r>
          </w:p>
        </w:tc>
        <w:tc>
          <w:tcPr>
            <w:tcBorders>
              <w:top w:val="single" w:color="D4C9A8" w:sz="2"/>
              <w:left w:val="single" w:color="D4C9A8" w:sz="2"/>
              <w:bottom w:val="single" w:color="D4C9A8" w:sz="2"/>
              <w:right w:val="single" w:color="D4C9A8" w:sz="2"/>
            </w:tcBorders>
            <w:shd w:fill="1C0C04" w:val="clear"/>
            <w:tcMar>
              <w:top w:type="dxa" w:w="120"/>
              <w:left w:type="dxa" w:w="160"/>
              <w:bottom w:type="dxa" w:w="120"/>
              <w:right w:type="dxa" w:w="160"/>
            </w:tcMar>
            <w:vAlign w:val="center"/>
          </w:tcPr>
          <w:p>
            <w:pPr>
              <w:jc w:val="center"/>
            </w:pPr>
            <w:r>
              <w:rPr>
                <w:rFonts w:ascii="Arial" w:cs="Arial" w:eastAsia="Arial" w:hAnsi="Arial"/>
                <w:b/>
                <w:bCs/>
                <w:color w:val="FFFFFF"/>
                <w:sz w:val="20"/>
                <w:szCs w:val="20"/>
              </w:rPr>
              <w:t xml:space="preserve">Detail</w:t>
            </w:r>
          </w:p>
        </w:tc>
      </w:tr>
      <w:tr>
        <w:tc>
          <w:tcPr>
            <w:tcBorders>
              <w:top w:val="single" w:color="D4C9A8" w:sz="2"/>
              <w:left w:val="single" w:color="D4C9A8" w:sz="2"/>
              <w:bottom w:val="single" w:color="D4C9A8" w:sz="2"/>
              <w:right w:val="single" w:color="D4C9A8" w:sz="2"/>
            </w:tcBorders>
            <w:shd w:fill="FFFFFF" w:val="clear"/>
            <w:tcMar>
              <w:top w:type="dxa" w:w="120"/>
              <w:left w:type="dxa" w:w="160"/>
              <w:bottom w:type="dxa" w:w="120"/>
              <w:right w:type="dxa" w:w="160"/>
            </w:tcMar>
            <w:vAlign w:val="center"/>
          </w:tcPr>
          <w:p>
            <w:pPr>
              <w:jc w:val="left"/>
            </w:pPr>
            <w:r>
              <w:rPr>
                <w:rFonts w:ascii="Arial" w:cs="Arial" w:eastAsia="Arial" w:hAnsi="Arial"/>
                <w:b/>
                <w:bCs/>
                <w:color w:val="1C0C04"/>
                <w:sz w:val="22"/>
                <w:szCs w:val="22"/>
              </w:rPr>
              <w:t xml:space="preserve">Total Project Cost (Debt + Equity)</w:t>
            </w:r>
          </w:p>
        </w:tc>
        <w:tc>
          <w:tcPr>
            <w:tcBorders>
              <w:top w:val="single" w:color="D4C9A8" w:sz="2"/>
              <w:left w:val="single" w:color="D4C9A8" w:sz="2"/>
              <w:bottom w:val="single" w:color="D4C9A8" w:sz="2"/>
              <w:right w:val="single" w:color="D4C9A8" w:sz="2"/>
            </w:tcBorders>
            <w:shd w:fill="FFFFFF"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$13,065,000</w:t>
            </w:r>
          </w:p>
        </w:tc>
      </w:tr>
      <w:tr>
        <w:tc>
          <w:tcPr>
            <w:tcBorders>
              <w:top w:val="single" w:color="D4C9A8" w:sz="2"/>
              <w:left w:val="single" w:color="D4C9A8" w:sz="2"/>
              <w:bottom w:val="single" w:color="D4C9A8" w:sz="2"/>
              <w:right w:val="single" w:color="D4C9A8" w:sz="2"/>
            </w:tcBorders>
            <w:shd w:fill="F2F2F2" w:val="clear"/>
            <w:tcMar>
              <w:top w:type="dxa" w:w="120"/>
              <w:left w:type="dxa" w:w="160"/>
              <w:bottom w:type="dxa" w:w="120"/>
              <w:right w:type="dxa" w:w="160"/>
            </w:tcMar>
            <w:vAlign w:val="center"/>
          </w:tcPr>
          <w:p>
            <w:pPr>
              <w:jc w:val="left"/>
            </w:pPr>
            <w:r>
              <w:rPr>
                <w:rFonts w:ascii="Arial" w:cs="Arial" w:eastAsia="Arial" w:hAnsi="Arial"/>
                <w:b/>
                <w:bCs/>
                <w:color w:val="1A5C2A"/>
                <w:sz w:val="22"/>
                <w:szCs w:val="22"/>
              </w:rPr>
              <w:t xml:space="preserve">Equity Raise (35%)</w:t>
            </w:r>
          </w:p>
        </w:tc>
        <w:tc>
          <w:tcPr>
            <w:tcBorders>
              <w:top w:val="single" w:color="D4C9A8" w:sz="2"/>
              <w:left w:val="single" w:color="D4C9A8" w:sz="2"/>
              <w:bottom w:val="single" w:color="D4C9A8" w:sz="2"/>
              <w:right w:val="single" w:color="D4C9A8" w:sz="2"/>
            </w:tcBorders>
            <w:shd w:fill="F2F2F2"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$4,573,000 — from Founding Partners and co-investors</w:t>
            </w:r>
          </w:p>
        </w:tc>
      </w:tr>
      <w:tr>
        <w:tc>
          <w:tcPr>
            <w:tcBorders>
              <w:top w:val="single" w:color="D4C9A8" w:sz="2"/>
              <w:left w:val="single" w:color="D4C9A8" w:sz="2"/>
              <w:bottom w:val="single" w:color="D4C9A8" w:sz="2"/>
              <w:right w:val="single" w:color="D4C9A8" w:sz="2"/>
            </w:tcBorders>
            <w:shd w:fill="FFFFFF" w:val="clear"/>
            <w:tcMar>
              <w:top w:type="dxa" w:w="120"/>
              <w:left w:type="dxa" w:w="160"/>
              <w:bottom w:type="dxa" w:w="120"/>
              <w:right w:type="dxa" w:w="160"/>
            </w:tcMar>
            <w:vAlign w:val="center"/>
          </w:tcPr>
          <w:p>
            <w:pPr>
              <w:jc w:val="left"/>
            </w:pPr>
            <w:r>
              <w:rPr>
                <w:rFonts w:ascii="Arial" w:cs="Arial" w:eastAsia="Arial" w:hAnsi="Arial"/>
                <w:b/>
                <w:bCs/>
                <w:color w:val="1A5C2A"/>
                <w:sz w:val="22"/>
                <w:szCs w:val="22"/>
              </w:rPr>
              <w:t xml:space="preserve">Commercial Mortgage (65%)</w:t>
            </w:r>
          </w:p>
        </w:tc>
        <w:tc>
          <w:tcPr>
            <w:tcBorders>
              <w:top w:val="single" w:color="D4C9A8" w:sz="2"/>
              <w:left w:val="single" w:color="D4C9A8" w:sz="2"/>
              <w:bottom w:val="single" w:color="D4C9A8" w:sz="2"/>
              <w:right w:val="single" w:color="D4C9A8" w:sz="2"/>
            </w:tcBorders>
            <w:shd w:fill="FFFFFF" w:val="clear"/>
            <w:tcMar>
              <w:top w:type="dxa" w:w="120"/>
              <w:left w:type="dxa" w:w="160"/>
              <w:bottom w:type="dxa" w:w="120"/>
              <w:right w:type="dxa" w:w="160"/>
            </w:tcMar>
            <w:vAlign w:val="center"/>
          </w:tcPr>
          <w:p>
            <w:pPr>
              <w:jc w:val="center"/>
            </w:pPr>
            <w:r>
              <w:rPr>
                <w:rFonts w:ascii="Arial" w:cs="Arial" w:eastAsia="Arial" w:hAnsi="Arial"/>
                <w:b w:val="false"/>
                <w:bCs w:val="false"/>
                <w:color w:val="1A5C2A"/>
                <w:sz w:val="22"/>
                <w:szCs w:val="22"/>
              </w:rPr>
              <w:t xml:space="preserve">$8,492,000 at 7.5%, 25-year amortization</w:t>
            </w:r>
          </w:p>
        </w:tc>
      </w:tr>
      <w:tr>
        <w:tc>
          <w:tcPr>
            <w:tcBorders>
              <w:top w:val="single" w:color="D4C9A8" w:sz="2"/>
              <w:left w:val="single" w:color="D4C9A8" w:sz="2"/>
              <w:bottom w:val="single" w:color="D4C9A8" w:sz="2"/>
              <w:right w:val="single" w:color="D4C9A8" w:sz="2"/>
            </w:tcBorders>
            <w:shd w:fill="F2F2F2" w:val="clear"/>
            <w:tcMar>
              <w:top w:type="dxa" w:w="120"/>
              <w:left w:type="dxa" w:w="160"/>
              <w:bottom w:type="dxa" w:w="120"/>
              <w:right w:type="dxa" w:w="160"/>
            </w:tcMar>
            <w:vAlign w:val="center"/>
          </w:tcPr>
          <w:p>
            <w:pPr>
              <w:jc w:val="left"/>
            </w:pPr>
            <w:r>
              <w:rPr>
                <w:rFonts w:ascii="Arial" w:cs="Arial" w:eastAsia="Arial" w:hAnsi="Arial"/>
                <w:b/>
                <w:bCs/>
                <w:color w:val="1C0C04"/>
                <w:sz w:val="22"/>
                <w:szCs w:val="22"/>
              </w:rPr>
              <w:t xml:space="preserve">Annual Debt Service</w:t>
            </w:r>
          </w:p>
        </w:tc>
        <w:tc>
          <w:tcPr>
            <w:tcBorders>
              <w:top w:val="single" w:color="D4C9A8" w:sz="2"/>
              <w:left w:val="single" w:color="D4C9A8" w:sz="2"/>
              <w:bottom w:val="single" w:color="D4C9A8" w:sz="2"/>
              <w:right w:val="single" w:color="D4C9A8" w:sz="2"/>
            </w:tcBorders>
            <w:shd w:fill="F2F2F2"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$753,062 (level payment)</w:t>
            </w:r>
          </w:p>
        </w:tc>
      </w:tr>
      <w:tr>
        <w:tc>
          <w:tcPr>
            <w:tcBorders>
              <w:top w:val="single" w:color="D4C9A8" w:sz="2"/>
              <w:left w:val="single" w:color="D4C9A8" w:sz="2"/>
              <w:bottom w:val="single" w:color="D4C9A8" w:sz="2"/>
              <w:right w:val="single" w:color="D4C9A8" w:sz="2"/>
            </w:tcBorders>
            <w:shd w:fill="FFFFFF" w:val="clear"/>
            <w:tcMar>
              <w:top w:type="dxa" w:w="120"/>
              <w:left w:type="dxa" w:w="160"/>
              <w:bottom w:type="dxa" w:w="120"/>
              <w:right w:type="dxa" w:w="160"/>
            </w:tcMar>
            <w:vAlign w:val="center"/>
          </w:tcPr>
          <w:p>
            <w:pPr>
              <w:jc w:val="left"/>
            </w:pPr>
            <w:r>
              <w:rPr>
                <w:rFonts w:ascii="Arial" w:cs="Arial" w:eastAsia="Arial" w:hAnsi="Arial"/>
                <w:b/>
                <w:bCs/>
                <w:color w:val="1C0C04"/>
                <w:sz w:val="22"/>
                <w:szCs w:val="22"/>
              </w:rPr>
              <w:t xml:space="preserve">Year 1 DSCR</w:t>
            </w:r>
          </w:p>
        </w:tc>
        <w:tc>
          <w:tcPr>
            <w:tcBorders>
              <w:top w:val="single" w:color="D4C9A8" w:sz="2"/>
              <w:left w:val="single" w:color="D4C9A8" w:sz="2"/>
              <w:bottom w:val="single" w:color="D4C9A8" w:sz="2"/>
              <w:right w:val="single" w:color="D4C9A8" w:sz="2"/>
            </w:tcBorders>
            <w:shd w:fill="FFFFFF"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1.61× (lender minimum typically 1.20×)</w:t>
            </w:r>
          </w:p>
        </w:tc>
      </w:tr>
      <w:tr>
        <w:tc>
          <w:tcPr>
            <w:tcBorders>
              <w:top w:val="single" w:color="D4C9A8" w:sz="2"/>
              <w:left w:val="single" w:color="D4C9A8" w:sz="2"/>
              <w:bottom w:val="single" w:color="D4C9A8" w:sz="2"/>
              <w:right w:val="single" w:color="D4C9A8" w:sz="2"/>
            </w:tcBorders>
            <w:shd w:fill="F2F2F2" w:val="clear"/>
            <w:tcMar>
              <w:top w:type="dxa" w:w="120"/>
              <w:left w:type="dxa" w:w="160"/>
              <w:bottom w:type="dxa" w:w="120"/>
              <w:right w:type="dxa" w:w="160"/>
            </w:tcMar>
            <w:vAlign w:val="center"/>
          </w:tcPr>
          <w:p>
            <w:pPr>
              <w:jc w:val="left"/>
            </w:pPr>
            <w:r>
              <w:rPr>
                <w:rFonts w:ascii="Arial" w:cs="Arial" w:eastAsia="Arial" w:hAnsi="Arial"/>
                <w:b/>
                <w:bCs/>
                <w:color w:val="1C0C04"/>
                <w:sz w:val="22"/>
                <w:szCs w:val="22"/>
              </w:rPr>
              <w:t xml:space="preserve">Year 7 DSCR</w:t>
            </w:r>
          </w:p>
        </w:tc>
        <w:tc>
          <w:tcPr>
            <w:tcBorders>
              <w:top w:val="single" w:color="D4C9A8" w:sz="2"/>
              <w:left w:val="single" w:color="D4C9A8" w:sz="2"/>
              <w:bottom w:val="single" w:color="D4C9A8" w:sz="2"/>
              <w:right w:val="single" w:color="D4C9A8" w:sz="2"/>
            </w:tcBorders>
            <w:shd w:fill="F2F2F2" w:val="clear"/>
            <w:tcMar>
              <w:top w:type="dxa" w:w="120"/>
              <w:left w:type="dxa" w:w="160"/>
              <w:bottom w:type="dxa" w:w="120"/>
              <w:right w:type="dxa" w:w="160"/>
            </w:tcMar>
            <w:vAlign w:val="center"/>
          </w:tcPr>
          <w:p>
            <w:pPr>
              <w:jc w:val="center"/>
            </w:pPr>
            <w:r>
              <w:rPr>
                <w:rFonts w:ascii="Arial" w:cs="Arial" w:eastAsia="Arial" w:hAnsi="Arial"/>
                <w:b w:val="false"/>
                <w:bCs w:val="false"/>
                <w:color w:val="1C0C04"/>
                <w:sz w:val="22"/>
                <w:szCs w:val="22"/>
              </w:rPr>
              <w:t xml:space="preserve">5.23× — asset becomes largely self-funding by mid-hold</w:t>
            </w:r>
          </w:p>
        </w:tc>
      </w:tr>
      <w:tr>
        <w:tc>
          <w:tcPr>
            <w:tcBorders>
              <w:top w:val="single" w:color="D4C9A8" w:sz="2"/>
              <w:left w:val="single" w:color="D4C9A8" w:sz="2"/>
              <w:bottom w:val="single" w:color="D4C9A8" w:sz="2"/>
              <w:right w:val="single" w:color="D4C9A8" w:sz="2"/>
            </w:tcBorders>
            <w:shd w:fill="FFFFFF" w:val="clear"/>
            <w:tcMar>
              <w:top w:type="dxa" w:w="120"/>
              <w:left w:type="dxa" w:w="160"/>
              <w:bottom w:type="dxa" w:w="120"/>
              <w:right w:type="dxa" w:w="160"/>
            </w:tcMar>
            <w:vAlign w:val="center"/>
          </w:tcPr>
          <w:p>
            <w:pPr>
              <w:jc w:val="left"/>
            </w:pPr>
            <w:r>
              <w:rPr>
                <w:rFonts w:ascii="Arial" w:cs="Arial" w:eastAsia="Arial" w:hAnsi="Arial"/>
                <w:b/>
                <w:bCs/>
                <w:color w:val="1C0C04"/>
                <w:sz w:val="22"/>
                <w:szCs w:val="22"/>
              </w:rPr>
              <w:t xml:space="preserve">Year 3 Refinancing Option</w:t>
            </w:r>
          </w:p>
        </w:tc>
        <w:tc>
          <w:tcPr>
            <w:tcBorders>
              <w:top w:val="single" w:color="D4C9A8" w:sz="2"/>
              <w:left w:val="single" w:color="D4C9A8" w:sz="2"/>
              <w:bottom w:val="single" w:color="D4C9A8" w:sz="2"/>
              <w:right w:val="single" w:color="D4C9A8" w:sz="2"/>
            </w:tcBorders>
            <w:shd w:fill="FFFFFF" w:val="clear"/>
            <w:tcMar>
              <w:top w:type="dxa" w:w="120"/>
              <w:left w:type="dxa" w:w="160"/>
              <w:bottom w:type="dxa" w:w="120"/>
              <w:right w:type="dxa" w:w="160"/>
            </w:tcMar>
            <w:vAlign w:val="center"/>
          </w:tcPr>
          <w:p>
            <w:pPr>
              <w:jc w:val="center"/>
            </w:pPr>
            <w:r>
              <w:rPr>
                <w:rFonts w:ascii="Arial" w:cs="Arial" w:eastAsia="Arial" w:hAnsi="Arial"/>
                <w:b w:val="false"/>
                <w:bCs w:val="false"/>
                <w:color w:val="1A5C2A"/>
                <w:sz w:val="22"/>
                <w:szCs w:val="22"/>
              </w:rPr>
              <w:t xml:space="preserve">$31M+ potential advance (65% LTV on ~$48M Y3 value) — return equity + seed 615</w:t>
            </w:r>
          </w:p>
        </w:tc>
      </w:tr>
    </w:tbl>
    <w:p>
      <w:pPr>
        <w:spacing w:before="120"/>
      </w:pPr>
    </w:p>
    <w:p>
      <w:pPr>
        <w:pBdr>
          <w:bottom w:val="single" w:color="B8150C" w:sz="8"/>
        </w:pBdr>
        <w:spacing w:before="280" w:after="240"/>
      </w:pPr>
    </w:p>
    <w:p>
      <w:pPr>
        <w:spacing w:before="80"/>
      </w:pPr>
    </w:p>
    <w:p>
      <w:pPr>
        <w:spacing w:before="0" w:after="60"/>
        <w:jc w:val="center"/>
      </w:pPr>
      <w:r>
        <w:rPr>
          <w:rFonts w:ascii="Georgia" w:cs="Georgia" w:eastAsia="Georgia" w:hAnsi="Georgia"/>
          <w:b/>
          <w:bCs/>
          <w:color w:val="1C0C04"/>
          <w:sz w:val="52"/>
          <w:szCs w:val="52"/>
        </w:rPr>
        <w:t xml:space="preserve">THE MUSIC UNION 512</w:t>
      </w:r>
    </w:p>
    <w:p>
      <w:pPr>
        <w:spacing w:before="0" w:after="60"/>
        <w:jc w:val="center"/>
      </w:pPr>
      <w:r>
        <w:rPr>
          <w:rFonts w:ascii="Arial" w:cs="Arial" w:eastAsia="Arial" w:hAnsi="Arial"/>
          <w:i/>
          <w:iCs/>
          <w:color w:val="888888"/>
          <w:sz w:val="24"/>
          <w:szCs w:val="24"/>
        </w:rPr>
        <w:t xml:space="preserve">Chapter 512 · Austin, Texas · musicunion.co</w:t>
      </w:r>
    </w:p>
    <w:p>
      <w:pPr>
        <w:spacing w:before="0" w:after="60"/>
        <w:jc w:val="center"/>
      </w:pPr>
      <w:r>
        <w:rPr>
          <w:rFonts w:ascii="Arial" w:cs="Arial" w:eastAsia="Arial" w:hAnsi="Arial"/>
          <w:color w:val="888888"/>
          <w:sz w:val="18"/>
          <w:szCs w:val="18"/>
        </w:rPr>
        <w:t xml:space="preserve">Confidential — This document does not constitute an offer to sell or solicitation to buy securities.</w:t>
      </w:r>
    </w:p>
    <w:p>
      <w:pPr>
        <w:spacing w:before="0" w:after="0"/>
        <w:jc w:val="center"/>
      </w:pPr>
      <w:r>
        <w:rPr>
          <w:rFonts w:ascii="Arial" w:cs="Arial" w:eastAsia="Arial" w:hAnsi="Arial"/>
          <w:color w:val="888888"/>
          <w:sz w:val="18"/>
          <w:szCs w:val="18"/>
        </w:rPr>
        <w:t xml:space="preserve">All investors should obtain independent legal, tax, and financial counsel before investing.</w:t>
      </w:r>
    </w:p>
    <w:sectPr>
      <w:pgSz w:w="12240" w:h="15840" w:orient="portrait"/>
      <w:pgMar w:top="1260" w:right="1260" w:bottom="1260" w:left="126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color w:val="1C0C04"/>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fontTable" Target="fontTable.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2026-03-31T22:42:16.004Z</dcterms:created>
  <dcterms:modified xsi:type="dcterms:W3CDTF">2026-03-31T22:42:16.005Z</dcterms:modified>
</cp:coreProperties>
</file>

<file path=docProps/custom.xml><?xml version="1.0" encoding="utf-8"?>
<Properties xmlns="http://schemas.openxmlformats.org/officeDocument/2006/custom-properties" xmlns:vt="http://schemas.openxmlformats.org/officeDocument/2006/docPropsVTypes"/>
</file>