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720"/>
      </w:pPr>
    </w:p>
    <w:p>
      <w:pPr>
        <w:spacing w:before="60" w:after="60"/>
        <w:jc w:val="left"/>
      </w:pPr>
      <w:r>
        <w:rPr>
          <w:rFonts w:ascii="Arial" w:cs="Arial" w:eastAsia="Arial" w:hAnsi="Arial"/>
          <w:b/>
          <w:bCs/>
          <w:i w:val="false"/>
          <w:iCs w:val="false"/>
          <w:color w:val="B8150C"/>
          <w:spacing w:val="80"/>
          <w:sz w:val="22"/>
          <w:szCs w:val="22"/>
        </w:rPr>
        <w:t xml:space="preserve">THE MUSIC UNION</w:t>
      </w:r>
    </w:p>
    <w:p>
      <w:pPr>
        <w:spacing w:before="60" w:after="100"/>
        <w:jc w:val="left"/>
      </w:pPr>
      <w:r>
        <w:rPr>
          <w:rFonts w:ascii="Arial" w:cs="Arial" w:eastAsia="Arial" w:hAnsi="Arial"/>
          <w:b w:val="false"/>
          <w:bCs w:val="false"/>
          <w:i w:val="false"/>
          <w:iCs w:val="false"/>
          <w:color w:val="888888"/>
          <w:spacing w:val="60"/>
          <w:sz w:val="20"/>
          <w:szCs w:val="20"/>
        </w:rPr>
        <w:t xml:space="preserve">CHAPTER 512  ·  AUSTIN, TEXAS</w:t>
      </w:r>
    </w:p>
    <w:p>
      <w:pPr>
        <w:spacing w:before="120"/>
      </w:pPr>
    </w:p>
    <w:p>
      <w:pPr>
        <w:spacing w:before="60" w:after="100"/>
        <w:jc w:val="left"/>
      </w:pPr>
      <w:r>
        <w:rPr>
          <w:rFonts w:ascii="Georgia" w:cs="Georgia" w:eastAsia="Georgia" w:hAnsi="Georgia"/>
          <w:b/>
          <w:bCs/>
          <w:i w:val="false"/>
          <w:iCs w:val="false"/>
          <w:color w:val="1C0C04"/>
          <w:sz w:val="88"/>
          <w:szCs w:val="88"/>
        </w:rPr>
        <w:t xml:space="preserve">Founding Partner</w:t>
      </w:r>
    </w:p>
    <w:p>
      <w:pPr>
        <w:spacing w:before="60" w:after="100"/>
        <w:jc w:val="left"/>
      </w:pPr>
      <w:r>
        <w:rPr>
          <w:rFonts w:ascii="Georgia" w:cs="Georgia" w:eastAsia="Georgia" w:hAnsi="Georgia"/>
          <w:b w:val="false"/>
          <w:bCs w:val="false"/>
          <w:i/>
          <w:iCs/>
          <w:color w:val="888888"/>
          <w:sz w:val="56"/>
          <w:szCs w:val="56"/>
        </w:rPr>
        <w:t xml:space="preserve">Benefits &amp; Recognition</w:t>
      </w:r>
    </w:p>
    <w:p>
      <w:pPr>
        <w:pBdr>
          <w:bottom w:val="single" w:color="C9A84C" w:sz="10"/>
        </w:pBdr>
        <w:spacing w:before="200" w:after="200"/>
      </w:pPr>
    </w:p>
    <w:p>
      <w:pPr>
        <w:spacing w:before="40"/>
      </w:pPr>
    </w:p>
    <w:p>
      <w:pPr>
        <w:spacing w:before="60" w:after="80"/>
        <w:jc w:val="left"/>
      </w:pPr>
      <w:r>
        <w:rPr>
          <w:rFonts w:ascii="Arial" w:cs="Arial" w:eastAsia="Arial" w:hAnsi="Arial"/>
          <w:b w:val="false"/>
          <w:bCs w:val="false"/>
          <w:i w:val="false"/>
          <w:iCs w:val="false"/>
          <w:color w:val="aaaaaa"/>
          <w:sz w:val="20"/>
          <w:szCs w:val="20"/>
        </w:rPr>
        <w:t xml:space="preserve">musicunion.co  ·  Confidential  ·  March 2026</w:t>
      </w:r>
    </w:p>
    <w:p>
      <w:pPr>
        <w:spacing w:before="3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B8150C" w:sz="24"/>
              <w:bottom w:val="none" w:color="FFFFFF" w:sz="0"/>
              <w:right w:val="none" w:color="FFFFFF" w:sz="0"/>
            </w:tcBorders>
            <w:shd w:fill="FDF8F0" w:val="clear"/>
            <w:tcMar>
              <w:top w:type="dxa" w:w="200"/>
              <w:left w:type="dxa" w:w="320"/>
              <w:bottom w:type="dxa" w:w="200"/>
              <w:right w:type="dxa" w:w="280"/>
            </w:tcMar>
          </w:tcPr>
          <w:p>
            <w:pPr>
              <w:spacing w:before="60" w:after="100"/>
              <w:jc w:val="left"/>
            </w:pPr>
            <w:r>
              <w:rPr>
                <w:rFonts w:ascii="Georgia" w:cs="Georgia" w:eastAsia="Georgia" w:hAnsi="Georgia"/>
                <w:b w:val="false"/>
                <w:bCs w:val="false"/>
                <w:i/>
                <w:iCs/>
                <w:color w:val="1C0C04"/>
                <w:sz w:val="25"/>
                <w:szCs w:val="25"/>
              </w:rPr>
              <w:t xml:space="preserve">These are the people whose names go on the building. Not as sponsors. As founders. The distinction matters — and so does every benefit on these pages.</w:t>
            </w:r>
          </w:p>
        </w:tc>
      </w:tr>
    </w:tbl>
    <w:p>
      <w:pPr>
        <w:spacing w:before="200"/>
      </w:pPr>
    </w:p>
    <w:p>
      <w:pPr>
        <w:spacing w:before="60" w:after="100"/>
        <w:jc w:val="left"/>
      </w:pPr>
      <w:r>
        <w:rPr>
          <w:rFonts w:ascii="Arial" w:cs="Arial" w:eastAsia="Arial" w:hAnsi="Arial"/>
          <w:b w:val="false"/>
          <w:bCs w:val="false"/>
          <w:i w:val="false"/>
          <w:iCs w:val="false"/>
          <w:color w:val="444444"/>
          <w:sz w:val="22"/>
          <w:szCs w:val="22"/>
        </w:rPr>
        <w:t xml:space="preserve">The Founding Partner tier exists in a different category from every other membership class. Union Members get discounts. Studio Members get priority booking. Founding Partners get something that cannot be sold, transferred, or recreated: they get to be the people who made this thing exist.</w:t>
      </w:r>
    </w:p>
    <w:p>
      <w:pPr>
        <w:spacing w:before="40"/>
      </w:pPr>
    </w:p>
    <w:p>
      <w:pPr>
        <w:spacing w:before="60" w:after="100"/>
        <w:jc w:val="left"/>
      </w:pPr>
      <w:r>
        <w:rPr>
          <w:rFonts w:ascii="Arial" w:cs="Arial" w:eastAsia="Arial" w:hAnsi="Arial"/>
          <w:b w:val="false"/>
          <w:bCs w:val="false"/>
          <w:i w:val="false"/>
          <w:iCs w:val="false"/>
          <w:color w:val="444444"/>
          <w:sz w:val="22"/>
          <w:szCs w:val="22"/>
        </w:rPr>
        <w:t xml:space="preserve">Everything below reflects that. No benefit is a loyalty reward. Each one is a recognition of original, irreversible commitment.</w:t>
      </w:r>
    </w:p>
    <w:p>
      <w:pPr>
        <w:spacing w:before="200"/>
      </w:pPr>
    </w:p>
    <w:p>
      <w:pPr>
        <w:pageBreakBefore/>
        <w:spacing w:before="60" w:after="100"/>
        <w:jc w:val="left"/>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c>
          <w:tcPr>
            <w:tcBorders>
              <w:top w:val="none" w:color="FFFFFF" w:sz="0"/>
              <w:left w:val="none" w:color="FFFFFF" w:sz="0"/>
              <w:bottom w:val="none" w:color="FFFFFF" w:sz="0"/>
              <w:right w:val="none" w:color="FFFFFF" w:sz="0"/>
            </w:tcBorders>
            <w:shd w:fill="1C0C04" w:val="clear"/>
            <w:tcMar>
              <w:top w:type="dxa" w:w="140"/>
              <w:left w:type="dxa" w:w="200"/>
              <w:bottom w:type="dxa" w:w="140"/>
              <w:right w:type="dxa" w:w="160"/>
            </w:tcMar>
            <w:vAlign w:val="center"/>
          </w:tcPr>
          <w:p>
            <w:pPr>
              <w:spacing w:before="60" w:after="100"/>
              <w:jc w:val="center"/>
            </w:pPr>
            <w:r>
              <w:rPr>
                <w:rFonts w:ascii="Georgia" w:cs="Georgia" w:eastAsia="Georgia" w:hAnsi="Georgia"/>
                <w:b/>
                <w:bCs/>
                <w:i w:val="false"/>
                <w:iCs w:val="false"/>
                <w:color w:val="C9A84C"/>
                <w:sz w:val="48"/>
                <w:szCs w:val="48"/>
              </w:rPr>
              <w:t xml:space="preserve">I</w:t>
            </w:r>
          </w:p>
        </w:tc>
        <w:tc>
          <w:tcPr>
            <w:tcBorders>
              <w:top w:val="none" w:color="FFFFFF" w:sz="0"/>
              <w:left w:val="none" w:color="FFFFFF" w:sz="0"/>
              <w:bottom w:val="none" w:color="FFFFFF" w:sz="0"/>
              <w:right w:val="none" w:color="FFFFFF" w:sz="0"/>
            </w:tcBorders>
            <w:shd w:fill="1C0C04" w:val="clear"/>
            <w:tcMar>
              <w:top w:type="dxa" w:w="100"/>
              <w:left w:type="dxa" w:w="200"/>
              <w:bottom w:type="dxa" w:w="100"/>
              <w:right w:type="dxa" w:w="200"/>
            </w:tcMar>
          </w:tcPr>
          <w:p>
            <w:pPr>
              <w:spacing w:before="60" w:after="20"/>
              <w:jc w:val="left"/>
            </w:pPr>
            <w:r>
              <w:rPr>
                <w:rFonts w:ascii="Georgia" w:cs="Georgia" w:eastAsia="Georgia" w:hAnsi="Georgia"/>
                <w:b/>
                <w:bCs/>
                <w:i w:val="false"/>
                <w:iCs w:val="false"/>
                <w:color w:val="FFFFFF"/>
                <w:sz w:val="28"/>
                <w:szCs w:val="28"/>
              </w:rPr>
              <w:t xml:space="preserve">Presence &amp; Venue</w:t>
            </w:r>
          </w:p>
          <w:p>
            <w:pPr>
              <w:spacing w:before="20" w:after="100"/>
              <w:jc w:val="left"/>
            </w:pPr>
            <w:r>
              <w:rPr>
                <w:rFonts w:ascii="Arial" w:cs="Arial" w:eastAsia="Arial" w:hAnsi="Arial"/>
                <w:b w:val="false"/>
                <w:bCs w:val="false"/>
                <w:i/>
                <w:iCs/>
                <w:color w:val="aaaaaa"/>
                <w:sz w:val="20"/>
                <w:szCs w:val="20"/>
              </w:rPr>
              <w:t xml:space="preserve">The Union Stage and what it means to be a permanent part of it</w:t>
            </w:r>
          </w:p>
        </w:tc>
      </w:tr>
    </w:tbl>
    <w:p>
      <w:pPr>
        <w:spacing w:before="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
        <w:gridCol w:w="7760"/>
        <w:gridCol w:w="1200"/>
      </w:tblGrid>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All-Access and Backstage Passes — Every Show, Every Chapter</w:t>
            </w:r>
          </w:p>
          <w:p>
            <w:pPr>
              <w:spacing w:before="30" w:after="100"/>
              <w:jc w:val="left"/>
            </w:pPr>
            <w:r>
              <w:rPr>
                <w:rFonts w:ascii="Arial" w:cs="Arial" w:eastAsia="Arial" w:hAnsi="Arial"/>
                <w:b w:val="false"/>
                <w:bCs w:val="false"/>
                <w:i w:val="false"/>
                <w:iCs w:val="false"/>
                <w:color w:val="555555"/>
                <w:sz w:val="20"/>
                <w:szCs w:val="20"/>
              </w:rPr>
              <w:t xml:space="preserve">A Founding Partner and their guests go anywhere, any night. Floor access, backstage, green room — no ticket required, no list to be on, no night excluded. Unlimited guests. Applies at every chapter nationwide from the day it opens.</w:t>
            </w:r>
          </w:p>
        </w:tc>
        <w:tc>
          <w:tcPr>
            <w:tcW w:type="dxa" w:w="1200"/>
            <w:tcBorders>
              <w:top w:val="none" w:color="FFFFFF" w:sz="0"/>
              <w:left w:val="none" w:color="FFFFFF" w:sz="0"/>
              <w:bottom w:val="none" w:color="FFFFFF" w:sz="0"/>
              <w:right w:val="none" w:color="FFFFFF" w:sz="0"/>
            </w:tcBorders>
            <w:shd w:fill="1C0C04"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LIFE</w:t>
            </w:r>
          </w:p>
        </w:tc>
      </w:tr>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Permanently Reserved Table — The Union Stage</w:t>
            </w:r>
          </w:p>
          <w:p>
            <w:pPr>
              <w:spacing w:before="30" w:after="100"/>
              <w:jc w:val="left"/>
            </w:pPr>
            <w:r>
              <w:rPr>
                <w:rFonts w:ascii="Arial" w:cs="Arial" w:eastAsia="Arial" w:hAnsi="Arial"/>
                <w:b w:val="false"/>
                <w:bCs w:val="false"/>
                <w:i w:val="false"/>
                <w:iCs w:val="false"/>
                <w:color w:val="555555"/>
                <w:sz w:val="20"/>
                <w:szCs w:val="20"/>
              </w:rPr>
              <w:t xml:space="preserve">A dedicated table held for you at every show. Engraved brass nameplate affixed to the table with your name and founding year. The table is yours whether or not you're there — no one is seated at it without your invitation.</w:t>
            </w:r>
          </w:p>
        </w:tc>
        <w:tc>
          <w:tcPr>
            <w:tcW w:type="dxa" w:w="1200"/>
            <w:tcBorders>
              <w:top w:val="none" w:color="FFFFFF" w:sz="0"/>
              <w:left w:val="none" w:color="FFFFFF" w:sz="0"/>
              <w:bottom w:val="none" w:color="FFFFFF" w:sz="0"/>
              <w:right w:val="none" w:color="FFFFFF" w:sz="0"/>
            </w:tcBorders>
            <w:shd w:fill="1B2A4A"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LEGACY</w:t>
            </w:r>
          </w:p>
        </w:tc>
      </w:tr>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Reserved Table at Every Chapter</w:t>
            </w:r>
          </w:p>
          <w:p>
            <w:pPr>
              <w:spacing w:before="30" w:after="100"/>
              <w:jc w:val="left"/>
            </w:pPr>
            <w:r>
              <w:rPr>
                <w:rFonts w:ascii="Arial" w:cs="Arial" w:eastAsia="Arial" w:hAnsi="Arial"/>
                <w:b w:val="false"/>
                <w:bCs w:val="false"/>
                <w:i w:val="false"/>
                <w:iCs w:val="false"/>
                <w:color w:val="555555"/>
                <w:sz w:val="20"/>
                <w:szCs w:val="20"/>
              </w:rPr>
              <w:t xml:space="preserve">When Chapter 615 opens in Nashville, your table is already waiting. Same nameplate, same standard, same expectation. Your reserved status travels with you across the entire national network. You never need to call ahead.</w:t>
            </w:r>
          </w:p>
        </w:tc>
        <w:tc>
          <w:tcPr>
            <w:tcW w:type="dxa" w:w="1200"/>
            <w:tcBorders>
              <w:top w:val="none" w:color="FFFFFF" w:sz="0"/>
              <w:left w:val="none" w:color="FFFFFF" w:sz="0"/>
              <w:bottom w:val="none" w:color="FFFFFF" w:sz="0"/>
              <w:right w:val="none" w:color="FFFFFF" w:sz="0"/>
            </w:tcBorders>
            <w:shd w:fill="1C0C04"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LIFE</w:t>
            </w:r>
          </w:p>
        </w:tc>
      </w:tr>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Annual Private Event — The Union Stage at No Cost</w:t>
            </w:r>
          </w:p>
          <w:p>
            <w:pPr>
              <w:spacing w:before="30" w:after="100"/>
              <w:jc w:val="left"/>
            </w:pPr>
            <w:r>
              <w:rPr>
                <w:rFonts w:ascii="Arial" w:cs="Arial" w:eastAsia="Arial" w:hAnsi="Arial"/>
                <w:b w:val="false"/>
                <w:bCs w:val="false"/>
                <w:i w:val="false"/>
                <w:iCs w:val="false"/>
                <w:color w:val="555555"/>
                <w:sz w:val="20"/>
                <w:szCs w:val="20"/>
              </w:rPr>
              <w:t xml:space="preserve">One full buyout of The Union Stage per year — yours to use however you choose. Album release party, private birthday concert, industry showcase, charity event. The venue, the staff, the bar, and the production support are included.</w:t>
            </w:r>
          </w:p>
        </w:tc>
        <w:tc>
          <w:tcPr>
            <w:tcW w:type="dxa" w:w="1200"/>
            <w:tcBorders>
              <w:top w:val="none" w:color="FFFFFF" w:sz="0"/>
              <w:left w:val="none" w:color="FFFFFF" w:sz="0"/>
              <w:bottom w:val="none" w:color="FFFFFF" w:sz="0"/>
              <w:right w:val="none" w:color="FFFFFF" w:sz="0"/>
            </w:tcBorders>
            <w:shd w:fill="B8150C"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ACCESS</w:t>
            </w:r>
          </w:p>
        </w:tc>
      </w:tr>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"Presented by [Name]" — One Annual Event Series</w:t>
            </w:r>
          </w:p>
          <w:p>
            <w:pPr>
              <w:spacing w:before="30" w:after="100"/>
              <w:jc w:val="left"/>
            </w:pPr>
            <w:r>
              <w:rPr>
                <w:rFonts w:ascii="Arial" w:cs="Arial" w:eastAsia="Arial" w:hAnsi="Arial"/>
                <w:b w:val="false"/>
                <w:bCs w:val="false"/>
                <w:i w:val="false"/>
                <w:iCs w:val="false"/>
                <w:color w:val="555555"/>
                <w:sz w:val="20"/>
                <w:szCs w:val="20"/>
              </w:rPr>
              <w:t xml:space="preserve">Naming rights to one recurring annual event series produced by The Music Union. The series runs under your name: "The [Name] Sessions" or equivalent. Programmed annually, marketed nationally.</w:t>
            </w:r>
          </w:p>
        </w:tc>
        <w:tc>
          <w:tcPr>
            <w:tcW w:type="dxa" w:w="1200"/>
            <w:tcBorders>
              <w:top w:val="none" w:color="FFFFFF" w:sz="0"/>
              <w:left w:val="none" w:color="FFFFFF" w:sz="0"/>
              <w:bottom w:val="none" w:color="FFFFFF" w:sz="0"/>
              <w:right w:val="none" w:color="FFFFFF" w:sz="0"/>
            </w:tcBorders>
            <w:shd w:fill="1B2A4A"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LEGACY</w:t>
            </w:r>
          </w:p>
        </w:tc>
      </w:tr>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Named Patron Credit — Every Live Recording and Official Release</w:t>
            </w:r>
          </w:p>
          <w:p>
            <w:pPr>
              <w:spacing w:before="30" w:after="100"/>
              <w:jc w:val="left"/>
            </w:pPr>
            <w:r>
              <w:rPr>
                <w:rFonts w:ascii="Arial" w:cs="Arial" w:eastAsia="Arial" w:hAnsi="Arial"/>
                <w:b w:val="false"/>
                <w:bCs w:val="false"/>
                <w:i w:val="false"/>
                <w:iCs w:val="false"/>
                <w:color w:val="555555"/>
                <w:sz w:val="20"/>
                <w:szCs w:val="20"/>
              </w:rPr>
              <w:t xml:space="preserve">On every live recording, official release, or documented Music Union production, Founding Partners receive a named patron credit. If it's recorded here and released under the Union brand, your name is on it.</w:t>
            </w:r>
          </w:p>
        </w:tc>
        <w:tc>
          <w:tcPr>
            <w:tcW w:type="dxa" w:w="1200"/>
            <w:tcBorders>
              <w:top w:val="none" w:color="FFFFFF" w:sz="0"/>
              <w:left w:val="none" w:color="FFFFFF" w:sz="0"/>
              <w:bottom w:val="none" w:color="FFFFFF" w:sz="0"/>
              <w:right w:val="none" w:color="FFFFFF" w:sz="0"/>
            </w:tcBorders>
            <w:shd w:fill="1B2A4A"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LEGACY</w:t>
            </w:r>
          </w:p>
        </w:tc>
      </w:tr>
    </w:tbl>
    <w:p>
      <w:pPr>
        <w:spacing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c>
          <w:tcPr>
            <w:tcBorders>
              <w:top w:val="none" w:color="FFFFFF" w:sz="0"/>
              <w:left w:val="none" w:color="FFFFFF" w:sz="0"/>
              <w:bottom w:val="none" w:color="FFFFFF" w:sz="0"/>
              <w:right w:val="none" w:color="FFFFFF" w:sz="0"/>
            </w:tcBorders>
            <w:shd w:fill="1C0C04" w:val="clear"/>
            <w:tcMar>
              <w:top w:type="dxa" w:w="140"/>
              <w:left w:type="dxa" w:w="200"/>
              <w:bottom w:type="dxa" w:w="140"/>
              <w:right w:type="dxa" w:w="160"/>
            </w:tcMar>
            <w:vAlign w:val="center"/>
          </w:tcPr>
          <w:p>
            <w:pPr>
              <w:spacing w:before="60" w:after="100"/>
              <w:jc w:val="center"/>
            </w:pPr>
            <w:r>
              <w:rPr>
                <w:rFonts w:ascii="Georgia" w:cs="Georgia" w:eastAsia="Georgia" w:hAnsi="Georgia"/>
                <w:b/>
                <w:bCs/>
                <w:i w:val="false"/>
                <w:iCs w:val="false"/>
                <w:color w:val="C9A84C"/>
                <w:sz w:val="48"/>
                <w:szCs w:val="48"/>
              </w:rPr>
              <w:t xml:space="preserve">II</w:t>
            </w:r>
          </w:p>
        </w:tc>
        <w:tc>
          <w:tcPr>
            <w:tcBorders>
              <w:top w:val="none" w:color="FFFFFF" w:sz="0"/>
              <w:left w:val="none" w:color="FFFFFF" w:sz="0"/>
              <w:bottom w:val="none" w:color="FFFFFF" w:sz="0"/>
              <w:right w:val="none" w:color="FFFFFF" w:sz="0"/>
            </w:tcBorders>
            <w:shd w:fill="1C0C04" w:val="clear"/>
            <w:tcMar>
              <w:top w:type="dxa" w:w="100"/>
              <w:left w:type="dxa" w:w="200"/>
              <w:bottom w:type="dxa" w:w="100"/>
              <w:right w:type="dxa" w:w="200"/>
            </w:tcMar>
          </w:tcPr>
          <w:p>
            <w:pPr>
              <w:spacing w:before="60" w:after="20"/>
              <w:jc w:val="left"/>
            </w:pPr>
            <w:r>
              <w:rPr>
                <w:rFonts w:ascii="Georgia" w:cs="Georgia" w:eastAsia="Georgia" w:hAnsi="Georgia"/>
                <w:b/>
                <w:bCs/>
                <w:i w:val="false"/>
                <w:iCs w:val="false"/>
                <w:color w:val="FFFFFF"/>
                <w:sz w:val="28"/>
                <w:szCs w:val="28"/>
              </w:rPr>
              <w:t xml:space="preserve">Space &amp; Keys</w:t>
            </w:r>
          </w:p>
          <w:p>
            <w:pPr>
              <w:spacing w:before="20" w:after="100"/>
              <w:jc w:val="left"/>
            </w:pPr>
            <w:r>
              <w:rPr>
                <w:rFonts w:ascii="Arial" w:cs="Arial" w:eastAsia="Arial" w:hAnsi="Arial"/>
                <w:b w:val="false"/>
                <w:bCs w:val="false"/>
                <w:i/>
                <w:iCs/>
                <w:color w:val="aaaaaa"/>
                <w:sz w:val="20"/>
                <w:szCs w:val="20"/>
              </w:rPr>
              <w:t xml:space="preserve">Your permanent presence inside the building</w:t>
            </w:r>
          </w:p>
        </w:tc>
      </w:tr>
    </w:tbl>
    <w:p>
      <w:pPr>
        <w:spacing w:before="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
        <w:gridCol w:w="7760"/>
        <w:gridCol w:w="1200"/>
      </w:tblGrid>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Private Office — Zone E Music Industry Coworking</w:t>
            </w:r>
          </w:p>
          <w:p>
            <w:pPr>
              <w:spacing w:before="30" w:after="100"/>
              <w:jc w:val="left"/>
            </w:pPr>
            <w:r>
              <w:rPr>
                <w:rFonts w:ascii="Arial" w:cs="Arial" w:eastAsia="Arial" w:hAnsi="Arial"/>
                <w:b w:val="false"/>
                <w:bCs w:val="false"/>
                <w:i w:val="false"/>
                <w:iCs w:val="false"/>
                <w:color w:val="555555"/>
                <w:sz w:val="20"/>
                <w:szCs w:val="20"/>
              </w:rPr>
              <w:t xml:space="preserve">One of the seven named private suites in Zone E (The Dark Room, The Control Tower, The War Room, The Merch Lab, The Label Room, The Edit Suite, The Pressroom) is designated as your permanent office. Engraved nameplate on the door. Yours to use, lend, or leave empty.</w:t>
            </w:r>
          </w:p>
        </w:tc>
        <w:tc>
          <w:tcPr>
            <w:tcW w:type="dxa" w:w="1200"/>
            <w:tcBorders>
              <w:top w:val="none" w:color="FFFFFF" w:sz="0"/>
              <w:left w:val="none" w:color="FFFFFF" w:sz="0"/>
              <w:bottom w:val="none" w:color="FFFFFF" w:sz="0"/>
              <w:right w:val="none" w:color="FFFFFF" w:sz="0"/>
            </w:tcBorders>
            <w:shd w:fill="1C0C04"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LIFE</w:t>
            </w:r>
          </w:p>
        </w:tc>
      </w:tr>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Named Rehearsal Room — Zone A</w:t>
            </w:r>
          </w:p>
          <w:p>
            <w:pPr>
              <w:spacing w:before="30" w:after="100"/>
              <w:jc w:val="left"/>
            </w:pPr>
            <w:r>
              <w:rPr>
                <w:rFonts w:ascii="Arial" w:cs="Arial" w:eastAsia="Arial" w:hAnsi="Arial"/>
                <w:b w:val="false"/>
                <w:bCs w:val="false"/>
                <w:i w:val="false"/>
                <w:iCs w:val="false"/>
                <w:color w:val="555555"/>
                <w:sz w:val="20"/>
                <w:szCs w:val="20"/>
              </w:rPr>
              <w:t xml:space="preserve">Permanent naming rights to one of the 25 themed rehearsal rooms. The theme is your direction. The name on the door is yours. The room carries your name in every piece of marketing that references it by name, forever.</w:t>
            </w:r>
          </w:p>
        </w:tc>
        <w:tc>
          <w:tcPr>
            <w:tcW w:type="dxa" w:w="1200"/>
            <w:tcBorders>
              <w:top w:val="none" w:color="FFFFFF" w:sz="0"/>
              <w:left w:val="none" w:color="FFFFFF" w:sz="0"/>
              <w:bottom w:val="none" w:color="FFFFFF" w:sz="0"/>
              <w:right w:val="none" w:color="FFFFFF" w:sz="0"/>
            </w:tcBorders>
            <w:shd w:fill="1B2A4A"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LEGACY</w:t>
            </w:r>
          </w:p>
        </w:tc>
      </w:tr>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Personal Union Locker — Zone G, Lifetime</w:t>
            </w:r>
          </w:p>
          <w:p>
            <w:pPr>
              <w:spacing w:before="30" w:after="100"/>
              <w:jc w:val="left"/>
            </w:pPr>
            <w:r>
              <w:rPr>
                <w:rFonts w:ascii="Arial" w:cs="Arial" w:eastAsia="Arial" w:hAnsi="Arial"/>
                <w:b w:val="false"/>
                <w:bCs w:val="false"/>
                <w:i w:val="false"/>
                <w:iCs w:val="false"/>
                <w:color w:val="555555"/>
                <w:sz w:val="20"/>
                <w:szCs w:val="20"/>
              </w:rPr>
              <w:t xml:space="preserve">A dedicated, engraved locker in Zone G Union Locker for life. Climate-controlled. Yours for instruments, gear, personal items. No monthly fee, ever.</w:t>
            </w:r>
          </w:p>
        </w:tc>
        <w:tc>
          <w:tcPr>
            <w:tcW w:type="dxa" w:w="1200"/>
            <w:tcBorders>
              <w:top w:val="none" w:color="FFFFFF" w:sz="0"/>
              <w:left w:val="none" w:color="FFFFFF" w:sz="0"/>
              <w:bottom w:val="none" w:color="FFFFFF" w:sz="0"/>
              <w:right w:val="none" w:color="FFFFFF" w:sz="0"/>
            </w:tcBorders>
            <w:shd w:fill="1C0C04"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LIFE</w:t>
            </w:r>
          </w:p>
        </w:tc>
      </w:tr>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Named Parking Space — West Lot</w:t>
            </w:r>
          </w:p>
          <w:p>
            <w:pPr>
              <w:spacing w:before="30" w:after="100"/>
              <w:jc w:val="left"/>
            </w:pPr>
            <w:r>
              <w:rPr>
                <w:rFonts w:ascii="Arial" w:cs="Arial" w:eastAsia="Arial" w:hAnsi="Arial"/>
                <w:b w:val="false"/>
                <w:bCs w:val="false"/>
                <w:i w:val="false"/>
                <w:iCs w:val="false"/>
                <w:color w:val="555555"/>
                <w:sz w:val="20"/>
                <w:szCs w:val="20"/>
              </w:rPr>
              <w:t xml:space="preserve">A dedicated parking space in the West Lot with your name marked on the pavement. Always available. No validation required.</w:t>
            </w:r>
          </w:p>
        </w:tc>
        <w:tc>
          <w:tcPr>
            <w:tcW w:type="dxa" w:w="1200"/>
            <w:tcBorders>
              <w:top w:val="none" w:color="FFFFFF" w:sz="0"/>
              <w:left w:val="none" w:color="FFFFFF" w:sz="0"/>
              <w:bottom w:val="none" w:color="FFFFFF" w:sz="0"/>
              <w:right w:val="none" w:color="FFFFFF" w:sz="0"/>
            </w:tcBorders>
            <w:shd w:fill="1C0C04"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LIFE</w:t>
            </w:r>
          </w:p>
        </w:tc>
      </w:tr>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Custom Email Address — @musicunion.co</w:t>
            </w:r>
          </w:p>
          <w:p>
            <w:pPr>
              <w:spacing w:before="30" w:after="100"/>
              <w:jc w:val="left"/>
            </w:pPr>
            <w:r>
              <w:rPr>
                <w:rFonts w:ascii="Arial" w:cs="Arial" w:eastAsia="Arial" w:hAnsi="Arial"/>
                <w:b w:val="false"/>
                <w:bCs w:val="false"/>
                <w:i w:val="false"/>
                <w:iCs w:val="false"/>
                <w:color w:val="555555"/>
                <w:sz w:val="20"/>
                <w:szCs w:val="20"/>
              </w:rPr>
              <w:t xml:space="preserve">A working firstname@musicunion.co email address, active immediately and maintained in perpetuity. A signal, and a real piece of the institution.</w:t>
            </w:r>
          </w:p>
        </w:tc>
        <w:tc>
          <w:tcPr>
            <w:tcW w:type="dxa" w:w="1200"/>
            <w:tcBorders>
              <w:top w:val="none" w:color="FFFFFF" w:sz="0"/>
              <w:left w:val="none" w:color="FFFFFF" w:sz="0"/>
              <w:bottom w:val="none" w:color="FFFFFF" w:sz="0"/>
              <w:right w:val="none" w:color="FFFFFF" w:sz="0"/>
            </w:tcBorders>
            <w:shd w:fill="B8150C"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ACCESS</w:t>
            </w:r>
          </w:p>
        </w:tc>
      </w:tr>
    </w:tbl>
    <w:p>
      <w:pPr>
        <w:spacing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c>
          <w:tcPr>
            <w:tcBorders>
              <w:top w:val="none" w:color="FFFFFF" w:sz="0"/>
              <w:left w:val="none" w:color="FFFFFF" w:sz="0"/>
              <w:bottom w:val="none" w:color="FFFFFF" w:sz="0"/>
              <w:right w:val="none" w:color="FFFFFF" w:sz="0"/>
            </w:tcBorders>
            <w:shd w:fill="1C0C04" w:val="clear"/>
            <w:tcMar>
              <w:top w:type="dxa" w:w="140"/>
              <w:left w:type="dxa" w:w="200"/>
              <w:bottom w:type="dxa" w:w="140"/>
              <w:right w:type="dxa" w:w="160"/>
            </w:tcMar>
            <w:vAlign w:val="center"/>
          </w:tcPr>
          <w:p>
            <w:pPr>
              <w:spacing w:before="60" w:after="100"/>
              <w:jc w:val="center"/>
            </w:pPr>
            <w:r>
              <w:rPr>
                <w:rFonts w:ascii="Georgia" w:cs="Georgia" w:eastAsia="Georgia" w:hAnsi="Georgia"/>
                <w:b/>
                <w:bCs/>
                <w:i w:val="false"/>
                <w:iCs w:val="false"/>
                <w:color w:val="C9A84C"/>
                <w:sz w:val="48"/>
                <w:szCs w:val="48"/>
              </w:rPr>
              <w:t xml:space="preserve">III</w:t>
            </w:r>
          </w:p>
        </w:tc>
        <w:tc>
          <w:tcPr>
            <w:tcBorders>
              <w:top w:val="none" w:color="FFFFFF" w:sz="0"/>
              <w:left w:val="none" w:color="FFFFFF" w:sz="0"/>
              <w:bottom w:val="none" w:color="FFFFFF" w:sz="0"/>
              <w:right w:val="none" w:color="FFFFFF" w:sz="0"/>
            </w:tcBorders>
            <w:shd w:fill="1C0C04" w:val="clear"/>
            <w:tcMar>
              <w:top w:type="dxa" w:w="100"/>
              <w:left w:type="dxa" w:w="200"/>
              <w:bottom w:type="dxa" w:w="100"/>
              <w:right w:type="dxa" w:w="200"/>
            </w:tcMar>
          </w:tcPr>
          <w:p>
            <w:pPr>
              <w:spacing w:before="60" w:after="20"/>
              <w:jc w:val="left"/>
            </w:pPr>
            <w:r>
              <w:rPr>
                <w:rFonts w:ascii="Georgia" w:cs="Georgia" w:eastAsia="Georgia" w:hAnsi="Georgia"/>
                <w:b/>
                <w:bCs/>
                <w:i w:val="false"/>
                <w:iCs w:val="false"/>
                <w:color w:val="FFFFFF"/>
                <w:sz w:val="28"/>
                <w:szCs w:val="28"/>
              </w:rPr>
              <w:t xml:space="preserve">Access &amp; Operations</w:t>
            </w:r>
          </w:p>
          <w:p>
            <w:pPr>
              <w:spacing w:before="20" w:after="100"/>
              <w:jc w:val="left"/>
            </w:pPr>
            <w:r>
              <w:rPr>
                <w:rFonts w:ascii="Arial" w:cs="Arial" w:eastAsia="Arial" w:hAnsi="Arial"/>
                <w:b w:val="false"/>
                <w:bCs w:val="false"/>
                <w:i/>
                <w:iCs/>
                <w:color w:val="aaaaaa"/>
                <w:sz w:val="20"/>
                <w:szCs w:val="20"/>
              </w:rPr>
              <w:t xml:space="preserve">Priority at every level of the campus</w:t>
            </w:r>
          </w:p>
        </w:tc>
      </w:tr>
    </w:tbl>
    <w:p>
      <w:pPr>
        <w:spacing w:before="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
        <w:gridCol w:w="7760"/>
        <w:gridCol w:w="1200"/>
      </w:tblGrid>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Permanent Complimentary Access — All Zones, All Chapters, For Life</w:t>
            </w:r>
          </w:p>
          <w:p>
            <w:pPr>
              <w:spacing w:before="30" w:after="100"/>
              <w:jc w:val="left"/>
            </w:pPr>
            <w:r>
              <w:rPr>
                <w:rFonts w:ascii="Arial" w:cs="Arial" w:eastAsia="Arial" w:hAnsi="Arial"/>
                <w:b w:val="false"/>
                <w:bCs w:val="false"/>
                <w:i w:val="false"/>
                <w:iCs w:val="false"/>
                <w:color w:val="555555"/>
                <w:sz w:val="20"/>
                <w:szCs w:val="20"/>
              </w:rPr>
              <w:t xml:space="preserve">Full access to Zones A through G at Chapter 512 and every future chapter. No card required. No reservation needed for access. For life. Transferable to guests in your company.</w:t>
            </w:r>
          </w:p>
        </w:tc>
        <w:tc>
          <w:tcPr>
            <w:tcW w:type="dxa" w:w="1200"/>
            <w:tcBorders>
              <w:top w:val="none" w:color="FFFFFF" w:sz="0"/>
              <w:left w:val="none" w:color="FFFFFF" w:sz="0"/>
              <w:bottom w:val="none" w:color="FFFFFF" w:sz="0"/>
              <w:right w:val="none" w:color="FFFFFF" w:sz="0"/>
            </w:tcBorders>
            <w:shd w:fill="1C0C04"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LIFE</w:t>
            </w:r>
          </w:p>
        </w:tc>
      </w:tr>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Priority Booking — 48-Hour Hold on All Hourly Zones</w:t>
            </w:r>
          </w:p>
          <w:p>
            <w:pPr>
              <w:spacing w:before="30" w:after="100"/>
              <w:jc w:val="left"/>
            </w:pPr>
            <w:r>
              <w:rPr>
                <w:rFonts w:ascii="Arial" w:cs="Arial" w:eastAsia="Arial" w:hAnsi="Arial"/>
                <w:b w:val="false"/>
                <w:bCs w:val="false"/>
                <w:i w:val="false"/>
                <w:iCs w:val="false"/>
                <w:color w:val="555555"/>
                <w:sz w:val="20"/>
                <w:szCs w:val="20"/>
              </w:rPr>
              <w:t xml:space="preserve">Any room or space in Zone A, B, or C can be held for 48 hours on request before releasing to other members. You book first, always.</w:t>
            </w:r>
          </w:p>
        </w:tc>
        <w:tc>
          <w:tcPr>
            <w:tcW w:type="dxa" w:w="1200"/>
            <w:tcBorders>
              <w:top w:val="none" w:color="FFFFFF" w:sz="0"/>
              <w:left w:val="none" w:color="FFFFFF" w:sz="0"/>
              <w:bottom w:val="none" w:color="FFFFFF" w:sz="0"/>
              <w:right w:val="none" w:color="FFFFFF" w:sz="0"/>
            </w:tcBorders>
            <w:shd w:fill="B8150C"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ACCESS</w:t>
            </w:r>
          </w:p>
        </w:tc>
      </w:tr>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Monthly Studio Block — Zone B (8 Hours per Month)</w:t>
            </w:r>
          </w:p>
          <w:p>
            <w:pPr>
              <w:spacing w:before="30" w:after="100"/>
              <w:jc w:val="left"/>
            </w:pPr>
            <w:r>
              <w:rPr>
                <w:rFonts w:ascii="Arial" w:cs="Arial" w:eastAsia="Arial" w:hAnsi="Arial"/>
                <w:b w:val="false"/>
                <w:bCs w:val="false"/>
                <w:i w:val="false"/>
                <w:iCs w:val="false"/>
                <w:color w:val="555555"/>
                <w:sz w:val="20"/>
                <w:szCs w:val="20"/>
              </w:rPr>
              <w:t xml:space="preserve">8 hours of dedicated time in a Zone B production suite each month, yours to use or gift. No booking fee, no rate applied. Rolls over for up to 30 days if unused.</w:t>
            </w:r>
          </w:p>
        </w:tc>
        <w:tc>
          <w:tcPr>
            <w:tcW w:type="dxa" w:w="1200"/>
            <w:tcBorders>
              <w:top w:val="none" w:color="FFFFFF" w:sz="0"/>
              <w:left w:val="none" w:color="FFFFFF" w:sz="0"/>
              <w:bottom w:val="none" w:color="FFFFFF" w:sz="0"/>
              <w:right w:val="none" w:color="FFFFFF" w:sz="0"/>
            </w:tcBorders>
            <w:shd w:fill="B8150C"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ACCESS</w:t>
            </w:r>
          </w:p>
        </w:tc>
      </w:tr>
    </w:tbl>
    <w:p>
      <w:pPr>
        <w:spacing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c>
          <w:tcPr>
            <w:tcBorders>
              <w:top w:val="none" w:color="FFFFFF" w:sz="0"/>
              <w:left w:val="none" w:color="FFFFFF" w:sz="0"/>
              <w:bottom w:val="none" w:color="FFFFFF" w:sz="0"/>
              <w:right w:val="none" w:color="FFFFFF" w:sz="0"/>
            </w:tcBorders>
            <w:shd w:fill="1C0C04" w:val="clear"/>
            <w:tcMar>
              <w:top w:type="dxa" w:w="140"/>
              <w:left w:type="dxa" w:w="200"/>
              <w:bottom w:type="dxa" w:w="140"/>
              <w:right w:type="dxa" w:w="160"/>
            </w:tcMar>
            <w:vAlign w:val="center"/>
          </w:tcPr>
          <w:p>
            <w:pPr>
              <w:spacing w:before="60" w:after="100"/>
              <w:jc w:val="center"/>
            </w:pPr>
            <w:r>
              <w:rPr>
                <w:rFonts w:ascii="Georgia" w:cs="Georgia" w:eastAsia="Georgia" w:hAnsi="Georgia"/>
                <w:b/>
                <w:bCs/>
                <w:i w:val="false"/>
                <w:iCs w:val="false"/>
                <w:color w:val="C9A84C"/>
                <w:sz w:val="48"/>
                <w:szCs w:val="48"/>
              </w:rPr>
              <w:t xml:space="preserve">IV</w:t>
            </w:r>
          </w:p>
        </w:tc>
        <w:tc>
          <w:tcPr>
            <w:tcBorders>
              <w:top w:val="none" w:color="FFFFFF" w:sz="0"/>
              <w:left w:val="none" w:color="FFFFFF" w:sz="0"/>
              <w:bottom w:val="none" w:color="FFFFFF" w:sz="0"/>
              <w:right w:val="none" w:color="FFFFFF" w:sz="0"/>
            </w:tcBorders>
            <w:shd w:fill="1C0C04" w:val="clear"/>
            <w:tcMar>
              <w:top w:type="dxa" w:w="100"/>
              <w:left w:type="dxa" w:w="200"/>
              <w:bottom w:type="dxa" w:w="100"/>
              <w:right w:type="dxa" w:w="200"/>
            </w:tcMar>
          </w:tcPr>
          <w:p>
            <w:pPr>
              <w:spacing w:before="60" w:after="20"/>
              <w:jc w:val="left"/>
            </w:pPr>
            <w:r>
              <w:rPr>
                <w:rFonts w:ascii="Georgia" w:cs="Georgia" w:eastAsia="Georgia" w:hAnsi="Georgia"/>
                <w:b/>
                <w:bCs/>
                <w:i w:val="false"/>
                <w:iCs w:val="false"/>
                <w:color w:val="FFFFFF"/>
                <w:sz w:val="28"/>
                <w:szCs w:val="28"/>
              </w:rPr>
              <w:t xml:space="preserve">Governance &amp; Investment</w:t>
            </w:r>
          </w:p>
          <w:p>
            <w:pPr>
              <w:spacing w:before="20" w:after="100"/>
              <w:jc w:val="left"/>
            </w:pPr>
            <w:r>
              <w:rPr>
                <w:rFonts w:ascii="Arial" w:cs="Arial" w:eastAsia="Arial" w:hAnsi="Arial"/>
                <w:b w:val="false"/>
                <w:bCs w:val="false"/>
                <w:i/>
                <w:iCs/>
                <w:color w:val="aaaaaa"/>
                <w:sz w:val="20"/>
                <w:szCs w:val="20"/>
              </w:rPr>
              <w:t xml:space="preserve">A seat at the table that actually matters</w:t>
            </w:r>
          </w:p>
        </w:tc>
      </w:tr>
    </w:tbl>
    <w:p>
      <w:pPr>
        <w:spacing w:before="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
        <w:gridCol w:w="7760"/>
        <w:gridCol w:w="1200"/>
      </w:tblGrid>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Full Operational Governance Rights</w:t>
            </w:r>
          </w:p>
          <w:p>
            <w:pPr>
              <w:spacing w:before="30" w:after="100"/>
              <w:jc w:val="left"/>
            </w:pPr>
            <w:r>
              <w:rPr>
                <w:rFonts w:ascii="Arial" w:cs="Arial" w:eastAsia="Arial" w:hAnsi="Arial"/>
                <w:b w:val="false"/>
                <w:bCs w:val="false"/>
                <w:i w:val="false"/>
                <w:iCs w:val="false"/>
                <w:color w:val="555555"/>
                <w:sz w:val="20"/>
                <w:szCs w:val="20"/>
              </w:rPr>
              <w:t xml:space="preserve">Founding Partners hold governance rights from Day 1 with direct input into major operational decisions, leadership structure, and strategic direction. As Union Elders, they hold binding constitutional votes on questions of sale, major structural change, and membership architecture.</w:t>
            </w:r>
          </w:p>
        </w:tc>
        <w:tc>
          <w:tcPr>
            <w:tcW w:type="dxa" w:w="1200"/>
            <w:tcBorders>
              <w:top w:val="none" w:color="FFFFFF" w:sz="0"/>
              <w:left w:val="none" w:color="FFFFFF" w:sz="0"/>
              <w:bottom w:val="none" w:color="FFFFFF" w:sz="0"/>
              <w:right w:val="none" w:color="FFFFFF" w:sz="0"/>
            </w:tcBorders>
            <w:shd w:fill="1C0C04"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LIFE</w:t>
            </w:r>
          </w:p>
        </w:tc>
      </w:tr>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Founders’ Council — Quarterly Closed Sessions</w:t>
            </w:r>
          </w:p>
          <w:p>
            <w:pPr>
              <w:spacing w:before="30" w:after="100"/>
              <w:jc w:val="left"/>
            </w:pPr>
            <w:r>
              <w:rPr>
                <w:rFonts w:ascii="Arial" w:cs="Arial" w:eastAsia="Arial" w:hAnsi="Arial"/>
                <w:b w:val="false"/>
                <w:bCs w:val="false"/>
                <w:i w:val="false"/>
                <w:iCs w:val="false"/>
                <w:color w:val="555555"/>
                <w:sz w:val="20"/>
                <w:szCs w:val="20"/>
              </w:rPr>
              <w:t xml:space="preserve">A quarterly private session with the three founding operators — roadmap previews, chapter expansion plans, financial performance, and incoming decisions. Not a newsletter. A real meeting, in the room.</w:t>
            </w:r>
          </w:p>
        </w:tc>
        <w:tc>
          <w:tcPr>
            <w:tcW w:type="dxa" w:w="1200"/>
            <w:tcBorders>
              <w:top w:val="none" w:color="FFFFFF" w:sz="0"/>
              <w:left w:val="none" w:color="FFFFFF" w:sz="0"/>
              <w:bottom w:val="none" w:color="FFFFFF" w:sz="0"/>
              <w:right w:val="none" w:color="FFFFFF" w:sz="0"/>
            </w:tcBorders>
            <w:shd w:fill="B8150C"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ACCESS</w:t>
            </w:r>
          </w:p>
        </w:tc>
      </w:tr>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First Right on Future Chapter Investments</w:t>
            </w:r>
          </w:p>
          <w:p>
            <w:pPr>
              <w:spacing w:before="30" w:after="100"/>
              <w:jc w:val="left"/>
            </w:pPr>
            <w:r>
              <w:rPr>
                <w:rFonts w:ascii="Arial" w:cs="Arial" w:eastAsia="Arial" w:hAnsi="Arial"/>
                <w:b w:val="false"/>
                <w:bCs w:val="false"/>
                <w:i w:val="false"/>
                <w:iCs w:val="false"/>
                <w:color w:val="555555"/>
                <w:sz w:val="20"/>
                <w:szCs w:val="20"/>
              </w:rPr>
              <w:t xml:space="preserve">Before a single outside investor is contacted about Chapter 615 or any other future chapter, Founding Partners of Chapter 512 receive a direct call. First right, not first refusal — you get a defined window to commit before the round opens.</w:t>
            </w:r>
          </w:p>
        </w:tc>
        <w:tc>
          <w:tcPr>
            <w:tcW w:type="dxa" w:w="1200"/>
            <w:tcBorders>
              <w:top w:val="none" w:color="FFFFFF" w:sz="0"/>
              <w:left w:val="none" w:color="FFFFFF" w:sz="0"/>
              <w:bottom w:val="none" w:color="FFFFFF" w:sz="0"/>
              <w:right w:val="none" w:color="FFFFFF" w:sz="0"/>
            </w:tcBorders>
            <w:shd w:fill="B8150C"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ACCESS</w:t>
            </w:r>
          </w:p>
        </w:tc>
      </w:tr>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Founder’s Pick — One Artist Nomination Per Year</w:t>
            </w:r>
          </w:p>
          <w:p>
            <w:pPr>
              <w:spacing w:before="30" w:after="100"/>
              <w:jc w:val="left"/>
            </w:pPr>
            <w:r>
              <w:rPr>
                <w:rFonts w:ascii="Arial" w:cs="Arial" w:eastAsia="Arial" w:hAnsi="Arial"/>
                <w:b w:val="false"/>
                <w:bCs w:val="false"/>
                <w:i w:val="false"/>
                <w:iCs w:val="false"/>
                <w:color w:val="555555"/>
                <w:sz w:val="20"/>
                <w:szCs w:val="20"/>
              </w:rPr>
              <w:t xml:space="preserve">Each Founding Partner can nominate one artist per year for a Union Stage headlining slot. Programmed no questions asked. The artist is booked, the show is produced, the credit reads: "A Founder's Pick from [Name]."</w:t>
            </w:r>
          </w:p>
        </w:tc>
        <w:tc>
          <w:tcPr>
            <w:tcW w:type="dxa" w:w="1200"/>
            <w:tcBorders>
              <w:top w:val="none" w:color="FFFFFF" w:sz="0"/>
              <w:left w:val="none" w:color="FFFFFF" w:sz="0"/>
              <w:bottom w:val="none" w:color="FFFFFF" w:sz="0"/>
              <w:right w:val="none" w:color="FFFFFF" w:sz="0"/>
            </w:tcBorders>
            <w:shd w:fill="B8150C"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ACCESS</w:t>
            </w:r>
          </w:p>
        </w:tc>
      </w:tr>
    </w:tbl>
    <w:p>
      <w:pPr>
        <w:spacing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c>
          <w:tcPr>
            <w:tcBorders>
              <w:top w:val="none" w:color="FFFFFF" w:sz="0"/>
              <w:left w:val="none" w:color="FFFFFF" w:sz="0"/>
              <w:bottom w:val="none" w:color="FFFFFF" w:sz="0"/>
              <w:right w:val="none" w:color="FFFFFF" w:sz="0"/>
            </w:tcBorders>
            <w:shd w:fill="1C0C04" w:val="clear"/>
            <w:tcMar>
              <w:top w:type="dxa" w:w="140"/>
              <w:left w:type="dxa" w:w="200"/>
              <w:bottom w:type="dxa" w:w="140"/>
              <w:right w:type="dxa" w:w="160"/>
            </w:tcMar>
            <w:vAlign w:val="center"/>
          </w:tcPr>
          <w:p>
            <w:pPr>
              <w:spacing w:before="60" w:after="100"/>
              <w:jc w:val="center"/>
            </w:pPr>
            <w:r>
              <w:rPr>
                <w:rFonts w:ascii="Georgia" w:cs="Georgia" w:eastAsia="Georgia" w:hAnsi="Georgia"/>
                <w:b/>
                <w:bCs/>
                <w:i w:val="false"/>
                <w:iCs w:val="false"/>
                <w:color w:val="C9A84C"/>
                <w:sz w:val="48"/>
                <w:szCs w:val="48"/>
              </w:rPr>
              <w:t xml:space="preserve">V</w:t>
            </w:r>
          </w:p>
        </w:tc>
        <w:tc>
          <w:tcPr>
            <w:tcBorders>
              <w:top w:val="none" w:color="FFFFFF" w:sz="0"/>
              <w:left w:val="none" w:color="FFFFFF" w:sz="0"/>
              <w:bottom w:val="none" w:color="FFFFFF" w:sz="0"/>
              <w:right w:val="none" w:color="FFFFFF" w:sz="0"/>
            </w:tcBorders>
            <w:shd w:fill="1C0C04" w:val="clear"/>
            <w:tcMar>
              <w:top w:type="dxa" w:w="100"/>
              <w:left w:type="dxa" w:w="200"/>
              <w:bottom w:type="dxa" w:w="100"/>
              <w:right w:type="dxa" w:w="200"/>
            </w:tcMar>
          </w:tcPr>
          <w:p>
            <w:pPr>
              <w:spacing w:before="60" w:after="20"/>
              <w:jc w:val="left"/>
            </w:pPr>
            <w:r>
              <w:rPr>
                <w:rFonts w:ascii="Georgia" w:cs="Georgia" w:eastAsia="Georgia" w:hAnsi="Georgia"/>
                <w:b/>
                <w:bCs/>
                <w:i w:val="false"/>
                <w:iCs w:val="false"/>
                <w:color w:val="FFFFFF"/>
                <w:sz w:val="28"/>
                <w:szCs w:val="28"/>
              </w:rPr>
              <w:t xml:space="preserve">Community &amp; Network</w:t>
            </w:r>
          </w:p>
          <w:p>
            <w:pPr>
              <w:spacing w:before="20" w:after="100"/>
              <w:jc w:val="left"/>
            </w:pPr>
            <w:r>
              <w:rPr>
                <w:rFonts w:ascii="Arial" w:cs="Arial" w:eastAsia="Arial" w:hAnsi="Arial"/>
                <w:b w:val="false"/>
                <w:bCs w:val="false"/>
                <w:i/>
                <w:iCs/>
                <w:color w:val="aaaaaa"/>
                <w:sz w:val="20"/>
                <w:szCs w:val="20"/>
              </w:rPr>
              <w:t xml:space="preserve">Direct access to the people and conversations that matter</w:t>
            </w:r>
          </w:p>
        </w:tc>
      </w:tr>
    </w:tbl>
    <w:p>
      <w:pPr>
        <w:spacing w:before="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
        <w:gridCol w:w="7760"/>
        <w:gridCol w:w="1200"/>
      </w:tblGrid>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Private Founders’ Channel</w:t>
            </w:r>
          </w:p>
          <w:p>
            <w:pPr>
              <w:spacing w:before="30" w:after="100"/>
              <w:jc w:val="left"/>
            </w:pPr>
            <w:r>
              <w:rPr>
                <w:rFonts w:ascii="Arial" w:cs="Arial" w:eastAsia="Arial" w:hAnsi="Arial"/>
                <w:b w:val="false"/>
                <w:bCs w:val="false"/>
                <w:i w:val="false"/>
                <w:iCs w:val="false"/>
                <w:color w:val="555555"/>
                <w:sz w:val="20"/>
                <w:szCs w:val="20"/>
              </w:rPr>
              <w:t xml:space="preserve">A private group connecting all Founding Partners with each other and with the founding team. Announcements, deals, booking tips, introductions, and direct lines — shared among the people who built this.</w:t>
            </w:r>
          </w:p>
        </w:tc>
        <w:tc>
          <w:tcPr>
            <w:tcW w:type="dxa" w:w="1200"/>
            <w:tcBorders>
              <w:top w:val="none" w:color="FFFFFF" w:sz="0"/>
              <w:left w:val="none" w:color="FFFFFF" w:sz="0"/>
              <w:bottom w:val="none" w:color="FFFFFF" w:sz="0"/>
              <w:right w:val="none" w:color="FFFFFF" w:sz="0"/>
            </w:tcBorders>
            <w:shd w:fill="B8150C"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ACCESS</w:t>
            </w:r>
          </w:p>
        </w:tc>
      </w:tr>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Dedicated Direct Contact</w:t>
            </w:r>
          </w:p>
          <w:p>
            <w:pPr>
              <w:spacing w:before="30" w:after="100"/>
              <w:jc w:val="left"/>
            </w:pPr>
            <w:r>
              <w:rPr>
                <w:rFonts w:ascii="Arial" w:cs="Arial" w:eastAsia="Arial" w:hAnsi="Arial"/>
                <w:b w:val="false"/>
                <w:bCs w:val="false"/>
                <w:i w:val="false"/>
                <w:iCs w:val="false"/>
                <w:color w:val="555555"/>
                <w:sz w:val="20"/>
                <w:szCs w:val="20"/>
              </w:rPr>
              <w:t xml:space="preserve">Not a help desk. A named person whose job is to handle any question, request, or need from any Founding Partner, personally and promptly.</w:t>
            </w:r>
          </w:p>
        </w:tc>
        <w:tc>
          <w:tcPr>
            <w:tcW w:type="dxa" w:w="1200"/>
            <w:tcBorders>
              <w:top w:val="none" w:color="FFFFFF" w:sz="0"/>
              <w:left w:val="none" w:color="FFFFFF" w:sz="0"/>
              <w:bottom w:val="none" w:color="FFFFFF" w:sz="0"/>
              <w:right w:val="none" w:color="FFFFFF" w:sz="0"/>
            </w:tcBorders>
            <w:shd w:fill="B8150C"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ACCESS</w:t>
            </w:r>
          </w:p>
        </w:tc>
      </w:tr>
    </w:tbl>
    <w:p>
      <w:pPr>
        <w:spacing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c>
          <w:tcPr>
            <w:tcBorders>
              <w:top w:val="none" w:color="FFFFFF" w:sz="0"/>
              <w:left w:val="none" w:color="FFFFFF" w:sz="0"/>
              <w:bottom w:val="none" w:color="FFFFFF" w:sz="0"/>
              <w:right w:val="none" w:color="FFFFFF" w:sz="0"/>
            </w:tcBorders>
            <w:shd w:fill="1C0C04" w:val="clear"/>
            <w:tcMar>
              <w:top w:type="dxa" w:w="140"/>
              <w:left w:type="dxa" w:w="200"/>
              <w:bottom w:type="dxa" w:w="140"/>
              <w:right w:type="dxa" w:w="160"/>
            </w:tcMar>
            <w:vAlign w:val="center"/>
          </w:tcPr>
          <w:p>
            <w:pPr>
              <w:spacing w:before="60" w:after="100"/>
              <w:jc w:val="center"/>
            </w:pPr>
            <w:r>
              <w:rPr>
                <w:rFonts w:ascii="Georgia" w:cs="Georgia" w:eastAsia="Georgia" w:hAnsi="Georgia"/>
                <w:b/>
                <w:bCs/>
                <w:i w:val="false"/>
                <w:iCs w:val="false"/>
                <w:color w:val="C9A84C"/>
                <w:sz w:val="48"/>
                <w:szCs w:val="48"/>
              </w:rPr>
              <w:t xml:space="preserve">VI</w:t>
            </w:r>
          </w:p>
        </w:tc>
        <w:tc>
          <w:tcPr>
            <w:tcBorders>
              <w:top w:val="none" w:color="FFFFFF" w:sz="0"/>
              <w:left w:val="none" w:color="FFFFFF" w:sz="0"/>
              <w:bottom w:val="none" w:color="FFFFFF" w:sz="0"/>
              <w:right w:val="none" w:color="FFFFFF" w:sz="0"/>
            </w:tcBorders>
            <w:shd w:fill="1C0C04" w:val="clear"/>
            <w:tcMar>
              <w:top w:type="dxa" w:w="100"/>
              <w:left w:type="dxa" w:w="200"/>
              <w:bottom w:type="dxa" w:w="100"/>
              <w:right w:type="dxa" w:w="200"/>
            </w:tcMar>
          </w:tcPr>
          <w:p>
            <w:pPr>
              <w:spacing w:before="60" w:after="20"/>
              <w:jc w:val="left"/>
            </w:pPr>
            <w:r>
              <w:rPr>
                <w:rFonts w:ascii="Georgia" w:cs="Georgia" w:eastAsia="Georgia" w:hAnsi="Georgia"/>
                <w:b/>
                <w:bCs/>
                <w:i w:val="false"/>
                <w:iCs w:val="false"/>
                <w:color w:val="FFFFFF"/>
                <w:sz w:val="28"/>
                <w:szCs w:val="28"/>
              </w:rPr>
              <w:t xml:space="preserve">Recognition &amp; Legacy</w:t>
            </w:r>
          </w:p>
          <w:p>
            <w:pPr>
              <w:spacing w:before="20" w:after="100"/>
              <w:jc w:val="left"/>
            </w:pPr>
            <w:r>
              <w:rPr>
                <w:rFonts w:ascii="Arial" w:cs="Arial" w:eastAsia="Arial" w:hAnsi="Arial"/>
                <w:b w:val="false"/>
                <w:bCs w:val="false"/>
                <w:i/>
                <w:iCs/>
                <w:color w:val="aaaaaa"/>
                <w:sz w:val="20"/>
                <w:szCs w:val="20"/>
              </w:rPr>
              <w:t xml:space="preserve">The permanent record of the people who started this</w:t>
            </w:r>
          </w:p>
        </w:tc>
      </w:tr>
    </w:tbl>
    <w:p>
      <w:pPr>
        <w:spacing w:before="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
        <w:gridCol w:w="7760"/>
        <w:gridCol w:w="1200"/>
      </w:tblGrid>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Annual Founding Partner Dinner</w:t>
            </w:r>
          </w:p>
          <w:p>
            <w:pPr>
              <w:spacing w:before="30" w:after="100"/>
              <w:jc w:val="left"/>
            </w:pPr>
            <w:r>
              <w:rPr>
                <w:rFonts w:ascii="Arial" w:cs="Arial" w:eastAsia="Arial" w:hAnsi="Arial"/>
                <w:b w:val="false"/>
                <w:bCs w:val="false"/>
                <w:i w:val="false"/>
                <w:iCs w:val="false"/>
                <w:color w:val="555555"/>
                <w:sz w:val="20"/>
                <w:szCs w:val="20"/>
              </w:rPr>
              <w:t xml:space="preserve">Once a year, the Founding Partners gather privately. The evening includes dinner, a performance commissioned specifically for the occasion, and the kind of conversation that only happens among people who built something together.</w:t>
            </w:r>
          </w:p>
        </w:tc>
        <w:tc>
          <w:tcPr>
            <w:tcW w:type="dxa" w:w="1200"/>
            <w:tcBorders>
              <w:top w:val="none" w:color="FFFFFF" w:sz="0"/>
              <w:left w:val="none" w:color="FFFFFF" w:sz="0"/>
              <w:bottom w:val="none" w:color="FFFFFF" w:sz="0"/>
              <w:right w:val="none" w:color="FFFFFF" w:sz="0"/>
            </w:tcBorders>
            <w:shd w:fill="1C0C04"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LIFE</w:t>
            </w:r>
          </w:p>
        </w:tc>
      </w:tr>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Named on the Building — Founders’ Wall and Individual Plaque</w:t>
            </w:r>
          </w:p>
          <w:p>
            <w:pPr>
              <w:spacing w:before="30" w:after="100"/>
              <w:jc w:val="left"/>
            </w:pPr>
            <w:r>
              <w:rPr>
                <w:rFonts w:ascii="Arial" w:cs="Arial" w:eastAsia="Arial" w:hAnsi="Arial"/>
                <w:b w:val="false"/>
                <w:bCs w:val="false"/>
                <w:i w:val="false"/>
                <w:iCs w:val="false"/>
                <w:color w:val="555555"/>
                <w:sz w:val="20"/>
                <w:szCs w:val="20"/>
              </w:rPr>
              <w:t xml:space="preserve">A permanent Founders’ Wall in the lobby of every chapter, installed at opening. Individual plaques with each partner’s name and founding year. This is not a donor wall. It is the wall of the people the building was named after.</w:t>
            </w:r>
          </w:p>
        </w:tc>
        <w:tc>
          <w:tcPr>
            <w:tcW w:type="dxa" w:w="1200"/>
            <w:tcBorders>
              <w:top w:val="none" w:color="FFFFFF" w:sz="0"/>
              <w:left w:val="none" w:color="FFFFFF" w:sz="0"/>
              <w:bottom w:val="none" w:color="FFFFFF" w:sz="0"/>
              <w:right w:val="none" w:color="FFFFFF" w:sz="0"/>
            </w:tcBorders>
            <w:shd w:fill="1B2A4A"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LEGACY</w:t>
            </w:r>
          </w:p>
        </w:tc>
      </w:tr>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"Chapter 512 Founding Story" — Permanent Lobby Display</w:t>
            </w:r>
          </w:p>
          <w:p>
            <w:pPr>
              <w:spacing w:before="30" w:after="100"/>
              <w:jc w:val="left"/>
            </w:pPr>
            <w:r>
              <w:rPr>
                <w:rFonts w:ascii="Arial" w:cs="Arial" w:eastAsia="Arial" w:hAnsi="Arial"/>
                <w:b w:val="false"/>
                <w:bCs w:val="false"/>
                <w:i w:val="false"/>
                <w:iCs w:val="false"/>
                <w:color w:val="555555"/>
                <w:sz w:val="20"/>
                <w:szCs w:val="20"/>
              </w:rPr>
              <w:t xml:space="preserve">A permanent installation in the Chapter 512 lobby documenting the founding of The Music Union. Founding Partners are featured by name, photograph, and their role in making Chapter 512 exist.</w:t>
            </w:r>
          </w:p>
        </w:tc>
        <w:tc>
          <w:tcPr>
            <w:tcW w:type="dxa" w:w="1200"/>
            <w:tcBorders>
              <w:top w:val="none" w:color="FFFFFF" w:sz="0"/>
              <w:left w:val="none" w:color="FFFFFF" w:sz="0"/>
              <w:bottom w:val="none" w:color="FFFFFF" w:sz="0"/>
              <w:right w:val="none" w:color="FFFFFF" w:sz="0"/>
            </w:tcBorders>
            <w:shd w:fill="1B2A4A"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LEGACY</w:t>
            </w:r>
          </w:p>
        </w:tc>
      </w:tr>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In the Historical Record — By Name, By Right</w:t>
            </w:r>
          </w:p>
          <w:p>
            <w:pPr>
              <w:spacing w:before="30" w:after="100"/>
              <w:jc w:val="left"/>
            </w:pPr>
            <w:r>
              <w:rPr>
                <w:rFonts w:ascii="Arial" w:cs="Arial" w:eastAsia="Arial" w:hAnsi="Arial"/>
                <w:b w:val="false"/>
                <w:bCs w:val="false"/>
                <w:i w:val="false"/>
                <w:iCs w:val="false"/>
                <w:color w:val="555555"/>
                <w:sz w:val="20"/>
                <w:szCs w:val="20"/>
              </w:rPr>
              <w:t xml:space="preserve">If The Music Union produces a book, documentary, oral history, or any official account of its founding — Founding Partners are included, by name, as a matter of institutional record. Not as a courtesy. As a right.</w:t>
            </w:r>
          </w:p>
        </w:tc>
        <w:tc>
          <w:tcPr>
            <w:tcW w:type="dxa" w:w="1200"/>
            <w:tcBorders>
              <w:top w:val="none" w:color="FFFFFF" w:sz="0"/>
              <w:left w:val="none" w:color="FFFFFF" w:sz="0"/>
              <w:bottom w:val="none" w:color="FFFFFF" w:sz="0"/>
              <w:right w:val="none" w:color="FFFFFF" w:sz="0"/>
            </w:tcBorders>
            <w:shd w:fill="1B2A4A"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LEGACY</w:t>
            </w:r>
          </w:p>
        </w:tc>
      </w:tr>
      <w:tr>
        <w:tc>
          <w:tcPr>
            <w:tcW w:type="dxa" w:w="400"/>
            <w:tcBorders>
              <w:top w:val="none" w:color="FFFFFF" w:sz="0"/>
              <w:left w:val="none" w:color="FFFFFF" w:sz="0"/>
              <w:bottom w:val="none" w:color="FFFFFF" w:sz="0"/>
              <w:right w:val="none" w:color="FFFFFF" w:sz="0"/>
            </w:tcBorders>
            <w:shd w:fill="FDF8F0" w:val="clear"/>
            <w:tcMar>
              <w:top w:type="dxa" w:w="120"/>
              <w:left w:type="dxa" w:w="200"/>
              <w:bottom w:type="dxa" w:w="120"/>
              <w:right w:type="dxa" w:w="60"/>
            </w:tcMar>
            <w:vAlign w:val="center"/>
          </w:tcPr>
          <w:p>
            <w:pPr>
              <w:spacing w:before="60" w:after="100"/>
              <w:jc w:val="center"/>
            </w:pPr>
            <w:r>
              <w:rPr>
                <w:rFonts w:ascii="Arial" w:cs="Arial" w:eastAsia="Arial" w:hAnsi="Arial"/>
                <w:b w:val="false"/>
                <w:bCs w:val="false"/>
                <w:i w:val="false"/>
                <w:iCs w:val="false"/>
                <w:color w:val="333333"/>
                <w:sz w:val="28"/>
                <w:szCs w:val="28"/>
              </w:rPr>
              <w:t xml:space="preserve">🎁</w:t>
            </w:r>
          </w:p>
        </w:tc>
        <w:tc>
          <w:tcPr>
            <w:tcW w:type="dxa" w:w="7760"/>
            <w:tcBorders>
              <w:top w:val="none" w:color="FFFFFF" w:sz="0"/>
              <w:left w:val="none" w:color="FFFFFF" w:sz="0"/>
              <w:bottom w:val="none" w:color="FFFFFF" w:sz="0"/>
              <w:right w:val="none" w:color="FFFFFF" w:sz="0"/>
            </w:tcBorders>
            <w:shd w:fill="FDF8F0" w:val="clear"/>
            <w:tcMar>
              <w:top w:type="dxa" w:w="120"/>
              <w:left w:type="dxa" w:w="120"/>
              <w:bottom w:type="dxa" w:w="120"/>
              <w:right w:type="dxa" w:w="200"/>
            </w:tcMar>
          </w:tcPr>
          <w:p>
            <w:pPr>
              <w:spacing w:before="60" w:after="30"/>
              <w:jc w:val="left"/>
            </w:pPr>
            <w:r>
              <w:rPr>
                <w:rFonts w:ascii="Arial" w:cs="Arial" w:eastAsia="Arial" w:hAnsi="Arial"/>
                <w:b/>
                <w:bCs/>
                <w:i w:val="false"/>
                <w:iCs w:val="false"/>
                <w:color w:val="1C0C04"/>
                <w:sz w:val="23"/>
                <w:szCs w:val="23"/>
              </w:rPr>
              <w:t xml:space="preserve">Commemorative Opening Package</w:t>
            </w:r>
          </w:p>
          <w:p>
            <w:pPr>
              <w:spacing w:before="30" w:after="100"/>
              <w:jc w:val="left"/>
            </w:pPr>
            <w:r>
              <w:rPr>
                <w:rFonts w:ascii="Arial" w:cs="Arial" w:eastAsia="Arial" w:hAnsi="Arial"/>
                <w:b w:val="false"/>
                <w:bCs w:val="false"/>
                <w:i w:val="false"/>
                <w:iCs w:val="false"/>
                <w:color w:val="555555"/>
                <w:sz w:val="20"/>
                <w:szCs w:val="20"/>
              </w:rPr>
              <w:t xml:space="preserve">Delivered at the Chapter 512 opening: a signed and numbered piece commissioned for the occasion, a curated bottle, and the original architectural floor plan of the building — framed, signed by the founding team.</w:t>
            </w:r>
          </w:p>
        </w:tc>
        <w:tc>
          <w:tcPr>
            <w:tcW w:type="dxa" w:w="1200"/>
            <w:tcBorders>
              <w:top w:val="none" w:color="FFFFFF" w:sz="0"/>
              <w:left w:val="none" w:color="FFFFFF" w:sz="0"/>
              <w:bottom w:val="none" w:color="FFFFFF" w:sz="0"/>
              <w:right w:val="none" w:color="FFFFFF" w:sz="0"/>
            </w:tcBorders>
            <w:shd w:fill="1B2A4A" w:val="clear"/>
            <w:tcMar>
              <w:top w:type="dxa" w:w="80"/>
              <w:left w:type="dxa" w:w="120"/>
              <w:bottom w:type="dxa" w:w="80"/>
              <w:right w:type="dxa" w:w="120"/>
            </w:tcMar>
            <w:vAlign w:val="center"/>
          </w:tcPr>
          <w:p>
            <w:pPr>
              <w:spacing w:before="60" w:after="100"/>
              <w:jc w:val="center"/>
            </w:pPr>
            <w:r>
              <w:rPr>
                <w:rFonts w:ascii="Arial" w:cs="Arial" w:eastAsia="Arial" w:hAnsi="Arial"/>
                <w:b/>
                <w:bCs/>
                <w:i w:val="false"/>
                <w:iCs w:val="false"/>
                <w:color w:val="C9A84C"/>
                <w:spacing w:val="40"/>
                <w:sz w:val="16"/>
                <w:szCs w:val="16"/>
              </w:rPr>
              <w:t xml:space="preserve">LEGACY</w:t>
            </w:r>
          </w:p>
        </w:tc>
      </w:tr>
    </w:tbl>
    <w:p>
      <w:pPr>
        <w:spacing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c>
          <w:tcPr>
            <w:tcBorders>
              <w:top w:val="none" w:color="FFFFFF" w:sz="0"/>
              <w:left w:val="none" w:color="FFFFFF" w:sz="0"/>
              <w:bottom w:val="none" w:color="FFFFFF" w:sz="0"/>
              <w:right w:val="none" w:color="FFFFFF" w:sz="0"/>
            </w:tcBorders>
            <w:shd w:fill="1C0C04" w:val="clear"/>
            <w:tcMar>
              <w:top w:type="dxa" w:w="140"/>
              <w:left w:type="dxa" w:w="200"/>
              <w:bottom w:type="dxa" w:w="140"/>
              <w:right w:type="dxa" w:w="160"/>
            </w:tcMar>
            <w:vAlign w:val="center"/>
          </w:tcPr>
          <w:p>
            <w:pPr>
              <w:spacing w:before="60" w:after="100"/>
              <w:jc w:val="center"/>
            </w:pPr>
            <w:r>
              <w:rPr>
                <w:rFonts w:ascii="Georgia" w:cs="Georgia" w:eastAsia="Georgia" w:hAnsi="Georgia"/>
                <w:b/>
                <w:bCs/>
                <w:i w:val="false"/>
                <w:iCs w:val="false"/>
                <w:color w:val="C9A84C"/>
                <w:sz w:val="48"/>
                <w:szCs w:val="48"/>
              </w:rPr>
              <w:t xml:space="preserve">VII</w:t>
            </w:r>
          </w:p>
        </w:tc>
        <w:tc>
          <w:tcPr>
            <w:tcBorders>
              <w:top w:val="none" w:color="FFFFFF" w:sz="0"/>
              <w:left w:val="none" w:color="FFFFFF" w:sz="0"/>
              <w:bottom w:val="none" w:color="FFFFFF" w:sz="0"/>
              <w:right w:val="none" w:color="FFFFFF" w:sz="0"/>
            </w:tcBorders>
            <w:shd w:fill="1C0C04" w:val="clear"/>
            <w:tcMar>
              <w:top w:type="dxa" w:w="100"/>
              <w:left w:type="dxa" w:w="200"/>
              <w:bottom w:type="dxa" w:w="100"/>
              <w:right w:type="dxa" w:w="200"/>
            </w:tcMar>
          </w:tcPr>
          <w:p>
            <w:pPr>
              <w:spacing w:before="60" w:after="20"/>
              <w:jc w:val="left"/>
            </w:pPr>
            <w:r>
              <w:rPr>
                <w:rFonts w:ascii="Georgia" w:cs="Georgia" w:eastAsia="Georgia" w:hAnsi="Georgia"/>
                <w:b/>
                <w:bCs/>
                <w:i w:val="false"/>
                <w:iCs w:val="false"/>
                <w:color w:val="FFFFFF"/>
                <w:sz w:val="28"/>
                <w:szCs w:val="28"/>
              </w:rPr>
              <w:t xml:space="preserve">The Founding Partner Card</w:t>
            </w:r>
          </w:p>
          <w:p>
            <w:pPr>
              <w:spacing w:before="20" w:after="100"/>
              <w:jc w:val="left"/>
            </w:pPr>
            <w:r>
              <w:rPr>
                <w:rFonts w:ascii="Arial" w:cs="Arial" w:eastAsia="Arial" w:hAnsi="Arial"/>
                <w:b w:val="false"/>
                <w:bCs w:val="false"/>
                <w:i/>
                <w:iCs/>
                <w:color w:val="aaaaaa"/>
                <w:sz w:val="20"/>
                <w:szCs w:val="20"/>
              </w:rPr>
              <w:t xml:space="preserve">The only card in the Union Card system that cannot be earned — only given</w:t>
            </w:r>
          </w:p>
        </w:tc>
      </w:tr>
    </w:tbl>
    <w:p>
      <w:pPr>
        <w:spacing w:before="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B8150C" w:sz="24"/>
              <w:bottom w:val="none" w:color="FFFFFF" w:sz="0"/>
              <w:right w:val="none" w:color="FFFFFF" w:sz="0"/>
            </w:tcBorders>
            <w:shd w:fill="FDF8F0" w:val="clear"/>
            <w:tcMar>
              <w:top w:type="dxa" w:w="200"/>
              <w:left w:type="dxa" w:w="320"/>
              <w:bottom w:type="dxa" w:w="200"/>
              <w:right w:type="dxa" w:w="280"/>
            </w:tcMar>
          </w:tcPr>
          <w:p>
            <w:pPr>
              <w:spacing w:before="60" w:after="100"/>
              <w:jc w:val="left"/>
            </w:pPr>
            <w:r>
              <w:rPr>
                <w:rFonts w:ascii="Georgia" w:cs="Georgia" w:eastAsia="Georgia" w:hAnsi="Georgia"/>
                <w:b w:val="false"/>
                <w:bCs w:val="false"/>
                <w:i/>
                <w:iCs/>
                <w:color w:val="1C0C04"/>
                <w:sz w:val="25"/>
                <w:szCs w:val="25"/>
              </w:rPr>
              <w:t xml:space="preserve">Every Union Card is etched metal. The Founding Partner card is the only one that feels different before you look at it. Heavier stock. Different finish. The founding year is etched into the metal. When it hits a table, it lands differently than anything else in someone’s wallet.</w:t>
            </w:r>
          </w:p>
        </w:tc>
      </w:tr>
    </w:tbl>
    <w:p>
      <w:pPr>
        <w:spacing w:before="160"/>
      </w:pPr>
    </w:p>
    <w:p>
      <w:pPr>
        <w:spacing w:before="60" w:after="100"/>
        <w:jc w:val="left"/>
      </w:pPr>
      <w:r>
        <w:rPr>
          <w:rFonts w:ascii="Arial" w:cs="Arial" w:eastAsia="Arial" w:hAnsi="Arial"/>
          <w:b w:val="false"/>
          <w:bCs w:val="false"/>
          <w:i w:val="false"/>
          <w:iCs w:val="false"/>
          <w:color w:val="444444"/>
          <w:sz w:val="22"/>
          <w:szCs w:val="22"/>
        </w:rPr>
        <w:t xml:space="preserve">The card carries the same hole-punch as every other Union Card — it can be worn on a lanyard at The Union Stage on a Saturday night. But no one who sees it will confuse it for any other tier. The material communicates what the language confirms: this person was here first.</w:t>
      </w:r>
    </w:p>
    <w:p>
      <w:pPr>
        <w:spacing w:before="40"/>
      </w:pPr>
    </w:p>
    <w:p>
      <w:pPr>
        <w:spacing w:before="60" w:after="100"/>
        <w:jc w:val="left"/>
      </w:pPr>
      <w:r>
        <w:rPr>
          <w:rFonts w:ascii="Arial" w:cs="Arial" w:eastAsia="Arial" w:hAnsi="Arial"/>
          <w:b w:val="false"/>
          <w:bCs w:val="false"/>
          <w:i w:val="false"/>
          <w:iCs w:val="false"/>
          <w:color w:val="444444"/>
          <w:sz w:val="22"/>
          <w:szCs w:val="22"/>
        </w:rPr>
        <w:t xml:space="preserve">The Founding Partner card is not issued as a replacement for any other benefit. It is the physical object that confirms everything else on these pages.</w:t>
      </w:r>
    </w:p>
    <w:p>
      <w:pPr>
        <w:spacing w:before="200"/>
      </w:pPr>
    </w:p>
    <w:p>
      <w:pPr>
        <w:pBdr>
          <w:bottom w:val="single" w:color="1C0C04" w:sz="10"/>
        </w:pBdr>
        <w:spacing w:before="200" w:after="160"/>
      </w:pPr>
    </w:p>
    <w:p>
      <w:pPr>
        <w:spacing w:before="80" w:after="120"/>
        <w:jc w:val="left"/>
      </w:pPr>
      <w:r>
        <w:rPr>
          <w:rFonts w:ascii="Georgia" w:cs="Georgia" w:eastAsia="Georgia" w:hAnsi="Georgia"/>
          <w:b/>
          <w:bCs/>
          <w:i w:val="false"/>
          <w:iCs w:val="false"/>
          <w:color w:val="1C0C04"/>
          <w:sz w:val="32"/>
          <w:szCs w:val="32"/>
        </w:rPr>
        <w:t xml:space="preserve">Complete Benefits at a Glance</w:t>
      </w:r>
    </w:p>
    <w:p>
      <w:pPr>
        <w:spacing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5600"/>
        <w:gridCol w:w="1920"/>
        <w:gridCol w:w="1840"/>
      </w:tblGrid>
      <w:tr>
        <w:tc>
          <w:tcPr>
            <w:tcBorders>
              <w:top w:val="none" w:color="FFFFFF" w:sz="0"/>
              <w:left w:val="none" w:color="FFFFFF" w:sz="0"/>
              <w:bottom w:val="none" w:color="FFFFFF" w:sz="0"/>
              <w:right w:val="none" w:color="FFFFFF" w:sz="0"/>
            </w:tcBorders>
            <w:shd w:fill="1C0C04" w:val="clear"/>
            <w:tcMar>
              <w:top w:type="dxa" w:w="100"/>
              <w:left w:type="dxa" w:w="160"/>
              <w:bottom w:type="dxa" w:w="100"/>
              <w:right w:type="dxa" w:w="120"/>
            </w:tcMar>
          </w:tcPr>
          <w:p>
            <w:pPr>
              <w:spacing w:before="60" w:after="100"/>
              <w:jc w:val="left"/>
            </w:pPr>
            <w:r>
              <w:rPr>
                <w:rFonts w:ascii="Arial" w:cs="Arial" w:eastAsia="Arial" w:hAnsi="Arial"/>
                <w:b/>
                <w:bCs/>
                <w:i w:val="false"/>
                <w:iCs w:val="false"/>
                <w:color w:val="FFFFFF"/>
                <w:sz w:val="20"/>
                <w:szCs w:val="20"/>
              </w:rPr>
              <w:t xml:space="preserve">Benefit</w:t>
            </w:r>
          </w:p>
        </w:tc>
        <w:tc>
          <w:tcPr>
            <w:tcBorders>
              <w:top w:val="none" w:color="FFFFFF" w:sz="0"/>
              <w:left w:val="none" w:color="FFFFFF" w:sz="0"/>
              <w:bottom w:val="none" w:color="FFFFFF" w:sz="0"/>
              <w:right w:val="none" w:color="FFFFFF" w:sz="0"/>
            </w:tcBorders>
            <w:shd w:fill="1C0C04" w:val="clear"/>
            <w:tcMar>
              <w:top w:type="dxa" w:w="100"/>
              <w:left w:type="dxa" w:w="120"/>
              <w:bottom w:type="dxa" w:w="100"/>
              <w:right w:type="dxa" w:w="120"/>
            </w:tcMar>
          </w:tcPr>
          <w:p>
            <w:pPr>
              <w:spacing w:before="60" w:after="100"/>
              <w:jc w:val="center"/>
            </w:pPr>
            <w:r>
              <w:rPr>
                <w:rFonts w:ascii="Arial" w:cs="Arial" w:eastAsia="Arial" w:hAnsi="Arial"/>
                <w:b/>
                <w:bCs/>
                <w:i w:val="false"/>
                <w:iCs w:val="false"/>
                <w:color w:val="FFFFFF"/>
                <w:sz w:val="20"/>
                <w:szCs w:val="20"/>
              </w:rPr>
              <w:t xml:space="preserve">Category</w:t>
            </w:r>
          </w:p>
        </w:tc>
        <w:tc>
          <w:tcPr>
            <w:tcBorders>
              <w:top w:val="none" w:color="FFFFFF" w:sz="0"/>
              <w:left w:val="none" w:color="FFFFFF" w:sz="0"/>
              <w:bottom w:val="none" w:color="FFFFFF" w:sz="0"/>
              <w:right w:val="none" w:color="FFFFFF" w:sz="0"/>
            </w:tcBorders>
            <w:shd w:fill="1C0C04" w:val="clear"/>
            <w:tcMar>
              <w:top w:type="dxa" w:w="100"/>
              <w:left w:type="dxa" w:w="120"/>
              <w:bottom w:type="dxa" w:w="100"/>
              <w:right w:type="dxa" w:w="120"/>
            </w:tcMar>
          </w:tcPr>
          <w:p>
            <w:pPr>
              <w:spacing w:before="60" w:after="100"/>
              <w:jc w:val="center"/>
            </w:pPr>
            <w:r>
              <w:rPr>
                <w:rFonts w:ascii="Arial" w:cs="Arial" w:eastAsia="Arial" w:hAnsi="Arial"/>
                <w:b/>
                <w:bCs/>
                <w:i w:val="false"/>
                <w:iCs w:val="false"/>
                <w:color w:val="FFFFFF"/>
                <w:sz w:val="20"/>
                <w:szCs w:val="20"/>
              </w:rPr>
              <w:t xml:space="preserve">All Chapters</w:t>
            </w:r>
          </w:p>
        </w:tc>
      </w:tr>
      <w:tr>
        <w:tc>
          <w:tcPr>
            <w:tcBorders>
              <w:top w:val="none" w:color="FFFFFF" w:sz="0"/>
              <w:left w:val="none" w:color="FFFFFF" w:sz="0"/>
              <w:bottom w:val="none" w:color="FFFFFF" w:sz="0"/>
              <w:right w:val="none" w:color="FFFFFF" w:sz="0"/>
            </w:tcBorders>
            <w:shd w:fill="FFFFFF"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All-access and backstage passes, unlimited guests</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B8150C"/>
                <w:sz w:val="19"/>
                <w:szCs w:val="19"/>
              </w:rPr>
              <w:t xml:space="preserve">Venue</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bCs/>
                <w:i w:val="false"/>
                <w:iCs w:val="false"/>
                <w:color w:val="1A5C2A"/>
                <w:sz w:val="19"/>
                <w:szCs w:val="19"/>
              </w:rPr>
              <w:t xml:space="preserve">✓</w:t>
            </w:r>
          </w:p>
        </w:tc>
      </w:tr>
      <w:tr>
        <w:tc>
          <w:tcPr>
            <w:tcBorders>
              <w:top w:val="none" w:color="FFFFFF" w:sz="0"/>
              <w:left w:val="none" w:color="FFFFFF" w:sz="0"/>
              <w:bottom w:val="none" w:color="FFFFFF" w:sz="0"/>
              <w:right w:val="none" w:color="FFFFFF" w:sz="0"/>
            </w:tcBorders>
            <w:shd w:fill="FDF8F0"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Permanently reserved table, The Union Stage</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B8150C"/>
                <w:sz w:val="19"/>
                <w:szCs w:val="19"/>
              </w:rPr>
              <w:t xml:space="preserve">Venue</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bCs/>
                <w:i w:val="false"/>
                <w:iCs w:val="false"/>
                <w:color w:val="1A5C2A"/>
                <w:sz w:val="19"/>
                <w:szCs w:val="19"/>
              </w:rPr>
              <w:t xml:space="preserve">✓</w:t>
            </w:r>
          </w:p>
        </w:tc>
      </w:tr>
      <w:tr>
        <w:tc>
          <w:tcPr>
            <w:tcBorders>
              <w:top w:val="none" w:color="FFFFFF" w:sz="0"/>
              <w:left w:val="none" w:color="FFFFFF" w:sz="0"/>
              <w:bottom w:val="none" w:color="FFFFFF" w:sz="0"/>
              <w:right w:val="none" w:color="FFFFFF" w:sz="0"/>
            </w:tcBorders>
            <w:shd w:fill="FFFFFF"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Reserved table at every future chapter</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B8150C"/>
                <w:sz w:val="19"/>
                <w:szCs w:val="19"/>
              </w:rPr>
              <w:t xml:space="preserve">Venue</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bCs/>
                <w:i w:val="false"/>
                <w:iCs w:val="false"/>
                <w:color w:val="1A5C2A"/>
                <w:sz w:val="19"/>
                <w:szCs w:val="19"/>
              </w:rPr>
              <w:t xml:space="preserve">✓</w:t>
            </w:r>
          </w:p>
        </w:tc>
      </w:tr>
      <w:tr>
        <w:tc>
          <w:tcPr>
            <w:tcBorders>
              <w:top w:val="none" w:color="FFFFFF" w:sz="0"/>
              <w:left w:val="none" w:color="FFFFFF" w:sz="0"/>
              <w:bottom w:val="none" w:color="FFFFFF" w:sz="0"/>
              <w:right w:val="none" w:color="FFFFFF" w:sz="0"/>
            </w:tcBorders>
            <w:shd w:fill="FDF8F0"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Annual private event buyout, The Union Stage</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B8150C"/>
                <w:sz w:val="19"/>
                <w:szCs w:val="19"/>
              </w:rPr>
              <w:t xml:space="preserve">Venue</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888888"/>
                <w:sz w:val="19"/>
                <w:szCs w:val="19"/>
              </w:rPr>
              <w:t xml:space="preserve">512</w:t>
            </w:r>
          </w:p>
        </w:tc>
      </w:tr>
      <w:tr>
        <w:tc>
          <w:tcPr>
            <w:tcBorders>
              <w:top w:val="none" w:color="FFFFFF" w:sz="0"/>
              <w:left w:val="none" w:color="FFFFFF" w:sz="0"/>
              <w:bottom w:val="none" w:color="FFFFFF" w:sz="0"/>
              <w:right w:val="none" w:color="FFFFFF" w:sz="0"/>
            </w:tcBorders>
            <w:shd w:fill="FFFFFF"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Presented by [Name] credit, one annual event series</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B8150C"/>
                <w:sz w:val="19"/>
                <w:szCs w:val="19"/>
              </w:rPr>
              <w:t xml:space="preserve">Venue</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888888"/>
                <w:sz w:val="19"/>
                <w:szCs w:val="19"/>
              </w:rPr>
              <w:t xml:space="preserve">512</w:t>
            </w:r>
          </w:p>
        </w:tc>
      </w:tr>
      <w:tr>
        <w:tc>
          <w:tcPr>
            <w:tcBorders>
              <w:top w:val="none" w:color="FFFFFF" w:sz="0"/>
              <w:left w:val="none" w:color="FFFFFF" w:sz="0"/>
              <w:bottom w:val="none" w:color="FFFFFF" w:sz="0"/>
              <w:right w:val="none" w:color="FFFFFF" w:sz="0"/>
            </w:tcBorders>
            <w:shd w:fill="FDF8F0"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Named patron credit on every official release</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1B2A4A"/>
                <w:sz w:val="19"/>
                <w:szCs w:val="19"/>
              </w:rPr>
              <w:t xml:space="preserve">Legacy</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bCs/>
                <w:i w:val="false"/>
                <w:iCs w:val="false"/>
                <w:color w:val="1A5C2A"/>
                <w:sz w:val="19"/>
                <w:szCs w:val="19"/>
              </w:rPr>
              <w:t xml:space="preserve">✓</w:t>
            </w:r>
          </w:p>
        </w:tc>
      </w:tr>
      <w:tr>
        <w:tc>
          <w:tcPr>
            <w:tcBorders>
              <w:top w:val="none" w:color="FFFFFF" w:sz="0"/>
              <w:left w:val="none" w:color="FFFFFF" w:sz="0"/>
              <w:bottom w:val="none" w:color="FFFFFF" w:sz="0"/>
              <w:right w:val="none" w:color="FFFFFF" w:sz="0"/>
            </w:tcBorders>
            <w:shd w:fill="FFFFFF"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Private office in Zone E, one of the seven named suites</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1C0C04"/>
                <w:sz w:val="19"/>
                <w:szCs w:val="19"/>
              </w:rPr>
              <w:t xml:space="preserve">Space</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888888"/>
                <w:sz w:val="19"/>
                <w:szCs w:val="19"/>
              </w:rPr>
              <w:t xml:space="preserve">512</w:t>
            </w:r>
          </w:p>
        </w:tc>
      </w:tr>
      <w:tr>
        <w:tc>
          <w:tcPr>
            <w:tcBorders>
              <w:top w:val="none" w:color="FFFFFF" w:sz="0"/>
              <w:left w:val="none" w:color="FFFFFF" w:sz="0"/>
              <w:bottom w:val="none" w:color="FFFFFF" w:sz="0"/>
              <w:right w:val="none" w:color="FFFFFF" w:sz="0"/>
            </w:tcBorders>
            <w:shd w:fill="FDF8F0"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Named rehearsal room, Zone A, permanent naming rights</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1C0C04"/>
                <w:sz w:val="19"/>
                <w:szCs w:val="19"/>
              </w:rPr>
              <w:t xml:space="preserve">Space</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888888"/>
                <w:sz w:val="19"/>
                <w:szCs w:val="19"/>
              </w:rPr>
              <w:t xml:space="preserve">512</w:t>
            </w:r>
          </w:p>
        </w:tc>
      </w:tr>
      <w:tr>
        <w:tc>
          <w:tcPr>
            <w:tcBorders>
              <w:top w:val="none" w:color="FFFFFF" w:sz="0"/>
              <w:left w:val="none" w:color="FFFFFF" w:sz="0"/>
              <w:bottom w:val="none" w:color="FFFFFF" w:sz="0"/>
              <w:right w:val="none" w:color="FFFFFF" w:sz="0"/>
            </w:tcBorders>
            <w:shd w:fill="FFFFFF"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Personal Union Locker, Zone G, lifetime, engraved</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1C0C04"/>
                <w:sz w:val="19"/>
                <w:szCs w:val="19"/>
              </w:rPr>
              <w:t xml:space="preserve">Space</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888888"/>
                <w:sz w:val="19"/>
                <w:szCs w:val="19"/>
              </w:rPr>
              <w:t xml:space="preserve">512</w:t>
            </w:r>
          </w:p>
        </w:tc>
      </w:tr>
      <w:tr>
        <w:tc>
          <w:tcPr>
            <w:tcBorders>
              <w:top w:val="none" w:color="FFFFFF" w:sz="0"/>
              <w:left w:val="none" w:color="FFFFFF" w:sz="0"/>
              <w:bottom w:val="none" w:color="FFFFFF" w:sz="0"/>
              <w:right w:val="none" w:color="FFFFFF" w:sz="0"/>
            </w:tcBorders>
            <w:shd w:fill="FDF8F0"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Named parking space, West Lot</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1C0C04"/>
                <w:sz w:val="19"/>
                <w:szCs w:val="19"/>
              </w:rPr>
              <w:t xml:space="preserve">Space</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888888"/>
                <w:sz w:val="19"/>
                <w:szCs w:val="19"/>
              </w:rPr>
              <w:t xml:space="preserve">512</w:t>
            </w:r>
          </w:p>
        </w:tc>
      </w:tr>
      <w:tr>
        <w:tc>
          <w:tcPr>
            <w:tcBorders>
              <w:top w:val="none" w:color="FFFFFF" w:sz="0"/>
              <w:left w:val="none" w:color="FFFFFF" w:sz="0"/>
              <w:bottom w:val="none" w:color="FFFFFF" w:sz="0"/>
              <w:right w:val="none" w:color="FFFFFF" w:sz="0"/>
            </w:tcBorders>
            <w:shd w:fill="FFFFFF"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Custom email address at musicunion.co</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1C0C04"/>
                <w:sz w:val="19"/>
                <w:szCs w:val="19"/>
              </w:rPr>
              <w:t xml:space="preserve">Access</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bCs/>
                <w:i w:val="false"/>
                <w:iCs w:val="false"/>
                <w:color w:val="1A5C2A"/>
                <w:sz w:val="19"/>
                <w:szCs w:val="19"/>
              </w:rPr>
              <w:t xml:space="preserve">✓</w:t>
            </w:r>
          </w:p>
        </w:tc>
      </w:tr>
      <w:tr>
        <w:tc>
          <w:tcPr>
            <w:tcBorders>
              <w:top w:val="none" w:color="FFFFFF" w:sz="0"/>
              <w:left w:val="none" w:color="FFFFFF" w:sz="0"/>
              <w:bottom w:val="none" w:color="FFFFFF" w:sz="0"/>
              <w:right w:val="none" w:color="FFFFFF" w:sz="0"/>
            </w:tcBorders>
            <w:shd w:fill="FDF8F0"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Permanent complimentary access, all zones, all chapters</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1C0C04"/>
                <w:sz w:val="19"/>
                <w:szCs w:val="19"/>
              </w:rPr>
              <w:t xml:space="preserve">Access</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bCs/>
                <w:i w:val="false"/>
                <w:iCs w:val="false"/>
                <w:color w:val="1A5C2A"/>
                <w:sz w:val="19"/>
                <w:szCs w:val="19"/>
              </w:rPr>
              <w:t xml:space="preserve">✓</w:t>
            </w:r>
          </w:p>
        </w:tc>
      </w:tr>
      <w:tr>
        <w:tc>
          <w:tcPr>
            <w:tcBorders>
              <w:top w:val="none" w:color="FFFFFF" w:sz="0"/>
              <w:left w:val="none" w:color="FFFFFF" w:sz="0"/>
              <w:bottom w:val="none" w:color="FFFFFF" w:sz="0"/>
              <w:right w:val="none" w:color="FFFFFF" w:sz="0"/>
            </w:tcBorders>
            <w:shd w:fill="FFFFFF"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Priority booking, 48-hour hold across all hourly zones</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1C0C04"/>
                <w:sz w:val="19"/>
                <w:szCs w:val="19"/>
              </w:rPr>
              <w:t xml:space="preserve">Access</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bCs/>
                <w:i w:val="false"/>
                <w:iCs w:val="false"/>
                <w:color w:val="1A5C2A"/>
                <w:sz w:val="19"/>
                <w:szCs w:val="19"/>
              </w:rPr>
              <w:t xml:space="preserve">✓</w:t>
            </w:r>
          </w:p>
        </w:tc>
      </w:tr>
      <w:tr>
        <w:tc>
          <w:tcPr>
            <w:tcBorders>
              <w:top w:val="none" w:color="FFFFFF" w:sz="0"/>
              <w:left w:val="none" w:color="FFFFFF" w:sz="0"/>
              <w:bottom w:val="none" w:color="FFFFFF" w:sz="0"/>
              <w:right w:val="none" w:color="FFFFFF" w:sz="0"/>
            </w:tcBorders>
            <w:shd w:fill="FDF8F0"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Monthly Zone B studio block, 8 hours per month</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1C0C04"/>
                <w:sz w:val="19"/>
                <w:szCs w:val="19"/>
              </w:rPr>
              <w:t xml:space="preserve">Access</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888888"/>
                <w:sz w:val="19"/>
                <w:szCs w:val="19"/>
              </w:rPr>
              <w:t xml:space="preserve">512</w:t>
            </w:r>
          </w:p>
        </w:tc>
      </w:tr>
      <w:tr>
        <w:tc>
          <w:tcPr>
            <w:tcBorders>
              <w:top w:val="none" w:color="FFFFFF" w:sz="0"/>
              <w:left w:val="none" w:color="FFFFFF" w:sz="0"/>
              <w:bottom w:val="none" w:color="FFFFFF" w:sz="0"/>
              <w:right w:val="none" w:color="FFFFFF" w:sz="0"/>
            </w:tcBorders>
            <w:shd w:fill="FFFFFF"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Full operational governance rights</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1A5C2A"/>
                <w:sz w:val="19"/>
                <w:szCs w:val="19"/>
              </w:rPr>
              <w:t xml:space="preserve">Governance</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bCs/>
                <w:i w:val="false"/>
                <w:iCs w:val="false"/>
                <w:color w:val="1A5C2A"/>
                <w:sz w:val="19"/>
                <w:szCs w:val="19"/>
              </w:rPr>
              <w:t xml:space="preserve">✓</w:t>
            </w:r>
          </w:p>
        </w:tc>
      </w:tr>
      <w:tr>
        <w:tc>
          <w:tcPr>
            <w:tcBorders>
              <w:top w:val="none" w:color="FFFFFF" w:sz="0"/>
              <w:left w:val="none" w:color="FFFFFF" w:sz="0"/>
              <w:bottom w:val="none" w:color="FFFFFF" w:sz="0"/>
              <w:right w:val="none" w:color="FFFFFF" w:sz="0"/>
            </w:tcBorders>
            <w:shd w:fill="FDF8F0"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Founders Council, quarterly closed sessions</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1A5C2A"/>
                <w:sz w:val="19"/>
                <w:szCs w:val="19"/>
              </w:rPr>
              <w:t xml:space="preserve">Governance</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bCs/>
                <w:i w:val="false"/>
                <w:iCs w:val="false"/>
                <w:color w:val="1A5C2A"/>
                <w:sz w:val="19"/>
                <w:szCs w:val="19"/>
              </w:rPr>
              <w:t xml:space="preserve">✓</w:t>
            </w:r>
          </w:p>
        </w:tc>
      </w:tr>
      <w:tr>
        <w:tc>
          <w:tcPr>
            <w:tcBorders>
              <w:top w:val="none" w:color="FFFFFF" w:sz="0"/>
              <w:left w:val="none" w:color="FFFFFF" w:sz="0"/>
              <w:bottom w:val="none" w:color="FFFFFF" w:sz="0"/>
              <w:right w:val="none" w:color="FFFFFF" w:sz="0"/>
            </w:tcBorders>
            <w:shd w:fill="FFFFFF"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First right on future chapter investments</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1A5C2A"/>
                <w:sz w:val="19"/>
                <w:szCs w:val="19"/>
              </w:rPr>
              <w:t xml:space="preserve">Investment</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bCs/>
                <w:i w:val="false"/>
                <w:iCs w:val="false"/>
                <w:color w:val="1A5C2A"/>
                <w:sz w:val="19"/>
                <w:szCs w:val="19"/>
              </w:rPr>
              <w:t xml:space="preserve">✓</w:t>
            </w:r>
          </w:p>
        </w:tc>
      </w:tr>
      <w:tr>
        <w:tc>
          <w:tcPr>
            <w:tcBorders>
              <w:top w:val="none" w:color="FFFFFF" w:sz="0"/>
              <w:left w:val="none" w:color="FFFFFF" w:sz="0"/>
              <w:bottom w:val="none" w:color="FFFFFF" w:sz="0"/>
              <w:right w:val="none" w:color="FFFFFF" w:sz="0"/>
            </w:tcBorders>
            <w:shd w:fill="FDF8F0"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Founder's Pick, one artist nomination per year</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1C0C04"/>
                <w:sz w:val="19"/>
                <w:szCs w:val="19"/>
              </w:rPr>
              <w:t xml:space="preserve">Access</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bCs/>
                <w:i w:val="false"/>
                <w:iCs w:val="false"/>
                <w:color w:val="1A5C2A"/>
                <w:sz w:val="19"/>
                <w:szCs w:val="19"/>
              </w:rPr>
              <w:t xml:space="preserve">✓</w:t>
            </w:r>
          </w:p>
        </w:tc>
      </w:tr>
      <w:tr>
        <w:tc>
          <w:tcPr>
            <w:tcBorders>
              <w:top w:val="none" w:color="FFFFFF" w:sz="0"/>
              <w:left w:val="none" w:color="FFFFFF" w:sz="0"/>
              <w:bottom w:val="none" w:color="FFFFFF" w:sz="0"/>
              <w:right w:val="none" w:color="FFFFFF" w:sz="0"/>
            </w:tcBorders>
            <w:shd w:fill="FFFFFF"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Private Founders Channel</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1C0C04"/>
                <w:sz w:val="19"/>
                <w:szCs w:val="19"/>
              </w:rPr>
              <w:t xml:space="preserve">Community</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bCs/>
                <w:i w:val="false"/>
                <w:iCs w:val="false"/>
                <w:color w:val="1A5C2A"/>
                <w:sz w:val="19"/>
                <w:szCs w:val="19"/>
              </w:rPr>
              <w:t xml:space="preserve">✓</w:t>
            </w:r>
          </w:p>
        </w:tc>
      </w:tr>
      <w:tr>
        <w:tc>
          <w:tcPr>
            <w:tcBorders>
              <w:top w:val="none" w:color="FFFFFF" w:sz="0"/>
              <w:left w:val="none" w:color="FFFFFF" w:sz="0"/>
              <w:bottom w:val="none" w:color="FFFFFF" w:sz="0"/>
              <w:right w:val="none" w:color="FFFFFF" w:sz="0"/>
            </w:tcBorders>
            <w:shd w:fill="FDF8F0"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Dedicated direct contact, named person</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1C0C04"/>
                <w:sz w:val="19"/>
                <w:szCs w:val="19"/>
              </w:rPr>
              <w:t xml:space="preserve">Community</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bCs/>
                <w:i w:val="false"/>
                <w:iCs w:val="false"/>
                <w:color w:val="1A5C2A"/>
                <w:sz w:val="19"/>
                <w:szCs w:val="19"/>
              </w:rPr>
              <w:t xml:space="preserve">✓</w:t>
            </w:r>
          </w:p>
        </w:tc>
      </w:tr>
      <w:tr>
        <w:tc>
          <w:tcPr>
            <w:tcBorders>
              <w:top w:val="none" w:color="FFFFFF" w:sz="0"/>
              <w:left w:val="none" w:color="FFFFFF" w:sz="0"/>
              <w:bottom w:val="none" w:color="FFFFFF" w:sz="0"/>
              <w:right w:val="none" w:color="FFFFFF" w:sz="0"/>
            </w:tcBorders>
            <w:shd w:fill="FFFFFF"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Annual Founding Partner Dinner</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1B2A4A"/>
                <w:sz w:val="19"/>
                <w:szCs w:val="19"/>
              </w:rPr>
              <w:t xml:space="preserve">Legacy</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bCs/>
                <w:i w:val="false"/>
                <w:iCs w:val="false"/>
                <w:color w:val="1A5C2A"/>
                <w:sz w:val="19"/>
                <w:szCs w:val="19"/>
              </w:rPr>
              <w:t xml:space="preserve">✓</w:t>
            </w:r>
          </w:p>
        </w:tc>
      </w:tr>
      <w:tr>
        <w:tc>
          <w:tcPr>
            <w:tcBorders>
              <w:top w:val="none" w:color="FFFFFF" w:sz="0"/>
              <w:left w:val="none" w:color="FFFFFF" w:sz="0"/>
              <w:bottom w:val="none" w:color="FFFFFF" w:sz="0"/>
              <w:right w:val="none" w:color="FFFFFF" w:sz="0"/>
            </w:tcBorders>
            <w:shd w:fill="FDF8F0"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Named on the building, Founders Wall and individual plaque</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1B2A4A"/>
                <w:sz w:val="19"/>
                <w:szCs w:val="19"/>
              </w:rPr>
              <w:t xml:space="preserve">Legacy</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bCs/>
                <w:i w:val="false"/>
                <w:iCs w:val="false"/>
                <w:color w:val="1A5C2A"/>
                <w:sz w:val="19"/>
                <w:szCs w:val="19"/>
              </w:rPr>
              <w:t xml:space="preserve">✓</w:t>
            </w:r>
          </w:p>
        </w:tc>
      </w:tr>
      <w:tr>
        <w:tc>
          <w:tcPr>
            <w:tcBorders>
              <w:top w:val="none" w:color="FFFFFF" w:sz="0"/>
              <w:left w:val="none" w:color="FFFFFF" w:sz="0"/>
              <w:bottom w:val="none" w:color="FFFFFF" w:sz="0"/>
              <w:right w:val="none" w:color="FFFFFF" w:sz="0"/>
            </w:tcBorders>
            <w:shd w:fill="FFFFFF"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Chapter 512 Founding Story permanent lobby display</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1B2A4A"/>
                <w:sz w:val="19"/>
                <w:szCs w:val="19"/>
              </w:rPr>
              <w:t xml:space="preserve">Legacy</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888888"/>
                <w:sz w:val="19"/>
                <w:szCs w:val="19"/>
              </w:rPr>
              <w:t xml:space="preserve">512</w:t>
            </w:r>
          </w:p>
        </w:tc>
      </w:tr>
      <w:tr>
        <w:tc>
          <w:tcPr>
            <w:tcBorders>
              <w:top w:val="none" w:color="FFFFFF" w:sz="0"/>
              <w:left w:val="none" w:color="FFFFFF" w:sz="0"/>
              <w:bottom w:val="none" w:color="FFFFFF" w:sz="0"/>
              <w:right w:val="none" w:color="FFFFFF" w:sz="0"/>
            </w:tcBorders>
            <w:shd w:fill="FDF8F0"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In the historical record, by name, by right</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1B2A4A"/>
                <w:sz w:val="19"/>
                <w:szCs w:val="19"/>
              </w:rPr>
              <w:t xml:space="preserve">Legacy</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bCs/>
                <w:i w:val="false"/>
                <w:iCs w:val="false"/>
                <w:color w:val="1A5C2A"/>
                <w:sz w:val="19"/>
                <w:szCs w:val="19"/>
              </w:rPr>
              <w:t xml:space="preserve">✓</w:t>
            </w:r>
          </w:p>
        </w:tc>
      </w:tr>
      <w:tr>
        <w:tc>
          <w:tcPr>
            <w:tcBorders>
              <w:top w:val="none" w:color="FFFFFF" w:sz="0"/>
              <w:left w:val="none" w:color="FFFFFF" w:sz="0"/>
              <w:bottom w:val="none" w:color="FFFFFF" w:sz="0"/>
              <w:right w:val="none" w:color="FFFFFF" w:sz="0"/>
            </w:tcBorders>
            <w:shd w:fill="FFFFFF"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Commemorative opening package, signed and numbered</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1B2A4A"/>
                <w:sz w:val="19"/>
                <w:szCs w:val="19"/>
              </w:rPr>
              <w:t xml:space="preserve">Legacy</w:t>
            </w:r>
          </w:p>
        </w:tc>
        <w:tc>
          <w:tcPr>
            <w:tcBorders>
              <w:top w:val="none" w:color="FFFFFF" w:sz="0"/>
              <w:left w:val="none" w:color="FFFFFF" w:sz="0"/>
              <w:bottom w:val="none" w:color="FFFFFF" w:sz="0"/>
              <w:right w:val="none" w:color="FFFFFF" w:sz="0"/>
            </w:tcBorders>
            <w:shd w:fill="FFFFFF"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888888"/>
                <w:sz w:val="19"/>
                <w:szCs w:val="19"/>
              </w:rPr>
              <w:t xml:space="preserve">512</w:t>
            </w:r>
          </w:p>
        </w:tc>
      </w:tr>
      <w:tr>
        <w:tc>
          <w:tcPr>
            <w:tcBorders>
              <w:top w:val="none" w:color="FFFFFF" w:sz="0"/>
              <w:left w:val="none" w:color="FFFFFF" w:sz="0"/>
              <w:bottom w:val="none" w:color="FFFFFF" w:sz="0"/>
              <w:right w:val="none" w:color="FFFFFF" w:sz="0"/>
            </w:tcBorders>
            <w:shd w:fill="FDF8F0" w:val="clear"/>
            <w:tcMar>
              <w:top w:type="dxa" w:w="60"/>
              <w:left w:type="dxa" w:w="160"/>
              <w:bottom w:type="dxa" w:w="60"/>
              <w:right w:type="dxa" w:w="120"/>
            </w:tcMar>
          </w:tcPr>
          <w:p>
            <w:pPr>
              <w:spacing w:before="60" w:after="100"/>
              <w:jc w:val="left"/>
            </w:pPr>
            <w:r>
              <w:rPr>
                <w:rFonts w:ascii="Arial" w:cs="Arial" w:eastAsia="Arial" w:hAnsi="Arial"/>
                <w:b w:val="false"/>
                <w:bCs w:val="false"/>
                <w:i w:val="false"/>
                <w:iCs w:val="false"/>
                <w:color w:val="333333"/>
                <w:sz w:val="20"/>
                <w:szCs w:val="20"/>
              </w:rPr>
              <w:t xml:space="preserve">Founding Partner card, distinct metal, founding year etched</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val="false"/>
                <w:bCs w:val="false"/>
                <w:i w:val="false"/>
                <w:iCs w:val="false"/>
                <w:color w:val="1C0C04"/>
                <w:sz w:val="19"/>
                <w:szCs w:val="19"/>
              </w:rPr>
              <w:t xml:space="preserve">Identity</w:t>
            </w:r>
          </w:p>
        </w:tc>
        <w:tc>
          <w:tcPr>
            <w:tcBorders>
              <w:top w:val="none" w:color="FFFFFF" w:sz="0"/>
              <w:left w:val="none" w:color="FFFFFF" w:sz="0"/>
              <w:bottom w:val="none" w:color="FFFFFF" w:sz="0"/>
              <w:right w:val="none" w:color="FFFFFF" w:sz="0"/>
            </w:tcBorders>
            <w:shd w:fill="FDF8F0" w:val="clear"/>
            <w:tcMar>
              <w:top w:type="dxa" w:w="60"/>
              <w:left w:type="dxa" w:w="120"/>
              <w:bottom w:type="dxa" w:w="60"/>
              <w:right w:type="dxa" w:w="120"/>
            </w:tcMar>
          </w:tcPr>
          <w:p>
            <w:pPr>
              <w:spacing w:before="60" w:after="100"/>
              <w:jc w:val="center"/>
            </w:pPr>
            <w:r>
              <w:rPr>
                <w:rFonts w:ascii="Arial" w:cs="Arial" w:eastAsia="Arial" w:hAnsi="Arial"/>
                <w:b/>
                <w:bCs/>
                <w:i w:val="false"/>
                <w:iCs w:val="false"/>
                <w:color w:val="1A5C2A"/>
                <w:sz w:val="19"/>
                <w:szCs w:val="19"/>
              </w:rPr>
              <w:t xml:space="preserve">✓</w:t>
            </w:r>
          </w:p>
        </w:tc>
      </w:tr>
    </w:tbl>
    <w:p>
      <w:pPr>
        <w:spacing w:before="100"/>
      </w:pPr>
    </w:p>
    <w:p>
      <w:pPr>
        <w:spacing w:before="60" w:after="100"/>
        <w:jc w:val="left"/>
      </w:pPr>
      <w:r>
        <w:rPr>
          <w:rFonts w:ascii="Arial" w:cs="Arial" w:eastAsia="Arial" w:hAnsi="Arial"/>
          <w:b w:val="false"/>
          <w:bCs w:val="false"/>
          <w:i/>
          <w:iCs/>
          <w:color w:val="aaaaaa"/>
          <w:sz w:val="19"/>
          <w:szCs w:val="19"/>
        </w:rPr>
        <w:t xml:space="preserve">✓ = applies at Chapter 512 and all future chapters  ·  512 = Chapter 512 exclusive benefit</w:t>
      </w:r>
    </w:p>
    <w:p>
      <w:pPr>
        <w:spacing w:before="240"/>
      </w:pPr>
    </w:p>
    <w:p>
      <w:pPr>
        <w:pBdr>
          <w:bottom w:val="single" w:color="B8150C" w:sz="10"/>
        </w:pBdr>
        <w:spacing w:before="160" w:after="160"/>
      </w:pPr>
    </w:p>
    <w:p>
      <w:pPr>
        <w:spacing w:before="80"/>
      </w:pPr>
    </w:p>
    <w:p>
      <w:pPr>
        <w:spacing w:before="60" w:after="60"/>
        <w:jc w:val="center"/>
      </w:pPr>
      <w:r>
        <w:rPr>
          <w:rFonts w:ascii="Georgia" w:cs="Georgia" w:eastAsia="Georgia" w:hAnsi="Georgia"/>
          <w:b/>
          <w:bCs/>
          <w:i w:val="false"/>
          <w:iCs w:val="false"/>
          <w:color w:val="1C0C04"/>
          <w:sz w:val="44"/>
          <w:szCs w:val="44"/>
        </w:rPr>
        <w:t xml:space="preserve">THE MUSIC UNION</w:t>
      </w:r>
    </w:p>
    <w:p>
      <w:pPr>
        <w:spacing w:before="60" w:after="60"/>
        <w:jc w:val="center"/>
      </w:pPr>
      <w:r>
        <w:rPr>
          <w:rFonts w:ascii="Arial" w:cs="Arial" w:eastAsia="Arial" w:hAnsi="Arial"/>
          <w:b w:val="false"/>
          <w:bCs w:val="false"/>
          <w:i/>
          <w:iCs/>
          <w:color w:val="888888"/>
          <w:sz w:val="22"/>
          <w:szCs w:val="22"/>
        </w:rPr>
        <w:t xml:space="preserve">Chapter 512  ·  Austin, Texas  ·  musicunion.co</w:t>
      </w:r>
    </w:p>
    <w:p>
      <w:pPr>
        <w:spacing w:before="60" w:after="100"/>
        <w:jc w:val="center"/>
      </w:pPr>
      <w:r>
        <w:rPr>
          <w:rFonts w:ascii="Arial" w:cs="Arial" w:eastAsia="Arial" w:hAnsi="Arial"/>
          <w:b w:val="false"/>
          <w:bCs w:val="false"/>
          <w:i w:val="false"/>
          <w:iCs w:val="false"/>
          <w:color w:val="aaaaaa"/>
          <w:sz w:val="18"/>
          <w:szCs w:val="18"/>
        </w:rPr>
        <w:t xml:space="preserve">Confidential  ·  For Founding Partners Only</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C0C04"/>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2026-03-31T23:02:49.821Z</dcterms:created>
  <dcterms:modified xsi:type="dcterms:W3CDTF">2026-03-31T23:02:49.822Z</dcterms:modified>
</cp:coreProperties>
</file>

<file path=docProps/custom.xml><?xml version="1.0" encoding="utf-8"?>
<Properties xmlns="http://schemas.openxmlformats.org/officeDocument/2006/custom-properties" xmlns:vt="http://schemas.openxmlformats.org/officeDocument/2006/docPropsVTypes"/>
</file>