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60"/>
      </w:pPr>
    </w:p>
    <w:p>
      <w:pPr>
        <w:spacing w:before="60" w:after="60"/>
        <w:jc w:val="left"/>
      </w:pPr>
      <w:r>
        <w:rPr>
          <w:rFonts w:ascii="Arial" w:cs="Arial" w:eastAsia="Arial" w:hAnsi="Arial"/>
          <w:b/>
          <w:bCs/>
          <w:i w:val="false"/>
          <w:iCs w:val="false"/>
          <w:color w:val="B8150C"/>
          <w:spacing w:val="100"/>
          <w:sz w:val="20"/>
          <w:szCs w:val="20"/>
        </w:rPr>
        <w:t xml:space="preserve">INVESTOR MEMORANDUM</w:t>
      </w:r>
    </w:p>
    <w:p>
      <w:pPr>
        <w:spacing w:before="60" w:after="80"/>
        <w:jc w:val="left"/>
      </w:pPr>
      <w:r>
        <w:rPr>
          <w:rFonts w:ascii="Georgia" w:cs="Georgia" w:eastAsia="Georgia" w:hAnsi="Georgia"/>
          <w:b/>
          <w:bCs/>
          <w:i w:val="false"/>
          <w:iCs w:val="false"/>
          <w:color w:val="1C0C04"/>
          <w:sz w:val="88"/>
          <w:szCs w:val="88"/>
        </w:rPr>
        <w:t xml:space="preserve">The Music Union 512</w:t>
      </w:r>
    </w:p>
    <w:p>
      <w:pPr>
        <w:spacing w:before="60" w:after="100"/>
        <w:jc w:val="left"/>
      </w:pPr>
      <w:r>
        <w:rPr>
          <w:rFonts w:ascii="Georgia" w:cs="Georgia" w:eastAsia="Georgia" w:hAnsi="Georgia"/>
          <w:b w:val="false"/>
          <w:bCs w:val="false"/>
          <w:i/>
          <w:iCs/>
          <w:color w:val="888888"/>
          <w:sz w:val="34"/>
          <w:szCs w:val="34"/>
        </w:rPr>
        <w:t xml:space="preserve">A New Category for the Automated Real Estate Investor</w:t>
      </w:r>
    </w:p>
    <w:p>
      <w:pPr>
        <w:pBdr>
          <w:bottom w:val="single" w:color="C9A84C" w:sz="8"/>
        </w:pBdr>
        <w:spacing w:before="160" w:after="160"/>
      </w:pPr>
    </w:p>
    <w:p>
      <w:pPr>
        <w:spacing w:before="60"/>
      </w:pPr>
    </w:p>
    <w:p>
      <w:pPr>
        <w:spacing w:before="60" w:after="40"/>
        <w:jc w:val="left"/>
      </w:pPr>
      <w:r>
        <w:rPr>
          <w:rFonts w:ascii="Arial" w:cs="Arial" w:eastAsia="Arial" w:hAnsi="Arial"/>
          <w:b w:val="false"/>
          <w:bCs w:val="false"/>
          <w:i w:val="false"/>
          <w:iCs w:val="false"/>
          <w:color w:val="aaaaaa"/>
          <w:sz w:val="20"/>
          <w:szCs w:val="20"/>
        </w:rPr>
        <w:t xml:space="preserve">4405 Springdale Road  ·  Austin, TX 78723  ·  44,528 SF  ·  musicunion.co</w:t>
      </w:r>
    </w:p>
    <w:p>
      <w:pPr>
        <w:spacing w:before="60" w:after="100"/>
        <w:jc w:val="left"/>
      </w:pPr>
      <w:r>
        <w:rPr>
          <w:rFonts w:ascii="Arial" w:cs="Arial" w:eastAsia="Arial" w:hAnsi="Arial"/>
          <w:b w:val="false"/>
          <w:bCs w:val="false"/>
          <w:i w:val="false"/>
          <w:iCs w:val="false"/>
          <w:color w:val="aaaaaa"/>
          <w:sz w:val="19"/>
          <w:szCs w:val="19"/>
        </w:rPr>
        <w:t xml:space="preserve">Confidential  ·  For Discussion Purposes Only  ·  March 2026</w:t>
      </w:r>
    </w:p>
    <w:p>
      <w:pPr>
        <w:spacing w:before="3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24"/>
              <w:bottom w:val="none" w:color="FFFFFF" w:sz="0"/>
              <w:right w:val="none" w:color="FFFFFF" w:sz="0"/>
            </w:tcBorders>
            <w:shd w:fill="FDF8F0" w:val="clear"/>
            <w:tcMar>
              <w:top w:type="dxa" w:w="200"/>
              <w:left w:type="dxa" w:w="320"/>
              <w:bottom w:type="dxa" w:w="200"/>
              <w:right w:type="dxa" w:w="280"/>
            </w:tcMar>
          </w:tcPr>
          <w:p>
            <w:pPr>
              <w:spacing w:before="60" w:after="100"/>
              <w:jc w:val="left"/>
            </w:pPr>
            <w:r>
              <w:rPr>
                <w:rFonts w:ascii="Georgia" w:cs="Georgia" w:eastAsia="Georgia" w:hAnsi="Georgia"/>
                <w:b w:val="false"/>
                <w:bCs w:val="false"/>
                <w:i/>
                <w:iCs/>
                <w:color w:val="1C0C04"/>
                <w:sz w:val="24"/>
                <w:szCs w:val="24"/>
              </w:rPr>
              <w:t xml:space="preserve">You have been looking at self-storage, car washes, and laundromats because you want recurring revenue, real property appreciation, bonus depreciation, and minimal operational drag. Every deal in those categories is being bid up. This one is not. Here is why the economics are similar where it matters — and why the upside is ten times larger.</w:t>
            </w:r>
          </w:p>
        </w:tc>
      </w:tr>
    </w:tbl>
    <w:p>
      <w:pPr>
        <w:spacing w:before="80"/>
      </w:pPr>
    </w:p>
    <w:p>
      <w:pPr>
        <w:pageBreakBefore/>
        <w:spacing w:before="60" w:after="100"/>
        <w:jc w:val="left"/>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Deal Competition Problem</w:t>
            </w:r>
          </w:p>
          <w:p>
            <w:pPr>
              <w:spacing w:before="20" w:after="100"/>
              <w:jc w:val="left"/>
            </w:pPr>
            <w:r>
              <w:rPr>
                <w:rFonts w:ascii="Arial" w:cs="Arial" w:eastAsia="Arial" w:hAnsi="Arial"/>
                <w:b w:val="false"/>
                <w:bCs w:val="false"/>
                <w:i/>
                <w:iCs/>
                <w:color w:val="aaaaaa"/>
                <w:sz w:val="19"/>
                <w:szCs w:val="19"/>
              </w:rPr>
              <w:t xml:space="preserve">Why the boring business investor class is running out of good deals</w:t>
            </w:r>
          </w:p>
        </w:tc>
      </w:tr>
    </w:tbl>
    <w:p>
      <w:pPr>
        <w:spacing w:before="120"/>
      </w:pPr>
    </w:p>
    <w:p>
      <w:pPr>
        <w:spacing w:before="60" w:after="120"/>
        <w:jc w:val="left"/>
      </w:pPr>
      <w:r>
        <w:rPr>
          <w:rFonts w:ascii="Arial" w:cs="Arial" w:eastAsia="Arial" w:hAnsi="Arial"/>
          <w:b w:val="false"/>
          <w:bCs w:val="false"/>
          <w:i w:val="false"/>
          <w:iCs w:val="false"/>
          <w:color w:val="555555"/>
          <w:sz w:val="22"/>
          <w:szCs w:val="22"/>
        </w:rPr>
        <w:t xml:space="preserve">Self-storage. Car washes. Laundromats. Parking lots. These are the asset classes that defined smart passive investing for the decade from 2012 to 2022. The investors who got in early made generational money. The mechanics were elegant: recurring monthly revenue, minimal staffing, real estate appreciation, and favorable depreciation treatment.</w:t>
      </w:r>
    </w:p>
    <w:p>
      <w:pPr>
        <w:spacing w:before="40"/>
      </w:pPr>
    </w:p>
    <w:p>
      <w:pPr>
        <w:spacing w:before="60" w:after="120"/>
        <w:jc w:val="left"/>
      </w:pPr>
      <w:r>
        <w:rPr>
          <w:rFonts w:ascii="Arial" w:cs="Arial" w:eastAsia="Arial" w:hAnsi="Arial"/>
          <w:b w:val="false"/>
          <w:bCs w:val="false"/>
          <w:i w:val="false"/>
          <w:iCs w:val="false"/>
          <w:color w:val="555555"/>
          <w:sz w:val="22"/>
          <w:szCs w:val="22"/>
        </w:rPr>
        <w:t xml:space="preserve">That window is largely closed.</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1600"/>
        <w:gridCol w:w="1800"/>
        <w:gridCol w:w="1800"/>
        <w:gridCol w:w="1160"/>
      </w:tblGrid>
      <w:tr>
        <w:tc>
          <w:tcPr>
            <w:tcW w:type="dxa" w:w="30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Asset Class</w:t>
            </w:r>
          </w:p>
        </w:tc>
        <w:tc>
          <w:tcPr>
            <w:tcW w:type="dxa" w:w="16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Current Cap Rate</w:t>
            </w:r>
          </w:p>
        </w:tc>
        <w:tc>
          <w:tcPr>
            <w:tcW w:type="dxa" w:w="18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Deal Competition</w:t>
            </w:r>
          </w:p>
        </w:tc>
        <w:tc>
          <w:tcPr>
            <w:tcW w:type="dxa" w:w="18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Depreciation Upside</w:t>
            </w:r>
          </w:p>
        </w:tc>
        <w:tc>
          <w:tcPr>
            <w:tcW w:type="dxa" w:w="116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Staff Required</w:t>
            </w:r>
          </w:p>
        </w:tc>
      </w:tr>
      <w:tr>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Self-Storage (Class A)</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5.0–5.5%</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Institutional / PE heavy</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c>
          <w:tcPr>
            <w:tcW w:type="dxa" w:w="11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Minimal</w:t>
            </w:r>
          </w:p>
        </w:tc>
      </w:tr>
      <w:tr>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Self-Storage (Class B)</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5.5–6.5%</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Very high — multiple bids</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c>
          <w:tcPr>
            <w:tcW w:type="dxa" w:w="11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Minimal</w:t>
            </w:r>
          </w:p>
        </w:tc>
      </w:tr>
      <w:tr>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Car Wash (Tunnel)</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~5.5–6.5%</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High — consolidating fast</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c>
          <w:tcPr>
            <w:tcW w:type="dxa" w:w="11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Low</w:t>
            </w:r>
          </w:p>
        </w:tc>
      </w:tr>
      <w:tr>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Laundromat</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Varies widely</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PE entering the market</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Equipment only</w:t>
            </w:r>
          </w:p>
        </w:tc>
        <w:tc>
          <w:tcPr>
            <w:tcW w:type="dxa" w:w="11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Low–moderate</w:t>
            </w:r>
          </w:p>
        </w:tc>
      </w:tr>
      <w:tr>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Parking Lot</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~5–7%</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Saturated in prime markets</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Low</w:t>
            </w:r>
          </w:p>
        </w:tc>
        <w:tc>
          <w:tcPr>
            <w:tcW w:type="dxa" w:w="11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Minimal</w:t>
            </w:r>
          </w:p>
        </w:tc>
      </w:tr>
      <w:tr>
        <w:tc>
          <w:tcPr>
            <w:tcW w:type="dxa" w:w="30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left"/>
            </w:pPr>
            <w:r>
              <w:rPr>
                <w:rFonts w:ascii="Arial" w:cs="Arial" w:eastAsia="Arial" w:hAnsi="Arial"/>
                <w:b/>
                <w:bCs/>
                <w:i w:val="false"/>
                <w:iCs w:val="false"/>
                <w:color w:val="1C0C04"/>
                <w:sz w:val="20"/>
                <w:szCs w:val="20"/>
              </w:rPr>
              <w:t xml:space="preserve">The Music Union 512</w:t>
            </w:r>
          </w:p>
        </w:tc>
        <w:tc>
          <w:tcPr>
            <w:tcW w:type="dxa" w:w="16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9.3% on cost (Y1)</w:t>
            </w:r>
          </w:p>
        </w:tc>
        <w:tc>
          <w:tcPr>
            <w:tcW w:type="dxa" w:w="18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ZERO — no competitors</w:t>
            </w:r>
          </w:p>
        </w:tc>
        <w:tc>
          <w:tcPr>
            <w:tcW w:type="dxa" w:w="18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VERY HIGH (ESAS+OBBBA)</w:t>
            </w:r>
          </w:p>
        </w:tc>
        <w:tc>
          <w:tcPr>
            <w:tcW w:type="dxa" w:w="116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Hybrid — see Section III</w:t>
            </w:r>
          </w:p>
        </w:tc>
      </w:tr>
    </w:tbl>
    <w:p>
      <w:pPr>
        <w:spacing w:before="100"/>
      </w:pPr>
    </w:p>
    <w:p>
      <w:pPr>
        <w:spacing w:before="60" w:after="120"/>
        <w:jc w:val="left"/>
      </w:pPr>
      <w:r>
        <w:rPr>
          <w:rFonts w:ascii="Arial" w:cs="Arial" w:eastAsia="Arial" w:hAnsi="Arial"/>
          <w:b w:val="false"/>
          <w:bCs w:val="false"/>
          <w:i/>
          <w:iCs/>
          <w:color w:val="555555"/>
          <w:sz w:val="22"/>
          <w:szCs w:val="22"/>
        </w:rPr>
        <w:t xml:space="preserve">Self-storage cap rates rose 90 basis points from their Q4 2022 low, and institutional buyers are crowding the market. Dynamic pricing models adopted by major REIT operators are putting smaller private operators at a competitive disadvantage. The best deals are gone. The remaining deals trade at thin spreads with multiple competing bids at closing.</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The Music Union 512 is not in that market. It is not a new entrant into a crowded category. It is a new category entirely.</w:t>
      </w:r>
    </w:p>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Business Model</w:t>
            </w:r>
          </w:p>
          <w:p>
            <w:pPr>
              <w:spacing w:before="20" w:after="100"/>
              <w:jc w:val="left"/>
            </w:pPr>
            <w:r>
              <w:rPr>
                <w:rFonts w:ascii="Arial" w:cs="Arial" w:eastAsia="Arial" w:hAnsi="Arial"/>
                <w:b w:val="false"/>
                <w:bCs w:val="false"/>
                <w:i/>
                <w:iCs/>
                <w:color w:val="aaaaaa"/>
                <w:sz w:val="19"/>
                <w:szCs w:val="19"/>
              </w:rPr>
              <w:t xml:space="preserve">Seven revenue zones across 44,528 SF in East Austin</w:t>
            </w:r>
          </w:p>
        </w:tc>
      </w:tr>
    </w:tbl>
    <w:p>
      <w:pPr>
        <w:spacing w:before="120"/>
      </w:pPr>
    </w:p>
    <w:p>
      <w:pPr>
        <w:spacing w:before="60" w:after="120"/>
        <w:jc w:val="left"/>
      </w:pPr>
      <w:r>
        <w:rPr>
          <w:rFonts w:ascii="Arial" w:cs="Arial" w:eastAsia="Arial" w:hAnsi="Arial"/>
          <w:b w:val="false"/>
          <w:bCs w:val="false"/>
          <w:i w:val="false"/>
          <w:iCs w:val="false"/>
          <w:color w:val="555555"/>
          <w:sz w:val="22"/>
          <w:szCs w:val="22"/>
        </w:rPr>
        <w:t xml:space="preserve">The Music Union 512 is a creative campus built for the music and content industries — rehearsal rooms, production suites, podcast studios, industry coworking, a live venue, gear storage, and instrument consignment, all under one roof at 4405 Springdale Road.</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The business has seven operating zones. Three of them operate on economics that are nearly identical to the passive asset classes investors in this class know well. The other zones provide the upside that no passive asset class can match.</w:t>
      </w:r>
    </w:p>
    <w:p>
      <w:pPr>
        <w:spacing w:before="1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000"/>
        <w:gridCol w:w="800"/>
        <w:gridCol w:w="1120"/>
        <w:gridCol w:w="1120"/>
        <w:gridCol w:w="1720"/>
      </w:tblGrid>
      <w:tr>
        <w:tc>
          <w:tcPr>
            <w:tcW w:type="dxa" w:w="26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Zone</w:t>
            </w:r>
          </w:p>
        </w:tc>
        <w:tc>
          <w:tcPr>
            <w:tcW w:type="dxa" w:w="20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Model</w:t>
            </w:r>
          </w:p>
        </w:tc>
        <w:tc>
          <w:tcPr>
            <w:tcW w:type="dxa" w:w="8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SF</w:t>
            </w:r>
          </w:p>
        </w:tc>
        <w:tc>
          <w:tcPr>
            <w:tcW w:type="dxa" w:w="112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Y1 Revenue</w:t>
            </w:r>
          </w:p>
        </w:tc>
        <w:tc>
          <w:tcPr>
            <w:tcW w:type="dxa" w:w="112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Y3 Revenue</w:t>
            </w:r>
          </w:p>
        </w:tc>
        <w:tc>
          <w:tcPr>
            <w:tcW w:type="dxa" w:w="172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Autonomy Level</w:t>
            </w:r>
          </w:p>
        </w:tc>
      </w:tr>
      <w:tr>
        <w:tc>
          <w:tcPr>
            <w:tcW w:type="dxa" w:w="2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A — Rehearsal Complex</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Hourly room rental, 25 rooms</w:t>
            </w:r>
          </w:p>
        </w:tc>
        <w:tc>
          <w:tcPr>
            <w:tcW w:type="dxa" w:w="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13,000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$876,000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$1,814,000</w:t>
            </w:r>
          </w:p>
        </w:tc>
        <w:tc>
          <w:tcPr>
            <w:tcW w:type="dxa" w:w="17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HIGH</w:t>
            </w:r>
          </w:p>
        </w:tc>
      </w:tr>
      <w:tr>
        <w:tc>
          <w:tcPr>
            <w:tcW w:type="dxa" w:w="2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B — Production Suites</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Hourly studio rental, 3 suites</w:t>
            </w:r>
          </w:p>
        </w:tc>
        <w:tc>
          <w:tcPr>
            <w:tcW w:type="dxa" w:w="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~6,000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$352,000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$626,000</w:t>
            </w:r>
          </w:p>
        </w:tc>
        <w:tc>
          <w:tcPr>
            <w:tcW w:type="dxa" w:w="17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r>
      <w:tr>
        <w:tc>
          <w:tcPr>
            <w:tcW w:type="dxa" w:w="2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 — Creator / Podcast</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Hourly content studios, 5 rooms</w:t>
            </w:r>
          </w:p>
        </w:tc>
        <w:tc>
          <w:tcPr>
            <w:tcW w:type="dxa" w:w="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3,500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$175,000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$329,000</w:t>
            </w:r>
          </w:p>
        </w:tc>
        <w:tc>
          <w:tcPr>
            <w:tcW w:type="dxa" w:w="17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HIGH</w:t>
            </w:r>
          </w:p>
        </w:tc>
      </w:tr>
      <w:tr>
        <w:tc>
          <w:tcPr>
            <w:tcW w:type="dxa" w:w="2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D — Coffee / Bar / Stage</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NNN-equivalent, Union Builds</w:t>
            </w:r>
          </w:p>
        </w:tc>
        <w:tc>
          <w:tcPr>
            <w:tcW w:type="dxa" w:w="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3,000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$82,500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$86,000</w:t>
            </w:r>
          </w:p>
        </w:tc>
        <w:tc>
          <w:tcPr>
            <w:tcW w:type="dxa" w:w="17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VERY HIGH</w:t>
            </w:r>
          </w:p>
        </w:tc>
      </w:tr>
      <w:tr>
        <w:tc>
          <w:tcPr>
            <w:tcW w:type="dxa" w:w="2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E — Music Coworking</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Monthly memberships, direct-op</w:t>
            </w:r>
          </w:p>
        </w:tc>
        <w:tc>
          <w:tcPr>
            <w:tcW w:type="dxa" w:w="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~10,000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$192,000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$304,000</w:t>
            </w:r>
          </w:p>
        </w:tc>
        <w:tc>
          <w:tcPr>
            <w:tcW w:type="dxa" w:w="17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HIGH</w:t>
            </w:r>
          </w:p>
        </w:tc>
      </w:tr>
      <w:tr>
        <w:tc>
          <w:tcPr>
            <w:tcW w:type="dxa" w:w="2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F — The Union Stage</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Live venue + full bar</w:t>
            </w:r>
          </w:p>
        </w:tc>
        <w:tc>
          <w:tcPr>
            <w:tcW w:type="dxa" w:w="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7,500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$369,000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$769,000</w:t>
            </w:r>
          </w:p>
        </w:tc>
        <w:tc>
          <w:tcPr>
            <w:tcW w:type="dxa" w:w="17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B8150C"/>
                <w:sz w:val="20"/>
                <w:szCs w:val="20"/>
              </w:rPr>
              <w:t xml:space="preserve">LOW</w:t>
            </w:r>
          </w:p>
        </w:tc>
      </w:tr>
      <w:tr>
        <w:tc>
          <w:tcPr>
            <w:tcW w:type="dxa" w:w="2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G — Union Locker</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Storage + consignment + rental</w:t>
            </w:r>
          </w:p>
        </w:tc>
        <w:tc>
          <w:tcPr>
            <w:tcW w:type="dxa" w:w="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~1,500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$57,000</w:t>
            </w:r>
          </w:p>
        </w:tc>
        <w:tc>
          <w:tcPr>
            <w:tcW w:type="dxa" w:w="11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$73,000</w:t>
            </w:r>
          </w:p>
        </w:tc>
        <w:tc>
          <w:tcPr>
            <w:tcW w:type="dxa" w:w="17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VERY HIGH</w:t>
            </w:r>
          </w:p>
        </w:tc>
      </w:tr>
      <w:tr>
        <w:tc>
          <w:tcPr>
            <w:tcW w:type="dxa" w:w="2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Membership + Events</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Union Card, 8 tiers, recurring</w:t>
            </w:r>
          </w:p>
        </w:tc>
        <w:tc>
          <w:tcPr>
            <w:tcW w:type="dxa" w:w="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$119,000</w:t>
            </w:r>
          </w:p>
        </w:tc>
        <w:tc>
          <w:tcPr>
            <w:tcW w:type="dxa" w:w="11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$283,000</w:t>
            </w:r>
          </w:p>
        </w:tc>
        <w:tc>
          <w:tcPr>
            <w:tcW w:type="dxa" w:w="17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VERY HIGH</w:t>
            </w:r>
          </w:p>
        </w:tc>
      </w:tr>
      <w:tr>
        <w:tc>
          <w:tcPr>
            <w:tcW w:type="dxa" w:w="26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left"/>
            </w:pPr>
            <w:r>
              <w:rPr>
                <w:rFonts w:ascii="Arial" w:cs="Arial" w:eastAsia="Arial" w:hAnsi="Arial"/>
                <w:b/>
                <w:bCs/>
                <w:i w:val="false"/>
                <w:iCs w:val="false"/>
                <w:color w:val="1C0C04"/>
                <w:sz w:val="20"/>
                <w:szCs w:val="20"/>
              </w:rPr>
              <w:t xml:space="preserve">TOTAL REVENUE</w:t>
            </w:r>
          </w:p>
        </w:tc>
        <w:tc>
          <w:tcPr>
            <w:tcW w:type="dxa" w:w="20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
            </w:r>
          </w:p>
        </w:tc>
        <w:tc>
          <w:tcPr>
            <w:tcW w:type="dxa" w:w="8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44,528</w:t>
            </w:r>
          </w:p>
        </w:tc>
        <w:tc>
          <w:tcPr>
            <w:tcW w:type="dxa" w:w="112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$2,223,000</w:t>
            </w:r>
          </w:p>
        </w:tc>
        <w:tc>
          <w:tcPr>
            <w:tcW w:type="dxa" w:w="112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$4,284,000</w:t>
            </w:r>
          </w:p>
        </w:tc>
        <w:tc>
          <w:tcPr>
            <w:tcW w:type="dxa" w:w="172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
            </w:r>
          </w:p>
        </w:tc>
      </w:tr>
      <w:tr>
        <w:tc>
          <w:tcPr>
            <w:tcW w:type="dxa" w:w="26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left"/>
            </w:pPr>
            <w:r>
              <w:rPr>
                <w:rFonts w:ascii="Arial" w:cs="Arial" w:eastAsia="Arial" w:hAnsi="Arial"/>
                <w:b/>
                <w:bCs/>
                <w:i w:val="false"/>
                <w:iCs w:val="false"/>
                <w:color w:val="1C0C04"/>
                <w:sz w:val="20"/>
                <w:szCs w:val="20"/>
              </w:rPr>
              <w:t xml:space="preserve">NET OPERATING INCOME</w:t>
            </w:r>
          </w:p>
        </w:tc>
        <w:tc>
          <w:tcPr>
            <w:tcW w:type="dxa" w:w="20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
            </w:r>
          </w:p>
        </w:tc>
        <w:tc>
          <w:tcPr>
            <w:tcW w:type="dxa" w:w="8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
            </w:r>
          </w:p>
        </w:tc>
        <w:tc>
          <w:tcPr>
            <w:tcW w:type="dxa" w:w="112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$1,215,000</w:t>
            </w:r>
          </w:p>
        </w:tc>
        <w:tc>
          <w:tcPr>
            <w:tcW w:type="dxa" w:w="112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$3,133,000</w:t>
            </w:r>
          </w:p>
        </w:tc>
        <w:tc>
          <w:tcPr>
            <w:tcW w:type="dxa" w:w="172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III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Automation Stack</w:t>
            </w:r>
          </w:p>
          <w:p>
            <w:pPr>
              <w:spacing w:before="20" w:after="100"/>
              <w:jc w:val="left"/>
            </w:pPr>
            <w:r>
              <w:rPr>
                <w:rFonts w:ascii="Arial" w:cs="Arial" w:eastAsia="Arial" w:hAnsi="Arial"/>
                <w:b w:val="false"/>
                <w:bCs w:val="false"/>
                <w:i/>
                <w:iCs/>
                <w:color w:val="aaaaaa"/>
                <w:sz w:val="19"/>
                <w:szCs w:val="19"/>
              </w:rPr>
              <w:t xml:space="preserve">What runs itself — and what does not</w:t>
            </w:r>
          </w:p>
        </w:tc>
      </w:tr>
    </w:tbl>
    <w:p>
      <w:pPr>
        <w:spacing w:before="120"/>
      </w:pPr>
    </w:p>
    <w:p>
      <w:pPr>
        <w:spacing w:before="60" w:after="120"/>
        <w:jc w:val="left"/>
      </w:pPr>
      <w:r>
        <w:rPr>
          <w:rFonts w:ascii="Arial" w:cs="Arial" w:eastAsia="Arial" w:hAnsi="Arial"/>
          <w:b w:val="false"/>
          <w:bCs w:val="false"/>
          <w:i w:val="false"/>
          <w:iCs w:val="false"/>
          <w:color w:val="555555"/>
          <w:sz w:val="22"/>
          <w:szCs w:val="22"/>
        </w:rPr>
        <w:t xml:space="preserve">This is where intellectual honesty is required. The full thesis demands a clear-eyed account of what is genuinely autonomous and what is not.</w:t>
      </w:r>
    </w:p>
    <w:p>
      <w:pPr>
        <w:spacing w:before="100"/>
      </w:pPr>
    </w:p>
    <w:p>
      <w:pPr>
        <w:spacing w:before="320" w:after="80"/>
      </w:pPr>
      <w:r>
        <w:rPr>
          <w:rFonts w:ascii="Georgia" w:cs="Georgia" w:eastAsia="Georgia" w:hAnsi="Georgia"/>
          <w:b w:val="false"/>
          <w:bCs w:val="false"/>
          <w:i w:val="false"/>
          <w:iCs w:val="false"/>
          <w:color w:val="C9A84C"/>
          <w:sz w:val="24"/>
          <w:szCs w:val="24"/>
        </w:rPr>
        <w:t xml:space="preserve">— </w:t>
      </w:r>
      <w:r>
        <w:rPr>
          <w:rFonts w:ascii="Arial" w:cs="Arial" w:eastAsia="Arial" w:hAnsi="Arial"/>
          <w:b/>
          <w:bCs/>
          <w:i w:val="false"/>
          <w:iCs w:val="false"/>
          <w:color w:val="B8150C"/>
          <w:sz w:val="26"/>
          <w:szCs w:val="26"/>
        </w:rPr>
        <w:t xml:space="preserve">What runs autonomously</w:t>
      </w:r>
    </w:p>
    <w:p>
      <w:pPr>
        <w:spacing w:before="80"/>
      </w:pPr>
    </w:p>
    <w:p>
      <w:pPr>
        <w:spacing w:before="60" w:after="120"/>
        <w:jc w:val="left"/>
      </w:pPr>
      <w:r>
        <w:rPr>
          <w:rFonts w:ascii="Arial" w:cs="Arial" w:eastAsia="Arial" w:hAnsi="Arial"/>
          <w:b w:val="false"/>
          <w:bCs w:val="false"/>
          <w:i w:val="false"/>
          <w:iCs w:val="false"/>
          <w:color w:val="555555"/>
          <w:sz w:val="22"/>
          <w:szCs w:val="22"/>
        </w:rPr>
        <w:t xml:space="preserve">Zone A (25 rehearsal rooms) is structurally identical to self-storage, but with dramatically superior revenue density. A self-storage facility earns $15–25 per SF per year at stabilization. Zone A earns approximately $65+ per SF per year at 62% occupancy. The underlying model is the same: time-based access to a secured space, with automated booking, automated payment processing, and automated smart-lock access control.</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Taylor Robinson — Co-Founder and the technology architect of this project — built and operates Taylor Robinson Music, the largest private music lesson marketplace in the country, serving 323,000+ students through 26,000+ instructors across all 50 states. He is not buying off-the-shelf software for Zone A. He is building a purpose-specific platform: custom booking engine, dynamic pricing by room tier and time slot, smart-lock integration (Kisi/Brivo/RemoteLock protocol), operational dashboard with real-time utilization, and Union Card membership management integrated from Day 1.</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This is the equivalent of being the self-storage operator who built automated gate access and dynamic pricing before the rest of the market did. That was the alpha. This is the alpha.</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600"/>
        <w:gridCol w:w="1920"/>
        <w:gridCol w:w="2640"/>
      </w:tblGrid>
      <w:tr>
        <w:tc>
          <w:tcPr>
            <w:tcW w:type="dxa" w:w="32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Zone / Revenue Line</w:t>
            </w:r>
          </w:p>
        </w:tc>
        <w:tc>
          <w:tcPr>
            <w:tcW w:type="dxa" w:w="16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 of Y1 Revenue</w:t>
            </w:r>
          </w:p>
        </w:tc>
        <w:tc>
          <w:tcPr>
            <w:tcW w:type="dxa" w:w="192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Automation Level</w:t>
            </w:r>
          </w:p>
        </w:tc>
        <w:tc>
          <w:tcPr>
            <w:tcW w:type="dxa" w:w="264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Staff Required</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A — Rehearsal (25 rooms)</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39%</w:t>
            </w:r>
          </w:p>
        </w:tc>
        <w:tc>
          <w:tcPr>
            <w:tcW w:type="dxa" w:w="19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Fully automated</w:t>
            </w:r>
          </w:p>
        </w:tc>
        <w:tc>
          <w:tcPr>
            <w:tcW w:type="dxa" w:w="26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None (smart lock access)</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C — Creator / Podcast (5 rooms)</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8%</w:t>
            </w:r>
          </w:p>
        </w:tc>
        <w:tc>
          <w:tcPr>
            <w:tcW w:type="dxa" w:w="19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Fully automated</w:t>
            </w:r>
          </w:p>
        </w:tc>
        <w:tc>
          <w:tcPr>
            <w:tcW w:type="dxa" w:w="26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None</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G — Union Locker (storage + consignment)</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3%</w:t>
            </w:r>
          </w:p>
        </w:tc>
        <w:tc>
          <w:tcPr>
            <w:tcW w:type="dxa" w:w="19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Fully automated</w:t>
            </w:r>
          </w:p>
        </w:tc>
        <w:tc>
          <w:tcPr>
            <w:tcW w:type="dxa" w:w="26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None (self-storage model)</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D — Coffee / Bar / Stage (NNN)</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4%</w:t>
            </w:r>
          </w:p>
        </w:tc>
        <w:tc>
          <w:tcPr>
            <w:tcW w:type="dxa" w:w="19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Fully automated</w:t>
            </w:r>
          </w:p>
        </w:tc>
        <w:tc>
          <w:tcPr>
            <w:tcW w:type="dxa" w:w="26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None (tenant-managed)</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E — Coworking (monthly)</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9%</w:t>
            </w:r>
          </w:p>
        </w:tc>
        <w:tc>
          <w:tcPr>
            <w:tcW w:type="dxa" w:w="19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Mostly automated</w:t>
            </w:r>
          </w:p>
        </w:tc>
        <w:tc>
          <w:tcPr>
            <w:tcW w:type="dxa" w:w="26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 community manager</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Membership — Union Card (recurring)</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w:t>
            </w:r>
          </w:p>
        </w:tc>
        <w:tc>
          <w:tcPr>
            <w:tcW w:type="dxa" w:w="19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Fully automated</w:t>
            </w:r>
          </w:p>
        </w:tc>
        <w:tc>
          <w:tcPr>
            <w:tcW w:type="dxa" w:w="26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None</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B — Production Suites</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16%</w:t>
            </w:r>
          </w:p>
        </w:tc>
        <w:tc>
          <w:tcPr>
            <w:tcW w:type="dxa" w:w="19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Partially automated</w:t>
            </w:r>
          </w:p>
        </w:tc>
        <w:tc>
          <w:tcPr>
            <w:tcW w:type="dxa" w:w="26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On-call tech support</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F — Venue &amp; Bar</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17%</w:t>
            </w:r>
          </w:p>
        </w:tc>
        <w:tc>
          <w:tcPr>
            <w:tcW w:type="dxa" w:w="19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NOT automatable</w:t>
            </w:r>
          </w:p>
        </w:tc>
        <w:tc>
          <w:tcPr>
            <w:tcW w:type="dxa" w:w="26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Venue team required</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AUTOMATED REVENUE STACK (Zones A/C/G/D/E + Membership)</w:t>
            </w:r>
          </w:p>
        </w:tc>
        <w:tc>
          <w:tcPr>
            <w:tcW w:type="dxa" w:w="1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68%</w:t>
            </w:r>
          </w:p>
        </w:tc>
        <w:tc>
          <w:tcPr>
            <w:tcW w:type="dxa" w:w="192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HIGH</w:t>
            </w:r>
          </w:p>
        </w:tc>
        <w:tc>
          <w:tcPr>
            <w:tcW w:type="dxa" w:w="26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1–2 staff total</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VENUE REVENUE STACK (Zones B + F)</w:t>
            </w:r>
          </w:p>
        </w:tc>
        <w:tc>
          <w:tcPr>
            <w:tcW w:type="dxa" w:w="1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33%</w:t>
            </w:r>
          </w:p>
        </w:tc>
        <w:tc>
          <w:tcPr>
            <w:tcW w:type="dxa" w:w="192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B8150C"/>
                <w:sz w:val="20"/>
                <w:szCs w:val="20"/>
              </w:rPr>
              <w:t xml:space="preserve">LOW</w:t>
            </w:r>
          </w:p>
        </w:tc>
        <w:tc>
          <w:tcPr>
            <w:tcW w:type="dxa" w:w="26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GM + venue team</w:t>
            </w:r>
          </w:p>
        </w:tc>
      </w:tr>
    </w:tbl>
    <w:p>
      <w:pPr>
        <w:spacing w:before="1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24"/>
              <w:bottom w:val="none" w:color="FFFFFF" w:sz="0"/>
              <w:right w:val="none" w:color="FFFFFF" w:sz="0"/>
            </w:tcBorders>
            <w:shd w:fill="FDF8F0" w:val="clear"/>
            <w:tcMar>
              <w:top w:type="dxa" w:w="200"/>
              <w:left w:type="dxa" w:w="320"/>
              <w:bottom w:type="dxa" w:w="200"/>
              <w:right w:type="dxa" w:w="280"/>
            </w:tcMar>
          </w:tcPr>
          <w:p>
            <w:pPr>
              <w:spacing w:before="60" w:after="100"/>
              <w:jc w:val="left"/>
            </w:pPr>
            <w:r>
              <w:rPr>
                <w:rFonts w:ascii="Georgia" w:cs="Georgia" w:eastAsia="Georgia" w:hAnsi="Georgia"/>
                <w:b w:val="false"/>
                <w:bCs w:val="false"/>
                <w:i/>
                <w:iCs/>
                <w:color w:val="1C0C04"/>
                <w:sz w:val="24"/>
                <w:szCs w:val="24"/>
              </w:rPr>
              <w:t xml:space="preserve">Zone F — The Union Stage — is not automatable. A live music venue with a full bar requires bartenders, security, sound engineers, stage crew, and a booking operator. This is not like a car wash or self-storage facility. Honest investors deserve to know this upfront. The case for Zone F is not that it runs passively. The case is that it is what creates the appreciation engine, the national brand, and the exit multiple that a storage box cannot.</w:t>
            </w:r>
          </w:p>
        </w:tc>
      </w:tr>
    </w:tbl>
    <w:p>
      <w:pPr>
        <w:spacing w:before="100"/>
      </w:pPr>
    </w:p>
    <w:p>
      <w:pPr>
        <w:spacing w:before="320" w:after="80"/>
      </w:pPr>
      <w:r>
        <w:rPr>
          <w:rFonts w:ascii="Georgia" w:cs="Georgia" w:eastAsia="Georgia" w:hAnsi="Georgia"/>
          <w:b w:val="false"/>
          <w:bCs w:val="false"/>
          <w:i w:val="false"/>
          <w:iCs w:val="false"/>
          <w:color w:val="C9A84C"/>
          <w:sz w:val="24"/>
          <w:szCs w:val="24"/>
        </w:rPr>
        <w:t xml:space="preserve">— </w:t>
      </w:r>
      <w:r>
        <w:rPr>
          <w:rFonts w:ascii="Arial" w:cs="Arial" w:eastAsia="Arial" w:hAnsi="Arial"/>
          <w:b/>
          <w:bCs/>
          <w:i w:val="false"/>
          <w:iCs w:val="false"/>
          <w:color w:val="B8150C"/>
          <w:sz w:val="26"/>
          <w:szCs w:val="26"/>
        </w:rPr>
        <w:t xml:space="preserve">The staffing reality</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The Music Union 512 runs on two operational layers. The automated layer — Zones A, C, G, D, E, and membership — operates on the equivalent of a 1-person facility/maintenance role plus Taylor managing the technology platform remotely. The venue layer — Zone F and Zone B — requires Jeff Munn (Co-Founder and GM, 20+ years as a professional musician, 500+ Austin industry connections) and a lean venue team.</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Year 1 total payroll: $522,000. A self-storage facility at equivalent revenue would run $80,000–$120,000. That $400,000 gap is real. It is also the gap that produces $3.9M in NOI by Year 7 instead of $1.2M, and a $60.6M implied asset value instead of a $20M storage box. The staffing is the price of the upside.</w:t>
      </w:r>
    </w:p>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IV</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Economics</w:t>
            </w:r>
          </w:p>
          <w:p>
            <w:pPr>
              <w:spacing w:before="20" w:after="100"/>
              <w:jc w:val="left"/>
            </w:pPr>
            <w:r>
              <w:rPr>
                <w:rFonts w:ascii="Arial" w:cs="Arial" w:eastAsia="Arial" w:hAnsi="Arial"/>
                <w:b w:val="false"/>
                <w:bCs w:val="false"/>
                <w:i/>
                <w:iCs/>
                <w:color w:val="aaaaaa"/>
                <w:sz w:val="19"/>
                <w:szCs w:val="19"/>
              </w:rPr>
              <w:t xml:space="preserve">Returns, depreciation, and property value compared directly</w:t>
            </w:r>
          </w:p>
        </w:tc>
      </w:tr>
    </w:tbl>
    <w:p>
      <w:pPr>
        <w:spacing w:before="120"/>
      </w:pPr>
    </w:p>
    <w:p>
      <w:pPr>
        <w:spacing w:before="320" w:after="80"/>
      </w:pPr>
      <w:r>
        <w:rPr>
          <w:rFonts w:ascii="Georgia" w:cs="Georgia" w:eastAsia="Georgia" w:hAnsi="Georgia"/>
          <w:b w:val="false"/>
          <w:bCs w:val="false"/>
          <w:i w:val="false"/>
          <w:iCs w:val="false"/>
          <w:color w:val="C9A84C"/>
          <w:sz w:val="24"/>
          <w:szCs w:val="24"/>
        </w:rPr>
        <w:t xml:space="preserve">— </w:t>
      </w:r>
      <w:r>
        <w:rPr>
          <w:rFonts w:ascii="Arial" w:cs="Arial" w:eastAsia="Arial" w:hAnsi="Arial"/>
          <w:b/>
          <w:bCs/>
          <w:i w:val="false"/>
          <w:iCs w:val="false"/>
          <w:color w:val="B8150C"/>
          <w:sz w:val="26"/>
          <w:szCs w:val="26"/>
        </w:rPr>
        <w:t xml:space="preserve">Returns vs. the boring business benchmarks</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200"/>
        <w:gridCol w:w="2000"/>
        <w:gridCol w:w="2360"/>
      </w:tblGrid>
      <w:tr>
        <w:tc>
          <w:tcPr>
            <w:tcW w:type="dxa" w:w="28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Metric</w:t>
            </w:r>
          </w:p>
        </w:tc>
        <w:tc>
          <w:tcPr>
            <w:tcW w:type="dxa" w:w="22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Self-Storage (Class A)</w:t>
            </w:r>
          </w:p>
        </w:tc>
        <w:tc>
          <w:tcPr>
            <w:tcW w:type="dxa" w:w="20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Car Wash (Tunnel)</w:t>
            </w:r>
          </w:p>
        </w:tc>
        <w:tc>
          <w:tcPr>
            <w:tcW w:type="dxa" w:w="236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The Music Union 512</w:t>
            </w:r>
          </w:p>
        </w:tc>
      </w:tr>
      <w:tr>
        <w:tc>
          <w:tcPr>
            <w:tcW w:type="dxa" w:w="2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Entry Cap Rate on Cost</w:t>
            </w:r>
          </w:p>
        </w:tc>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5.0–5.5%</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5.5–6.5%</w:t>
            </w:r>
          </w:p>
        </w:tc>
        <w:tc>
          <w:tcPr>
            <w:tcW w:type="dxa" w:w="2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9.3% (Y1 NOI / $13.1M cost)</w:t>
            </w:r>
          </w:p>
        </w:tc>
      </w:tr>
      <w:tr>
        <w:tc>
          <w:tcPr>
            <w:tcW w:type="dxa" w:w="2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Stabilized NOI Margin</w:t>
            </w:r>
          </w:p>
        </w:tc>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50–60%</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70–75% (gross)</w:t>
            </w:r>
          </w:p>
        </w:tc>
        <w:tc>
          <w:tcPr>
            <w:tcW w:type="dxa" w:w="2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73–74% (by Y3)</w:t>
            </w:r>
          </w:p>
        </w:tc>
      </w:tr>
      <w:tr>
        <w:tc>
          <w:tcPr>
            <w:tcW w:type="dxa" w:w="2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Year 1 Cash-on-Cash</w:t>
            </w:r>
          </w:p>
        </w:tc>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3–5% (leveraged)</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8–15% (leveraged)</w:t>
            </w:r>
          </w:p>
        </w:tc>
        <w:tc>
          <w:tcPr>
            <w:tcW w:type="dxa" w:w="2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10.1% (leveraged)</w:t>
            </w:r>
          </w:p>
        </w:tc>
      </w:tr>
      <w:tr>
        <w:tc>
          <w:tcPr>
            <w:tcW w:type="dxa" w:w="2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Year 3 Cash-on-Cash</w:t>
            </w:r>
          </w:p>
        </w:tc>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5–8%</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15–25%</w:t>
            </w:r>
          </w:p>
        </w:tc>
        <w:tc>
          <w:tcPr>
            <w:tcW w:type="dxa" w:w="2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52.0%</w:t>
            </w:r>
          </w:p>
        </w:tc>
      </w:tr>
      <w:tr>
        <w:tc>
          <w:tcPr>
            <w:tcW w:type="dxa" w:w="2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Year 7 Cash-on-Cash</w:t>
            </w:r>
          </w:p>
        </w:tc>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6–10%</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20–30%</w:t>
            </w:r>
          </w:p>
        </w:tc>
        <w:tc>
          <w:tcPr>
            <w:tcW w:type="dxa" w:w="2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69.6%</w:t>
            </w:r>
          </w:p>
        </w:tc>
      </w:tr>
      <w:tr>
        <w:tc>
          <w:tcPr>
            <w:tcW w:type="dxa" w:w="2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Leveraged Equity Multiple (7yr)</w:t>
            </w:r>
          </w:p>
        </w:tc>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2.5–4.0x typical</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3.0–5.0x typical</w:t>
            </w:r>
          </w:p>
        </w:tc>
        <w:tc>
          <w:tcPr>
            <w:tcW w:type="dxa" w:w="2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15.1x (base case)</w:t>
            </w:r>
          </w:p>
        </w:tc>
      </w:tr>
      <w:tr>
        <w:tc>
          <w:tcPr>
            <w:tcW w:type="dxa" w:w="2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Implied Asset Value Y7</w:t>
            </w:r>
          </w:p>
        </w:tc>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NOI / 5.5–6.5% cap rate</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NOI / 5–7% cap rate</w:t>
            </w:r>
          </w:p>
        </w:tc>
        <w:tc>
          <w:tcPr>
            <w:tcW w:type="dxa" w:w="2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~$60.6M (@ 6.5% cap rate)</w:t>
            </w:r>
          </w:p>
        </w:tc>
      </w:tr>
      <w:tr>
        <w:tc>
          <w:tcPr>
            <w:tcW w:type="dxa" w:w="2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Deal Competition</w:t>
            </w:r>
          </w:p>
        </w:tc>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VERY HIGH</w:t>
            </w:r>
          </w:p>
        </w:tc>
        <w:tc>
          <w:tcPr>
            <w:tcW w:type="dxa" w:w="2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HIGH</w:t>
            </w:r>
          </w:p>
        </w:tc>
        <w:tc>
          <w:tcPr>
            <w:tcW w:type="dxa" w:w="2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ZERO</w:t>
            </w:r>
          </w:p>
        </w:tc>
      </w:tr>
      <w:tr>
        <w:tc>
          <w:tcPr>
            <w:tcW w:type="dxa" w:w="2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Bonus Depreciation (OBBBA)</w:t>
            </w:r>
          </w:p>
        </w:tc>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c>
          <w:tcPr>
            <w:tcW w:type="dxa" w:w="2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c>
          <w:tcPr>
            <w:tcW w:type="dxa" w:w="2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VERY HIGH — ESAS design</w:t>
            </w:r>
          </w:p>
        </w:tc>
      </w:tr>
    </w:tbl>
    <w:p>
      <w:pPr>
        <w:spacing w:before="100"/>
      </w:pPr>
    </w:p>
    <w:p>
      <w:pPr>
        <w:spacing w:before="320" w:after="80"/>
      </w:pPr>
      <w:r>
        <w:rPr>
          <w:rFonts w:ascii="Georgia" w:cs="Georgia" w:eastAsia="Georgia" w:hAnsi="Georgia"/>
          <w:b w:val="false"/>
          <w:bCs w:val="false"/>
          <w:i w:val="false"/>
          <w:iCs w:val="false"/>
          <w:color w:val="C9A84C"/>
          <w:sz w:val="24"/>
          <w:szCs w:val="24"/>
        </w:rPr>
        <w:t xml:space="preserve">— </w:t>
      </w:r>
      <w:r>
        <w:rPr>
          <w:rFonts w:ascii="Arial" w:cs="Arial" w:eastAsia="Arial" w:hAnsi="Arial"/>
          <w:b/>
          <w:bCs/>
          <w:i w:val="false"/>
          <w:iCs w:val="false"/>
          <w:color w:val="B8150C"/>
          <w:sz w:val="26"/>
          <w:szCs w:val="26"/>
        </w:rPr>
        <w:t xml:space="preserve">The OBBBA depreciation advantage</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The One Big Beautiful Bill Act (P.L. 119-21), signed July 4, 2025, permanently restores 100% first-year bonus depreciation for qualifying property acquired and placed in service after January 19, 2025. The Music Union 512 qualifies in full.</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Where The Music Union has a structural advantage over standard real estate is in the eligible deduction pool. The Every Surface Is a Set design philosophy — which calls for every zone to function as both its primary operational purpose and a photogenic content destination — results in the reclassification of a dramatically higher percentage of buildout cost as 5- to 7-year personal property rather than 39-year structural (real property). Neon installations, removable themed panels, specialty lighting systems, staged furniture, commissioned art on mounted panels: all eligible for immediate 100% write-off in Year 1.</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2400"/>
        <w:gridCol w:w="3360"/>
      </w:tblGrid>
      <w:tr>
        <w:tc>
          <w:tcPr>
            <w:tcW w:type="dxa" w:w="36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Depreciation Metric</w:t>
            </w:r>
          </w:p>
        </w:tc>
        <w:tc>
          <w:tcPr>
            <w:tcW w:type="dxa" w:w="24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Standard CRE</w:t>
            </w:r>
          </w:p>
        </w:tc>
        <w:tc>
          <w:tcPr>
            <w:tcW w:type="dxa" w:w="336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The Music Union (ESAS)</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Eligible bonus depreciation (% of buildout)</w:t>
            </w:r>
          </w:p>
        </w:tc>
        <w:tc>
          <w:tcPr>
            <w:tcW w:type="dxa" w:w="24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26–32%</w:t>
            </w:r>
          </w:p>
        </w:tc>
        <w:tc>
          <w:tcPr>
            <w:tcW w:type="dxa" w:w="3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40–55%</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Estimated Year 1 eligible deductions</w:t>
            </w:r>
          </w:p>
        </w:tc>
        <w:tc>
          <w:tcPr>
            <w:tcW w:type="dxa" w:w="24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$2.5M–3.5M</w:t>
            </w:r>
          </w:p>
        </w:tc>
        <w:tc>
          <w:tcPr>
            <w:tcW w:type="dxa" w:w="3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$3.8M–5.2M</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 Year 1 interest deduction (leveraged)</w:t>
            </w:r>
          </w:p>
        </w:tc>
        <w:tc>
          <w:tcPr>
            <w:tcW w:type="dxa" w:w="24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$0 (all-cash basis)</w:t>
            </w:r>
          </w:p>
        </w:tc>
        <w:tc>
          <w:tcPr>
            <w:tcW w:type="dxa" w:w="3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+$632,823</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Total Year 1 K-1 deductions (leveraged)</w:t>
            </w:r>
          </w:p>
        </w:tc>
        <w:tc>
          <w:tcPr>
            <w:tcW w:type="dxa" w:w="24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$2.5M–3.5M</w:t>
            </w:r>
          </w:p>
        </w:tc>
        <w:tc>
          <w:tcPr>
            <w:tcW w:type="dxa" w:w="3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$4.4M–5.8M</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Collective tax savings @ 37% bracket</w:t>
            </w:r>
          </w:p>
        </w:tc>
        <w:tc>
          <w:tcPr>
            <w:tcW w:type="dxa" w:w="24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$925K–1.3M</w:t>
            </w:r>
          </w:p>
        </w:tc>
        <w:tc>
          <w:tcPr>
            <w:tcW w:type="dxa" w:w="3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$1.6M–2.1M</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$1M Founding Partner — Year 1 K-1 deductions</w:t>
            </w:r>
          </w:p>
        </w:tc>
        <w:tc>
          <w:tcPr>
            <w:tcW w:type="dxa" w:w="24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$190K–$270K</w:t>
            </w:r>
          </w:p>
        </w:tc>
        <w:tc>
          <w:tcPr>
            <w:tcW w:type="dxa" w:w="3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~$800K+</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$1M Founding Partner — Year 1 tax savings</w:t>
            </w:r>
          </w:p>
        </w:tc>
        <w:tc>
          <w:tcPr>
            <w:tcW w:type="dxa" w:w="24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$70K–$100K</w:t>
            </w:r>
          </w:p>
        </w:tc>
        <w:tc>
          <w:tcPr>
            <w:tcW w:type="dxa" w:w="33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~$296K+</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Texas state income tax</w:t>
            </w:r>
          </w:p>
        </w:tc>
        <w:tc>
          <w:tcPr>
            <w:tcW w:type="dxa" w:w="24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N/A</w:t>
            </w:r>
          </w:p>
        </w:tc>
        <w:tc>
          <w:tcPr>
            <w:tcW w:type="dxa" w:w="33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$0 — no state income tax</w:t>
            </w:r>
          </w:p>
        </w:tc>
      </w:tr>
    </w:tbl>
    <w:p>
      <w:pPr>
        <w:spacing w:before="80"/>
      </w:pPr>
    </w:p>
    <w:p>
      <w:pPr>
        <w:spacing w:before="60" w:after="120"/>
        <w:jc w:val="left"/>
      </w:pPr>
      <w:r>
        <w:rPr>
          <w:rFonts w:ascii="Arial" w:cs="Arial" w:eastAsia="Arial" w:hAnsi="Arial"/>
          <w:b w:val="false"/>
          <w:bCs w:val="false"/>
          <w:i w:val="false"/>
          <w:iCs w:val="false"/>
          <w:color w:val="555555"/>
          <w:sz w:val="22"/>
          <w:szCs w:val="22"/>
        </w:rPr>
        <w:t xml:space="preserve">Key point: depreciation is calculated on the full $13,065,000 cost basis regardless of how the project is financed. Financing at 65/35 does not reduce the depreciation pool. It adds a $632,823 interest deduction on top. A $1M investor in the leveraged structure owns 21.9% of the equity, giving them 21.9% of the depreciation pool — producing approximately $296,000+ in federal tax savings in Year 1 alone. Texas has no personal income tax.</w:t>
      </w:r>
    </w:p>
    <w:p>
      <w:pPr>
        <w:spacing w:before="120"/>
      </w:pPr>
    </w:p>
    <w:p>
      <w:pPr>
        <w:spacing w:before="320" w:after="80"/>
      </w:pPr>
      <w:r>
        <w:rPr>
          <w:rFonts w:ascii="Georgia" w:cs="Georgia" w:eastAsia="Georgia" w:hAnsi="Georgia"/>
          <w:b w:val="false"/>
          <w:bCs w:val="false"/>
          <w:i w:val="false"/>
          <w:iCs w:val="false"/>
          <w:color w:val="C9A84C"/>
          <w:sz w:val="24"/>
          <w:szCs w:val="24"/>
        </w:rPr>
        <w:t xml:space="preserve">— </w:t>
      </w:r>
      <w:r>
        <w:rPr>
          <w:rFonts w:ascii="Arial" w:cs="Arial" w:eastAsia="Arial" w:hAnsi="Arial"/>
          <w:b/>
          <w:bCs/>
          <w:i w:val="false"/>
          <w:iCs w:val="false"/>
          <w:color w:val="B8150C"/>
          <w:sz w:val="26"/>
          <w:szCs w:val="26"/>
        </w:rPr>
        <w:t xml:space="preserve">Seven-year financial summary</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240"/>
        <w:gridCol w:w="1240"/>
        <w:gridCol w:w="1240"/>
        <w:gridCol w:w="1240"/>
        <w:gridCol w:w="1200"/>
      </w:tblGrid>
      <w:tr>
        <w:tc>
          <w:tcPr>
            <w:tcW w:type="dxa" w:w="22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
            </w:r>
          </w:p>
        </w:tc>
        <w:tc>
          <w:tcPr>
            <w:tcW w:type="dxa" w:w="124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Y1 (2027)</w:t>
            </w:r>
          </w:p>
        </w:tc>
        <w:tc>
          <w:tcPr>
            <w:tcW w:type="dxa" w:w="124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Y2 (2028)</w:t>
            </w:r>
          </w:p>
        </w:tc>
        <w:tc>
          <w:tcPr>
            <w:tcW w:type="dxa" w:w="124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Y3 (2029)</w:t>
            </w:r>
          </w:p>
        </w:tc>
        <w:tc>
          <w:tcPr>
            <w:tcW w:type="dxa" w:w="124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Y5 (2031)</w:t>
            </w:r>
          </w:p>
        </w:tc>
        <w:tc>
          <w:tcPr>
            <w:tcW w:type="dxa" w:w="12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Y7 (2033)</w:t>
            </w:r>
          </w:p>
        </w:tc>
      </w:tr>
      <w:tr>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Total Revenue</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$2,223K</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$3,290K</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$4,284K</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$4,821K</w:t>
            </w:r>
          </w:p>
        </w:tc>
        <w:tc>
          <w:tcPr>
            <w:tcW w:type="dxa" w:w="1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$5,322K</w:t>
            </w:r>
          </w:p>
        </w:tc>
      </w:tr>
      <w:tr>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Net Operating Income</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$1,215K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$2,244K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$3,133K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$3,593K</w:t>
            </w:r>
          </w:p>
        </w:tc>
        <w:tc>
          <w:tcPr>
            <w:tcW w:type="dxa" w:w="1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$3,938K</w:t>
            </w:r>
          </w:p>
        </w:tc>
      </w:tr>
      <w:tr>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NOI Margin</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55%</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68%</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73%</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74%</w:t>
            </w:r>
          </w:p>
        </w:tc>
        <w:tc>
          <w:tcPr>
            <w:tcW w:type="dxa" w:w="1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74%</w:t>
            </w:r>
          </w:p>
        </w:tc>
      </w:tr>
      <w:tr>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Total Debt Service</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($753K)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($753K)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($753K)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($753K)</w:t>
            </w:r>
          </w:p>
        </w:tc>
        <w:tc>
          <w:tcPr>
            <w:tcW w:type="dxa" w:w="1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($753K)</w:t>
            </w:r>
          </w:p>
        </w:tc>
      </w:tr>
      <w:tr>
        <w:tc>
          <w:tcPr>
            <w:tcW w:type="dxa" w:w="22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left"/>
            </w:pPr>
            <w:r>
              <w:rPr>
                <w:rFonts w:ascii="Arial" w:cs="Arial" w:eastAsia="Arial" w:hAnsi="Arial"/>
                <w:b/>
                <w:bCs/>
                <w:i w:val="false"/>
                <w:iCs w:val="false"/>
                <w:color w:val="1C0C04"/>
                <w:sz w:val="20"/>
                <w:szCs w:val="20"/>
              </w:rPr>
              <w:t xml:space="preserve">NET CASH FLOW TO EQUITY</w:t>
            </w:r>
          </w:p>
        </w:tc>
        <w:tc>
          <w:tcPr>
            <w:tcW w:type="dxa" w:w="124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$462K</w:t>
            </w:r>
          </w:p>
        </w:tc>
        <w:tc>
          <w:tcPr>
            <w:tcW w:type="dxa" w:w="124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$1,491K</w:t>
            </w:r>
          </w:p>
        </w:tc>
        <w:tc>
          <w:tcPr>
            <w:tcW w:type="dxa" w:w="124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$2,380K</w:t>
            </w:r>
          </w:p>
        </w:tc>
        <w:tc>
          <w:tcPr>
            <w:tcW w:type="dxa" w:w="124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$2,840K</w:t>
            </w:r>
          </w:p>
        </w:tc>
        <w:tc>
          <w:tcPr>
            <w:tcW w:type="dxa" w:w="12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$3,185K</w:t>
            </w:r>
          </w:p>
        </w:tc>
      </w:tr>
      <w:tr>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Cash-on-Cash Return</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10.1%</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32.6%</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52.0%</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62.1%</w:t>
            </w:r>
          </w:p>
        </w:tc>
        <w:tc>
          <w:tcPr>
            <w:tcW w:type="dxa" w:w="1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69.6%</w:t>
            </w:r>
          </w:p>
        </w:tc>
      </w:tr>
      <w:tr>
        <w:tc>
          <w:tcPr>
            <w:tcW w:type="dxa" w:w="2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DSCR</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1.61x</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2.98x</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4.16x</w:t>
            </w:r>
          </w:p>
        </w:tc>
        <w:tc>
          <w:tcPr>
            <w:tcW w:type="dxa" w:w="124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4.77x</w:t>
            </w:r>
          </w:p>
        </w:tc>
        <w:tc>
          <w:tcPr>
            <w:tcW w:type="dxa" w:w="1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5.23x</w:t>
            </w:r>
          </w:p>
        </w:tc>
      </w:tr>
      <w:tr>
        <w:tc>
          <w:tcPr>
            <w:tcW w:type="dxa" w:w="2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Loan Balance (year-end)</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$8,372K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$8,242K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$8,103K</w:t>
            </w:r>
          </w:p>
        </w:tc>
        <w:tc>
          <w:tcPr>
            <w:tcW w:type="dxa" w:w="124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$7,790K</w:t>
            </w:r>
          </w:p>
        </w:tc>
        <w:tc>
          <w:tcPr>
            <w:tcW w:type="dxa" w:w="1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$7,427K</w:t>
            </w:r>
          </w:p>
        </w:tc>
      </w:tr>
    </w:tbl>
    <w:p>
      <w:pPr>
        <w:spacing w:before="80"/>
      </w:pPr>
    </w:p>
    <w:p>
      <w:pPr>
        <w:spacing w:before="60" w:after="120"/>
        <w:jc w:val="left"/>
      </w:pPr>
      <w:r>
        <w:rPr>
          <w:rFonts w:ascii="Arial" w:cs="Arial" w:eastAsia="Arial" w:hAnsi="Arial"/>
          <w:b w:val="false"/>
          <w:bCs w:val="false"/>
          <w:i w:val="false"/>
          <w:iCs w:val="false"/>
          <w:color w:val="555555"/>
          <w:sz w:val="22"/>
          <w:szCs w:val="22"/>
        </w:rPr>
        <w:t xml:space="preserve">Break-even occupancy: ~23% of total hourly room capacity across Zones A, B, and C. Even under a severe combined stress scenario — occupancy 20% below model and venue revenue 40% below model simultaneously — the business generates positive NOI from operations.</w:t>
      </w:r>
    </w:p>
    <w:p>
      <w:pPr>
        <w:spacing w:before="120"/>
      </w:pPr>
    </w:p>
    <w:p>
      <w:pPr>
        <w:spacing w:before="320" w:after="80"/>
      </w:pPr>
      <w:r>
        <w:rPr>
          <w:rFonts w:ascii="Georgia" w:cs="Georgia" w:eastAsia="Georgia" w:hAnsi="Georgia"/>
          <w:b w:val="false"/>
          <w:bCs w:val="false"/>
          <w:i w:val="false"/>
          <w:iCs w:val="false"/>
          <w:color w:val="C9A84C"/>
          <w:sz w:val="24"/>
          <w:szCs w:val="24"/>
        </w:rPr>
        <w:t xml:space="preserve">— </w:t>
      </w:r>
      <w:r>
        <w:rPr>
          <w:rFonts w:ascii="Arial" w:cs="Arial" w:eastAsia="Arial" w:hAnsi="Arial"/>
          <w:b/>
          <w:bCs/>
          <w:i w:val="false"/>
          <w:iCs w:val="false"/>
          <w:color w:val="B8150C"/>
          <w:sz w:val="26"/>
          <w:szCs w:val="26"/>
        </w:rPr>
        <w:t xml:space="preserve">Capital structure</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1800"/>
        <w:gridCol w:w="3960"/>
      </w:tblGrid>
      <w:tr>
        <w:tc>
          <w:tcPr>
            <w:tcW w:type="dxa" w:w="36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Use of Capital</w:t>
            </w:r>
          </w:p>
        </w:tc>
        <w:tc>
          <w:tcPr>
            <w:tcW w:type="dxa" w:w="18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Amount</w:t>
            </w:r>
          </w:p>
        </w:tc>
        <w:tc>
          <w:tcPr>
            <w:tcW w:type="dxa" w:w="396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Note</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Acquisition (target offer)</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$8,250,000</w:t>
            </w:r>
          </w:p>
        </w:tc>
        <w:tc>
          <w:tcPr>
            <w:tcW w:type="dxa" w:w="39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21% below seller ask of $10.5M</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A–C Buildout (rehearsal, production, creator)</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$1,750,000</w:t>
            </w:r>
          </w:p>
        </w:tc>
        <w:tc>
          <w:tcPr>
            <w:tcW w:type="dxa" w:w="39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ESAS-grade acoustic buildout</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F — Venue &amp; Bar</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$1,050,000</w:t>
            </w:r>
          </w:p>
        </w:tc>
        <w:tc>
          <w:tcPr>
            <w:tcW w:type="dxa" w:w="39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Stage, PA, bar, green rooms, HVAC</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B — 3rd Production Suite</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$300,000</w:t>
            </w:r>
          </w:p>
        </w:tc>
        <w:tc>
          <w:tcPr>
            <w:tcW w:type="dxa" w:w="39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Isolation room + console upgrade</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D — Union Builds (Coffee/Bar/Stage)</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$375,000</w:t>
            </w:r>
          </w:p>
        </w:tc>
        <w:tc>
          <w:tcPr>
            <w:tcW w:type="dxa" w:w="39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$27.50/SF; LLC owns all improvements</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Zone E — Music Industry Coworking</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$300,000</w:t>
            </w:r>
          </w:p>
        </w:tc>
        <w:tc>
          <w:tcPr>
            <w:tcW w:type="dxa" w:w="39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 suites + open plan; direct-operated</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FF&amp;E — All Zones</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$300,000</w:t>
            </w:r>
          </w:p>
        </w:tc>
        <w:tc>
          <w:tcPr>
            <w:tcW w:type="dxa" w:w="39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Backline, AV, furniture, booking kiosks</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Closing &amp; Soft Costs</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$125,000</w:t>
            </w:r>
          </w:p>
        </w:tc>
        <w:tc>
          <w:tcPr>
            <w:tcW w:type="dxa" w:w="39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Legal, title, permits</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Contingency + Zone G Build</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$165,000</w:t>
            </w:r>
          </w:p>
        </w:tc>
        <w:tc>
          <w:tcPr>
            <w:tcW w:type="dxa" w:w="39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Storage buildout + buffer</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Working Capital Reserve</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$450,000</w:t>
            </w:r>
          </w:p>
        </w:tc>
        <w:tc>
          <w:tcPr>
            <w:tcW w:type="dxa" w:w="39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6–9 months operating buffer</w:t>
            </w:r>
          </w:p>
        </w:tc>
      </w:tr>
      <w:tr>
        <w:tc>
          <w:tcPr>
            <w:tcW w:type="dxa" w:w="36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left"/>
            </w:pPr>
            <w:r>
              <w:rPr>
                <w:rFonts w:ascii="Arial" w:cs="Arial" w:eastAsia="Arial" w:hAnsi="Arial"/>
                <w:b/>
                <w:bCs/>
                <w:i w:val="false"/>
                <w:iCs w:val="false"/>
                <w:color w:val="1C0C04"/>
                <w:sz w:val="20"/>
                <w:szCs w:val="20"/>
              </w:rPr>
              <w:t xml:space="preserve">TOTAL PROJECT COST</w:t>
            </w:r>
          </w:p>
        </w:tc>
        <w:tc>
          <w:tcPr>
            <w:tcW w:type="dxa" w:w="18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$13,065,000</w:t>
            </w:r>
          </w:p>
        </w:tc>
        <w:tc>
          <w:tcPr>
            <w:tcW w:type="dxa" w:w="396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Debt + equity combined</w:t>
            </w:r>
          </w:p>
        </w:tc>
      </w:tr>
      <w:tr>
        <w:tc>
          <w:tcPr>
            <w:tcW w:type="dxa" w:w="36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  Commercial Mortgage (65%, 7.5%, 25-yr)</w:t>
            </w:r>
          </w:p>
        </w:tc>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$8,492,000</w:t>
            </w:r>
          </w:p>
        </w:tc>
        <w:tc>
          <w:tcPr>
            <w:tcW w:type="dxa" w:w="39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Annual debt service: $753,062</w:t>
            </w:r>
          </w:p>
        </w:tc>
      </w:tr>
      <w:tr>
        <w:tc>
          <w:tcPr>
            <w:tcW w:type="dxa" w:w="36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  Equity Raise (35%)</w:t>
            </w:r>
          </w:p>
        </w:tc>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$4,573,000</w:t>
            </w:r>
          </w:p>
        </w:tc>
        <w:tc>
          <w:tcPr>
            <w:tcW w:type="dxa" w:w="39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From Founding Partners + co-investors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V</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Property &amp; Timing</w:t>
            </w:r>
          </w:p>
          <w:p>
            <w:pPr>
              <w:spacing w:before="20" w:after="100"/>
              <w:jc w:val="left"/>
            </w:pPr>
            <w:r>
              <w:rPr>
                <w:rFonts w:ascii="Arial" w:cs="Arial" w:eastAsia="Arial" w:hAnsi="Arial"/>
                <w:b w:val="false"/>
                <w:bCs w:val="false"/>
                <w:i/>
                <w:iCs/>
                <w:color w:val="aaaaaa"/>
                <w:sz w:val="19"/>
                <w:szCs w:val="19"/>
              </w:rPr>
              <w:t xml:space="preserve">Why this deal exists and why it exists now</w:t>
            </w:r>
          </w:p>
        </w:tc>
      </w:tr>
    </w:tbl>
    <w:p>
      <w:pPr>
        <w:spacing w:before="120"/>
      </w:pPr>
    </w:p>
    <w:p>
      <w:pPr>
        <w:spacing w:before="60" w:after="120"/>
        <w:jc w:val="left"/>
      </w:pPr>
      <w:r>
        <w:rPr>
          <w:rFonts w:ascii="Arial" w:cs="Arial" w:eastAsia="Arial" w:hAnsi="Arial"/>
          <w:b w:val="false"/>
          <w:bCs w:val="false"/>
          <w:i w:val="false"/>
          <w:iCs w:val="false"/>
          <w:color w:val="555555"/>
          <w:sz w:val="22"/>
          <w:szCs w:val="22"/>
        </w:rPr>
        <w:t xml:space="preserve">4405 Springdale Road is a 44,528 SF Class B flex building on 3.01 acres at the corner of MLK Jr. Blvd and Springdale Road in East Austin. Built in 1996. Corner lot. Zoned EZ-ZR (music venue, rehearsal, retail, and office are all permitted uses). FEMA Zone X — no flood risk. Travis CAD assessed the land alone at $4,500,000.</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The current tenant is the Texas Workforce Commission, whose lease expires August 31, 2026, delivering the building vacant at precisely the right moment. The seller carries an active construction loan with Susser Bank maturing approximately October 2026 — concurrent with the tenant departure. This dual hard deadline creates genuine negotiating leverage for a well-capitalized buyer with pre-committed financing.</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Seller ask: $10,500,000. Target offer: $7,500,000. Walk-away: $8,250,000 ($188/SF). The 21% discount to ask is achievable precisely because of the loan maturity pressure.</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24"/>
              <w:bottom w:val="none" w:color="FFFFFF" w:sz="0"/>
              <w:right w:val="none" w:color="FFFFFF" w:sz="0"/>
            </w:tcBorders>
            <w:shd w:fill="FDF8F0" w:val="clear"/>
            <w:tcMar>
              <w:top w:type="dxa" w:w="200"/>
              <w:left w:type="dxa" w:w="320"/>
              <w:bottom w:type="dxa" w:w="200"/>
              <w:right w:type="dxa" w:w="280"/>
            </w:tcMar>
          </w:tcPr>
          <w:p>
            <w:pPr>
              <w:spacing w:before="60" w:after="100"/>
              <w:jc w:val="left"/>
            </w:pPr>
            <w:r>
              <w:rPr>
                <w:rFonts w:ascii="Georgia" w:cs="Georgia" w:eastAsia="Georgia" w:hAnsi="Georgia"/>
                <w:b w:val="false"/>
                <w:bCs w:val="false"/>
                <w:i/>
                <w:iCs/>
                <w:color w:val="1C0C04"/>
                <w:sz w:val="24"/>
                <w:szCs w:val="24"/>
              </w:rPr>
              <w:t xml:space="preserve">This is not a deal that requires a distressed seller or a broken asset. It requires a motivated seller with a hard calendar deadline and a buyer who can move. That is the deal.</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VI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Chapter System &amp; Exit</w:t>
            </w:r>
          </w:p>
          <w:p>
            <w:pPr>
              <w:spacing w:before="20" w:after="100"/>
              <w:jc w:val="left"/>
            </w:pPr>
            <w:r>
              <w:rPr>
                <w:rFonts w:ascii="Arial" w:cs="Arial" w:eastAsia="Arial" w:hAnsi="Arial"/>
                <w:b w:val="false"/>
                <w:bCs w:val="false"/>
                <w:i/>
                <w:iCs/>
                <w:color w:val="aaaaaa"/>
                <w:sz w:val="19"/>
                <w:szCs w:val="19"/>
              </w:rPr>
              <w:t xml:space="preserve">Why this is not priced like a self-storage box</w:t>
            </w:r>
          </w:p>
        </w:tc>
      </w:tr>
    </w:tbl>
    <w:p>
      <w:pPr>
        <w:spacing w:before="120"/>
      </w:pPr>
    </w:p>
    <w:p>
      <w:pPr>
        <w:spacing w:before="60" w:after="120"/>
        <w:jc w:val="left"/>
      </w:pPr>
      <w:r>
        <w:rPr>
          <w:rFonts w:ascii="Arial" w:cs="Arial" w:eastAsia="Arial" w:hAnsi="Arial"/>
          <w:b w:val="false"/>
          <w:bCs w:val="false"/>
          <w:i w:val="false"/>
          <w:iCs w:val="false"/>
          <w:color w:val="555555"/>
          <w:sz w:val="22"/>
          <w:szCs w:val="22"/>
        </w:rPr>
        <w:t xml:space="preserve">Every self-storage facility is a building. Every Music Union is a chapter.</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The brand is The Music Union — a national creative campus network where each location is identified by the local area code. Austin is Chapter 512. Nashville is 615. Los Angeles is 213. Each chapter uses the same booking platform, the same Union Card membership infrastructure, the same ESAS design playbook, and the same operational model — with local themes, local artists, and local identity layered on top.</w:t>
      </w:r>
    </w:p>
    <w:p>
      <w:pPr>
        <w:spacing w:before="60"/>
      </w:pPr>
    </w:p>
    <w:p>
      <w:pPr>
        <w:spacing w:before="60" w:after="120"/>
        <w:jc w:val="left"/>
      </w:pPr>
      <w:r>
        <w:rPr>
          <w:rFonts w:ascii="Arial" w:cs="Arial" w:eastAsia="Arial" w:hAnsi="Arial"/>
          <w:b w:val="false"/>
          <w:bCs w:val="false"/>
          <w:i w:val="false"/>
          <w:iCs w:val="false"/>
          <w:color w:val="555555"/>
          <w:sz w:val="22"/>
          <w:szCs w:val="22"/>
        </w:rPr>
        <w:t xml:space="preserve">This changes the exit mathematics entirely. A single storage facility exits at a cap rate on NOI — typically 5.5–6.5%. A branded, scaled, national institution exits on a blended valuation: real estate cap rate on the property plus an EBITDA multiple on the operating business. At Year 7, with a $3.938M NOI and a 6.5% cap rate, the real estate alone implies $60.6M. The Music Union playbook, Union Card membership network, and chapter infrastructure trade on a separate operations multiple.</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1680"/>
        <w:gridCol w:w="1680"/>
        <w:gridCol w:w="3000"/>
      </w:tblGrid>
      <w:tr>
        <w:tc>
          <w:tcPr>
            <w:tcW w:type="dxa" w:w="30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Exit Scenario</w:t>
            </w:r>
          </w:p>
        </w:tc>
        <w:tc>
          <w:tcPr>
            <w:tcW w:type="dxa" w:w="168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Worst Case</w:t>
            </w:r>
          </w:p>
        </w:tc>
        <w:tc>
          <w:tcPr>
            <w:tcW w:type="dxa" w:w="168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Base Case</w:t>
            </w:r>
          </w:p>
        </w:tc>
        <w:tc>
          <w:tcPr>
            <w:tcW w:type="dxa" w:w="30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Best Case</w:t>
            </w:r>
          </w:p>
        </w:tc>
      </w:tr>
      <w:tr>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NOI Year 7</w:t>
            </w:r>
          </w:p>
        </w:tc>
        <w:tc>
          <w:tcPr>
            <w:tcW w:type="dxa" w:w="1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$1,887K</w:t>
            </w:r>
          </w:p>
        </w:tc>
        <w:tc>
          <w:tcPr>
            <w:tcW w:type="dxa" w:w="1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$3,938K</w:t>
            </w:r>
          </w:p>
        </w:tc>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$6,160K</w:t>
            </w:r>
          </w:p>
        </w:tc>
      </w:tr>
      <w:tr>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Implied Asset Value (@ 6.5% cap)</w:t>
            </w:r>
          </w:p>
        </w:tc>
        <w:tc>
          <w:tcPr>
            <w:tcW w:type="dxa" w:w="1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~$21.5M</w:t>
            </w:r>
          </w:p>
        </w:tc>
        <w:tc>
          <w:tcPr>
            <w:tcW w:type="dxa" w:w="1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~$60.6M</w:t>
            </w:r>
          </w:p>
        </w:tc>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~$107M</w:t>
            </w:r>
          </w:p>
        </w:tc>
      </w:tr>
      <w:tr>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Less: Loan Balance at Y7</w:t>
            </w:r>
          </w:p>
        </w:tc>
        <w:tc>
          <w:tcPr>
            <w:tcW w:type="dxa" w:w="1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($7.4M)</w:t>
            </w:r>
          </w:p>
        </w:tc>
        <w:tc>
          <w:tcPr>
            <w:tcW w:type="dxa" w:w="1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($7.4M)</w:t>
            </w:r>
          </w:p>
        </w:tc>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($7.4M)</w:t>
            </w:r>
          </w:p>
        </w:tc>
      </w:tr>
      <w:tr>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Net Real Estate Proceeds</w:t>
            </w:r>
          </w:p>
        </w:tc>
        <w:tc>
          <w:tcPr>
            <w:tcW w:type="dxa" w:w="1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~$14.1M</w:t>
            </w:r>
          </w:p>
        </w:tc>
        <w:tc>
          <w:tcPr>
            <w:tcW w:type="dxa" w:w="1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~$53.2M</w:t>
            </w:r>
          </w:p>
        </w:tc>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~$99.6M</w:t>
            </w:r>
          </w:p>
        </w:tc>
      </w:tr>
      <w:tr>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Equity Invested</w:t>
            </w:r>
          </w:p>
        </w:tc>
        <w:tc>
          <w:tcPr>
            <w:tcW w:type="dxa" w:w="1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$4.573M</w:t>
            </w:r>
          </w:p>
        </w:tc>
        <w:tc>
          <w:tcPr>
            <w:tcW w:type="dxa" w:w="1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$4.573M</w:t>
            </w:r>
          </w:p>
        </w:tc>
        <w:tc>
          <w:tcPr>
            <w:tcW w:type="dxa" w:w="30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$4.573M</w:t>
            </w:r>
          </w:p>
        </w:tc>
      </w:tr>
      <w:tr>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Leveraged Equity Multiple (Y7)</w:t>
            </w:r>
          </w:p>
        </w:tc>
        <w:tc>
          <w:tcPr>
            <w:tcW w:type="dxa" w:w="1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6.2x</w:t>
            </w:r>
          </w:p>
        </w:tc>
        <w:tc>
          <w:tcPr>
            <w:tcW w:type="dxa" w:w="1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15.1x</w:t>
            </w:r>
          </w:p>
        </w:tc>
        <w:tc>
          <w:tcPr>
            <w:tcW w:type="dxa" w:w="30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&gt;20x</w:t>
            </w:r>
          </w:p>
        </w:tc>
      </w:tr>
    </w:tbl>
    <w:p>
      <w:pPr>
        <w:spacing w:before="80"/>
      </w:pPr>
    </w:p>
    <w:p>
      <w:pPr>
        <w:spacing w:before="60" w:after="120"/>
        <w:jc w:val="left"/>
      </w:pPr>
      <w:r>
        <w:rPr>
          <w:rFonts w:ascii="Arial" w:cs="Arial" w:eastAsia="Arial" w:hAnsi="Arial"/>
          <w:b w:val="false"/>
          <w:bCs w:val="false"/>
          <w:i w:val="false"/>
          <w:iCs w:val="false"/>
          <w:color w:val="555555"/>
          <w:sz w:val="22"/>
          <w:szCs w:val="22"/>
        </w:rPr>
        <w:t xml:space="preserve">Year 3 refinancing option: at $3.133M stabilized NOI and a 6.5% exit cap rate, the implied property value is approximately $48.2M. A 65% LTV refinance at that value could advance ~$31M — returning the entire equity investment and providing seed capital for Chapter 615 in Nashville, while retaining full ownership of Chapter 512.</w:t>
      </w:r>
    </w:p>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VII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Direct Comparison</w:t>
            </w:r>
          </w:p>
          <w:p>
            <w:pPr>
              <w:spacing w:before="20" w:after="100"/>
              <w:jc w:val="left"/>
            </w:pPr>
            <w:r>
              <w:rPr>
                <w:rFonts w:ascii="Arial" w:cs="Arial" w:eastAsia="Arial" w:hAnsi="Arial"/>
                <w:b w:val="false"/>
                <w:bCs w:val="false"/>
                <w:i/>
                <w:iCs/>
                <w:color w:val="aaaaaa"/>
                <w:sz w:val="19"/>
                <w:szCs w:val="19"/>
              </w:rPr>
              <w:t xml:space="preserve">The Music Union vs. the boring business investor's typical deal</w:t>
            </w:r>
          </w:p>
        </w:tc>
      </w:tr>
    </w:tbl>
    <w:p>
      <w:pPr>
        <w:spacing w:before="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2680"/>
        <w:gridCol w:w="3480"/>
      </w:tblGrid>
      <w:tr>
        <w:tc>
          <w:tcPr>
            <w:tcW w:type="dxa" w:w="32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Investment Criteria</w:t>
            </w:r>
          </w:p>
        </w:tc>
        <w:tc>
          <w:tcPr>
            <w:tcW w:type="dxa" w:w="268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Self-Storage (typical)</w:t>
            </w:r>
          </w:p>
        </w:tc>
        <w:tc>
          <w:tcPr>
            <w:tcW w:type="dxa" w:w="348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The Music Union 512</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Recurring monthly revenue</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YES</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Zones D, E, G, membership</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Hourly time-based access model</w:t>
            </w:r>
          </w:p>
        </w:tc>
        <w:tc>
          <w:tcPr>
            <w:tcW w:type="dxa" w:w="2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B8150C"/>
                <w:sz w:val="20"/>
                <w:szCs w:val="20"/>
              </w:rPr>
              <w:t xml:space="preserve">NO</w:t>
            </w:r>
          </w:p>
        </w:tc>
        <w:tc>
          <w:tcPr>
            <w:tcW w:type="dxa" w:w="34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Zones A, B, C (25+ rooms)</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Automated access control</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YES</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custom-built by Taylor</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Dynamic pricing engine</w:t>
            </w:r>
          </w:p>
        </w:tc>
        <w:tc>
          <w:tcPr>
            <w:tcW w:type="dxa" w:w="2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Major REITs only</w:t>
            </w:r>
          </w:p>
        </w:tc>
        <w:tc>
          <w:tcPr>
            <w:tcW w:type="dxa" w:w="34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built Day 1</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100% bonus depreciation eligible</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Moderate</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VERY HIGH (ESAS + OBBBA)</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Texas — no state income tax</w:t>
            </w:r>
          </w:p>
        </w:tc>
        <w:tc>
          <w:tcPr>
            <w:tcW w:type="dxa" w:w="2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YES</w:t>
            </w:r>
          </w:p>
        </w:tc>
        <w:tc>
          <w:tcPr>
            <w:tcW w:type="dxa" w:w="34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YES</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Real property appreciation</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YES</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East Austin corridor</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Competition for the deal</w:t>
            </w:r>
          </w:p>
        </w:tc>
        <w:tc>
          <w:tcPr>
            <w:tcW w:type="dxa" w:w="2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VERY HIGH</w:t>
            </w:r>
          </w:p>
        </w:tc>
        <w:tc>
          <w:tcPr>
            <w:tcW w:type="dxa" w:w="34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ZERO — uncrowded category</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Y1 cap rate on cost</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5.0–5.5%</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9.3%</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Y3 cash-on-cash (leveraged)</w:t>
            </w:r>
          </w:p>
        </w:tc>
        <w:tc>
          <w:tcPr>
            <w:tcW w:type="dxa" w:w="2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5–8%</w:t>
            </w:r>
          </w:p>
        </w:tc>
        <w:tc>
          <w:tcPr>
            <w:tcW w:type="dxa" w:w="34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52.0%</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7-year equity multiple</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2.5–4.0x</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1A5C2A"/>
                <w:sz w:val="20"/>
                <w:szCs w:val="20"/>
              </w:rPr>
              <w:t xml:space="preserve">15.1x</w:t>
            </w:r>
          </w:p>
        </w:tc>
      </w:tr>
      <w:tr>
        <w:tc>
          <w:tcPr>
            <w:tcW w:type="dxa" w:w="32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National brand / expansion optionality</w:t>
            </w:r>
          </w:p>
        </w:tc>
        <w:tc>
          <w:tcPr>
            <w:tcW w:type="dxa" w:w="26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B8150C"/>
                <w:sz w:val="20"/>
                <w:szCs w:val="20"/>
              </w:rPr>
              <w:t xml:space="preserve">NO</w:t>
            </w:r>
          </w:p>
        </w:tc>
        <w:tc>
          <w:tcPr>
            <w:tcW w:type="dxa" w:w="348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10+ chapter roadmap</w:t>
            </w:r>
          </w:p>
        </w:tc>
      </w:tr>
      <w:tr>
        <w:tc>
          <w:tcPr>
            <w:tcW w:type="dxa" w:w="32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Founding Partner benefits &amp; recognition</w:t>
            </w:r>
          </w:p>
        </w:tc>
        <w:tc>
          <w:tcPr>
            <w:tcW w:type="dxa" w:w="26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B8150C"/>
                <w:sz w:val="20"/>
                <w:szCs w:val="20"/>
              </w:rPr>
              <w:t xml:space="preserve">NO</w:t>
            </w:r>
          </w:p>
        </w:tc>
        <w:tc>
          <w:tcPr>
            <w:tcW w:type="dxa" w:w="348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YES — see Section VIII</w:t>
            </w:r>
          </w:p>
        </w:tc>
      </w:tr>
      <w:tr>
        <w:tc>
          <w:tcPr>
            <w:tcW w:type="dxa" w:w="320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left"/>
            </w:pPr>
            <w:r>
              <w:rPr>
                <w:rFonts w:ascii="Arial" w:cs="Arial" w:eastAsia="Arial" w:hAnsi="Arial"/>
                <w:b/>
                <w:bCs/>
                <w:i w:val="false"/>
                <w:iCs w:val="false"/>
                <w:color w:val="1C0C04"/>
                <w:sz w:val="20"/>
                <w:szCs w:val="20"/>
              </w:rPr>
              <w:t xml:space="preserve">Verdict</w:t>
            </w:r>
          </w:p>
        </w:tc>
        <w:tc>
          <w:tcPr>
            <w:tcW w:type="dxa" w:w="268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Crowded. Compressed.</w:t>
            </w:r>
          </w:p>
        </w:tc>
        <w:tc>
          <w:tcPr>
            <w:tcW w:type="dxa" w:w="3480"/>
            <w:tcBorders>
              <w:top w:val="none" w:color="FFFFFF" w:sz="0"/>
              <w:left w:val="none" w:color="FFFFFF" w:sz="0"/>
              <w:bottom w:val="single" w:color="E0D8C8" w:sz="2"/>
              <w:right w:val="none" w:color="FFFFFF" w:sz="0"/>
            </w:tcBorders>
            <w:shd w:fill="F4F1EC" w:val="clear"/>
            <w:tcMar>
              <w:top w:type="dxa" w:w="80"/>
              <w:left w:type="dxa" w:w="140"/>
              <w:bottom w:type="dxa" w:w="80"/>
              <w:right w:type="dxa" w:w="100"/>
            </w:tcMar>
            <w:vAlign w:val="center"/>
          </w:tcPr>
          <w:p>
            <w:pPr>
              <w:jc w:val="center"/>
            </w:pPr>
            <w:r>
              <w:rPr>
                <w:rFonts w:ascii="Arial" w:cs="Arial" w:eastAsia="Arial" w:hAnsi="Arial"/>
                <w:b/>
                <w:bCs/>
                <w:i w:val="false"/>
                <w:iCs w:val="false"/>
                <w:color w:val="1C0C04"/>
                <w:sz w:val="20"/>
                <w:szCs w:val="20"/>
              </w:rPr>
              <w:t xml:space="preserve">Uncrowded. Asymmetric.</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VIII</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Founding Partner Experience</w:t>
            </w:r>
          </w:p>
          <w:p>
            <w:pPr>
              <w:spacing w:before="20" w:after="100"/>
              <w:jc w:val="left"/>
            </w:pPr>
            <w:r>
              <w:rPr>
                <w:rFonts w:ascii="Arial" w:cs="Arial" w:eastAsia="Arial" w:hAnsi="Arial"/>
                <w:b w:val="false"/>
                <w:bCs w:val="false"/>
                <w:i/>
                <w:iCs/>
                <w:color w:val="aaaaaa"/>
                <w:sz w:val="19"/>
                <w:szCs w:val="19"/>
              </w:rPr>
              <w:t xml:space="preserve">What this investment looks like beyond the return</w:t>
            </w:r>
          </w:p>
        </w:tc>
      </w:tr>
    </w:tbl>
    <w:p>
      <w:pPr>
        <w:spacing w:before="120"/>
      </w:pPr>
    </w:p>
    <w:p>
      <w:pPr>
        <w:spacing w:before="60" w:after="120"/>
        <w:jc w:val="left"/>
      </w:pPr>
      <w:r>
        <w:rPr>
          <w:rFonts w:ascii="Arial" w:cs="Arial" w:eastAsia="Arial" w:hAnsi="Arial"/>
          <w:b w:val="false"/>
          <w:bCs w:val="false"/>
          <w:i w:val="false"/>
          <w:iCs w:val="false"/>
          <w:color w:val="555555"/>
          <w:sz w:val="22"/>
          <w:szCs w:val="22"/>
        </w:rPr>
        <w:t xml:space="preserve">The Founding Partner tier is not a loyalty program. It is a recognition class for the people whose capital makes this institution exist. A selection of the benefits included:</w:t>
      </w: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560"/>
      </w:tblGrid>
      <w:tr>
        <w:tc>
          <w:tcPr>
            <w:tcW w:type="dxa" w:w="180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left"/>
            </w:pPr>
            <w:r>
              <w:rPr>
                <w:rFonts w:ascii="Arial" w:cs="Arial" w:eastAsia="Arial" w:hAnsi="Arial"/>
                <w:b/>
                <w:bCs/>
                <w:i w:val="false"/>
                <w:iCs w:val="false"/>
                <w:color w:val="FFFFFF"/>
                <w:sz w:val="20"/>
                <w:szCs w:val="20"/>
              </w:rPr>
              <w:t xml:space="preserve">Category</w:t>
            </w:r>
          </w:p>
        </w:tc>
        <w:tc>
          <w:tcPr>
            <w:tcW w:type="dxa" w:w="7560"/>
            <w:tcBorders>
              <w:top w:val="none" w:color="FFFFFF" w:sz="0"/>
              <w:left w:val="none" w:color="FFFFFF" w:sz="0"/>
              <w:bottom w:val="none" w:color="FFFFFF" w:sz="0"/>
              <w:right w:val="none" w:color="FFFFFF" w:sz="0"/>
            </w:tcBorders>
            <w:shd w:fill="1B2A4A" w:val="clear"/>
            <w:tcMar>
              <w:top w:type="dxa" w:w="100"/>
              <w:left w:type="dxa" w:w="140"/>
              <w:bottom w:type="dxa" w:w="100"/>
              <w:right w:type="dxa" w:w="100"/>
            </w:tcMar>
            <w:vAlign w:val="center"/>
          </w:tcPr>
          <w:p>
            <w:pPr>
              <w:jc w:val="center"/>
            </w:pPr>
            <w:r>
              <w:rPr>
                <w:rFonts w:ascii="Arial" w:cs="Arial" w:eastAsia="Arial" w:hAnsi="Arial"/>
                <w:b/>
                <w:bCs/>
                <w:i w:val="false"/>
                <w:iCs w:val="false"/>
                <w:color w:val="FFFFFF"/>
                <w:sz w:val="20"/>
                <w:szCs w:val="20"/>
              </w:rPr>
              <w:t xml:space="preserve">Benefit</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Venue</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All-access and backstage passes to every show, every chapter — unlimited guests, for life</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Venue</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Permanently reserved table at The Union Stage — engraved brass nameplate</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Venue</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Reserved table at every future chapter from the day it opens</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Venue</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Annual private event buyout of The Union Stage at no cost</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Space</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Private named office in Zone E (one of the seven music industry coworking suites)</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Space</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Named rehearsal room in Zone A — permanent naming rights, your theme direction</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Space</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Personal Union Locker in Zone G — lifetime, engraved, no monthly fee</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Space</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Named parking space in the West Lot</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Access</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Priority booking across all hourly zones — 48-hour hold before general release</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Access</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Monthly Zone B production studio block (8 hours/month, yours to use or gift)</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Governance</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Full operational governance rights from Day 1</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Investment</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First right on future chapter investments — before outside capital is solicited</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Legacy</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Named on the building — Founders’ Wall and individual plaque at every chapter</w:t>
            </w:r>
          </w:p>
        </w:tc>
      </w:tr>
      <w:tr>
        <w:tc>
          <w:tcPr>
            <w:tcW w:type="dxa" w:w="180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Legacy</w:t>
            </w:r>
          </w:p>
        </w:tc>
        <w:tc>
          <w:tcPr>
            <w:tcW w:type="dxa" w:w="7560"/>
            <w:tcBorders>
              <w:top w:val="none" w:color="FFFFFF" w:sz="0"/>
              <w:left w:val="none" w:color="FFFFFF" w:sz="0"/>
              <w:bottom w:val="single" w:color="E0D8C8" w:sz="2"/>
              <w:right w:val="none" w:color="FFFFFF" w:sz="0"/>
            </w:tcBorders>
            <w:shd w:fill="FDF8F0"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Annual Founding Partner Dinner — private, with a commissioned performance</w:t>
            </w:r>
          </w:p>
        </w:tc>
      </w:tr>
      <w:tr>
        <w:tc>
          <w:tcPr>
            <w:tcW w:type="dxa" w:w="180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left"/>
            </w:pPr>
            <w:r>
              <w:rPr>
                <w:rFonts w:ascii="Arial" w:cs="Arial" w:eastAsia="Arial" w:hAnsi="Arial"/>
                <w:b w:val="false"/>
                <w:bCs w:val="false"/>
                <w:i w:val="false"/>
                <w:iCs w:val="false"/>
                <w:color w:val="555555"/>
                <w:sz w:val="20"/>
                <w:szCs w:val="20"/>
              </w:rPr>
              <w:t xml:space="preserve">Identity</w:t>
            </w:r>
          </w:p>
        </w:tc>
        <w:tc>
          <w:tcPr>
            <w:tcW w:type="dxa" w:w="7560"/>
            <w:tcBorders>
              <w:top w:val="none" w:color="FFFFFF" w:sz="0"/>
              <w:left w:val="none" w:color="FFFFFF" w:sz="0"/>
              <w:bottom w:val="single" w:color="E0D8C8" w:sz="2"/>
              <w:right w:val="none" w:color="FFFFFF" w:sz="0"/>
            </w:tcBorders>
            <w:shd w:fill="FFFFFF" w:val="clear"/>
            <w:tcMar>
              <w:top w:type="dxa" w:w="80"/>
              <w:left w:type="dxa" w:w="140"/>
              <w:bottom w:type="dxa" w:w="80"/>
              <w:right w:type="dxa" w:w="100"/>
            </w:tcMar>
            <w:vAlign w:val="center"/>
          </w:tcPr>
          <w:p>
            <w:pPr>
              <w:jc w:val="center"/>
            </w:pPr>
            <w:r>
              <w:rPr>
                <w:rFonts w:ascii="Arial" w:cs="Arial" w:eastAsia="Arial" w:hAnsi="Arial"/>
                <w:b w:val="false"/>
                <w:bCs w:val="false"/>
                <w:i w:val="false"/>
                <w:iCs w:val="false"/>
                <w:color w:val="555555"/>
                <w:sz w:val="20"/>
                <w:szCs w:val="20"/>
              </w:rPr>
              <w:t xml:space="preserve">Founding Partner card — heavier gauge, different finish, founding year etched</w:t>
            </w:r>
          </w:p>
        </w:tc>
      </w:tr>
    </w:tbl>
    <w:p>
      <w:pPr>
        <w:spacing w:before="80"/>
      </w:pPr>
    </w:p>
    <w:p>
      <w:pPr>
        <w:spacing w:before="60" w:after="120"/>
        <w:jc w:val="left"/>
      </w:pPr>
      <w:r>
        <w:rPr>
          <w:rFonts w:ascii="Arial" w:cs="Arial" w:eastAsia="Arial" w:hAnsi="Arial"/>
          <w:b w:val="false"/>
          <w:bCs w:val="false"/>
          <w:i w:val="false"/>
          <w:iCs w:val="false"/>
          <w:color w:val="555555"/>
          <w:sz w:val="22"/>
          <w:szCs w:val="22"/>
        </w:rPr>
        <w:t xml:space="preserve">These benefits exist because the people who write the first checks into a new institution deserve more than a K-1 and a quarterly update. They deserve to be founders — with everything that word implies about permanence, recognition, and belonging to something that will outlast the investment horizon.</w:t>
      </w:r>
    </w:p>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8640"/>
      </w:tblGrid>
      <w:tr>
        <w:tc>
          <w:tcPr>
            <w:tcBorders>
              <w:top w:val="none" w:color="FFFFFF" w:sz="0"/>
              <w:left w:val="none" w:color="FFFFFF" w:sz="0"/>
              <w:bottom w:val="none" w:color="FFFFFF" w:sz="0"/>
              <w:right w:val="none" w:color="FFFFFF" w:sz="0"/>
            </w:tcBorders>
            <w:shd w:fill="B8150C" w:val="clear"/>
            <w:tcMar>
              <w:top w:type="dxa" w:w="120"/>
              <w:left w:type="dxa" w:w="160"/>
              <w:bottom w:type="dxa" w:w="120"/>
              <w:right w:type="dxa" w:w="120"/>
            </w:tcMar>
            <w:vAlign w:val="center"/>
          </w:tcPr>
          <w:p>
            <w:pPr>
              <w:spacing w:before="60" w:after="100"/>
              <w:jc w:val="center"/>
            </w:pPr>
            <w:r>
              <w:rPr>
                <w:rFonts w:ascii="Georgia" w:cs="Georgia" w:eastAsia="Georgia" w:hAnsi="Georgia"/>
                <w:b/>
                <w:bCs/>
                <w:i w:val="false"/>
                <w:iCs w:val="false"/>
                <w:color w:val="FFFFFF"/>
                <w:sz w:val="36"/>
                <w:szCs w:val="36"/>
              </w:rPr>
              <w:t xml:space="preserve">IX</w:t>
            </w:r>
          </w:p>
        </w:tc>
        <w:tc>
          <w:tcPr>
            <w:tcBorders>
              <w:top w:val="none" w:color="FFFFFF" w:sz="0"/>
              <w:left w:val="none" w:color="FFFFFF" w:sz="0"/>
              <w:bottom w:val="none" w:color="FFFFFF" w:sz="0"/>
              <w:right w:val="none" w:color="FFFFFF" w:sz="0"/>
            </w:tcBorders>
            <w:shd w:fill="1C0C04" w:val="clear"/>
            <w:tcMar>
              <w:top w:type="dxa" w:w="100"/>
              <w:left w:type="dxa" w:w="200"/>
              <w:bottom w:type="dxa" w:w="100"/>
              <w:right w:type="dxa" w:w="200"/>
            </w:tcMar>
          </w:tcPr>
          <w:p>
            <w:pPr>
              <w:spacing w:before="60" w:after="20"/>
              <w:jc w:val="left"/>
            </w:pPr>
            <w:r>
              <w:rPr>
                <w:rFonts w:ascii="Georgia" w:cs="Georgia" w:eastAsia="Georgia" w:hAnsi="Georgia"/>
                <w:b/>
                <w:bCs/>
                <w:i w:val="false"/>
                <w:iCs w:val="false"/>
                <w:color w:val="FFFFFF"/>
                <w:sz w:val="26"/>
                <w:szCs w:val="26"/>
              </w:rPr>
              <w:t xml:space="preserve">The Founding Team</w:t>
            </w:r>
          </w:p>
          <w:p>
            <w:pPr>
              <w:spacing w:before="20" w:after="100"/>
              <w:jc w:val="left"/>
            </w:pPr>
            <w:r>
              <w:rPr>
                <w:rFonts w:ascii="Arial" w:cs="Arial" w:eastAsia="Arial" w:hAnsi="Arial"/>
                <w:b w:val="false"/>
                <w:bCs w:val="false"/>
                <w:i/>
                <w:iCs/>
                <w:color w:val="aaaaaa"/>
                <w:sz w:val="19"/>
                <w:szCs w:val="19"/>
              </w:rPr>
              <w:t xml:space="preserve">The people responsible for execution</w:t>
            </w:r>
          </w:p>
        </w:tc>
      </w:tr>
    </w:tbl>
    <w:p>
      <w:pPr>
        <w:spacing w:before="120"/>
      </w:pPr>
    </w:p>
    <w:p>
      <w:pPr>
        <w:spacing w:before="200" w:after="60"/>
      </w:pPr>
      <w:r>
        <w:rPr>
          <w:rFonts w:ascii="Arial" w:cs="Arial" w:eastAsia="Arial" w:hAnsi="Arial"/>
          <w:b/>
          <w:bCs/>
          <w:i w:val="false"/>
          <w:iCs w:val="false"/>
          <w:color w:val="1C0C04"/>
          <w:sz w:val="22"/>
          <w:szCs w:val="22"/>
        </w:rPr>
        <w:t xml:space="preserve">Taylor Robinson — Co-Founder, Technology &amp; Growth</w:t>
      </w:r>
    </w:p>
    <w:p>
      <w:pPr>
        <w:spacing w:before="60" w:after="120"/>
        <w:jc w:val="left"/>
      </w:pPr>
      <w:r>
        <w:rPr>
          <w:rFonts w:ascii="Arial" w:cs="Arial" w:eastAsia="Arial" w:hAnsi="Arial"/>
          <w:b w:val="false"/>
          <w:bCs w:val="false"/>
          <w:i w:val="false"/>
          <w:iCs w:val="false"/>
          <w:color w:val="555555"/>
          <w:sz w:val="22"/>
          <w:szCs w:val="22"/>
        </w:rPr>
        <w:t xml:space="preserve">Founder and CEO of Taylor Robinson Music (TRM) — the nation's largest private music lesson marketplace, with 323,000+ students served and 26,000+ active instructors across all 50 states. Full-stack engineer. Professional guitarist. Leads technology platform architecture, dynamic pricing systems, investor relations, and growth strategy. The automation layer of this business — the booking engine, the dynamic pricing, the smart-lock integration, the operational dashboard — is built by Taylor and represents the primary moat that no competing music campus operator possesses.</w:t>
      </w:r>
    </w:p>
    <w:p>
      <w:pPr>
        <w:spacing w:before="80"/>
      </w:pPr>
    </w:p>
    <w:p>
      <w:pPr>
        <w:spacing w:before="200" w:after="60"/>
      </w:pPr>
      <w:r>
        <w:rPr>
          <w:rFonts w:ascii="Arial" w:cs="Arial" w:eastAsia="Arial" w:hAnsi="Arial"/>
          <w:b/>
          <w:bCs/>
          <w:i w:val="false"/>
          <w:iCs w:val="false"/>
          <w:color w:val="1C0C04"/>
          <w:sz w:val="22"/>
          <w:szCs w:val="22"/>
        </w:rPr>
        <w:t xml:space="preserve">Daniel Lindenberg — Co-Founder, Real Estate &amp; Finance</w:t>
      </w:r>
    </w:p>
    <w:p>
      <w:pPr>
        <w:spacing w:before="60" w:after="120"/>
        <w:jc w:val="left"/>
      </w:pPr>
      <w:r>
        <w:rPr>
          <w:rFonts w:ascii="Arial" w:cs="Arial" w:eastAsia="Arial" w:hAnsi="Arial"/>
          <w:b w:val="false"/>
          <w:bCs w:val="false"/>
          <w:i w:val="false"/>
          <w:iCs w:val="false"/>
          <w:color w:val="555555"/>
          <w:sz w:val="22"/>
          <w:szCs w:val="22"/>
        </w:rPr>
        <w:t xml:space="preserve">Partner at JAR Real Estate (Houston/TX), specializing in retail strip center acquisition, development, leasing, and property management across 12+ Texas properties. Former VP Operations, AEGIS Hedging Solutions. Leads acquisition structuring and financing, construction management, commercial leasing, and lender relations. This is not his first repositioning of a Class B flex building in a Texas growth market.</w:t>
      </w:r>
    </w:p>
    <w:p>
      <w:pPr>
        <w:spacing w:before="80"/>
      </w:pPr>
    </w:p>
    <w:p>
      <w:pPr>
        <w:spacing w:before="200" w:after="60"/>
      </w:pPr>
      <w:r>
        <w:rPr>
          <w:rFonts w:ascii="Arial" w:cs="Arial" w:eastAsia="Arial" w:hAnsi="Arial"/>
          <w:b/>
          <w:bCs/>
          <w:i w:val="false"/>
          <w:iCs w:val="false"/>
          <w:color w:val="1C0C04"/>
          <w:sz w:val="22"/>
          <w:szCs w:val="22"/>
        </w:rPr>
        <w:t xml:space="preserve">Jeff Munn — Co-Founder, General Manager</w:t>
      </w:r>
    </w:p>
    <w:p>
      <w:pPr>
        <w:spacing w:before="60" w:after="120"/>
        <w:jc w:val="left"/>
      </w:pPr>
      <w:r>
        <w:rPr>
          <w:rFonts w:ascii="Arial" w:cs="Arial" w:eastAsia="Arial" w:hAnsi="Arial"/>
          <w:b w:val="false"/>
          <w:bCs w:val="false"/>
          <w:i w:val="false"/>
          <w:iCs w:val="false"/>
          <w:color w:val="555555"/>
          <w:sz w:val="22"/>
          <w:szCs w:val="22"/>
        </w:rPr>
        <w:t xml:space="preserve">BS Engineering Physics, Colorado School of Mines. 20+ years as a professional working musician. 500+ active Austin music industry connections spanning working bands, session musicians, engineers, producers, booking agents, venue operators, and label professionals. Jeff is the community asset that makes Zone F work and the programming calendar credible. His network is the shortcut to stabilized occupancy that no capital infusion can replicate.</w:t>
      </w:r>
    </w:p>
    <w:p>
      <w:pPr>
        <w:spacing w:before="200"/>
      </w:pPr>
    </w:p>
    <w:p>
      <w:pPr>
        <w:pBdr>
          <w:bottom w:val="single" w:color="B8150C" w:sz="8"/>
        </w:pBdr>
        <w:spacing w:before="160" w:after="160"/>
      </w:pPr>
    </w:p>
    <w:p>
      <w:pPr>
        <w:spacing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150C" w:sz="24"/>
              <w:bottom w:val="none" w:color="FFFFFF" w:sz="0"/>
              <w:right w:val="none" w:color="FFFFFF" w:sz="0"/>
            </w:tcBorders>
            <w:shd w:fill="FDF8F0" w:val="clear"/>
            <w:tcMar>
              <w:top w:type="dxa" w:w="200"/>
              <w:left w:type="dxa" w:w="320"/>
              <w:bottom w:type="dxa" w:w="200"/>
              <w:right w:type="dxa" w:w="280"/>
            </w:tcMar>
          </w:tcPr>
          <w:p>
            <w:pPr>
              <w:spacing w:before="60" w:after="100"/>
              <w:jc w:val="left"/>
            </w:pPr>
            <w:r>
              <w:rPr>
                <w:rFonts w:ascii="Georgia" w:cs="Georgia" w:eastAsia="Georgia" w:hAnsi="Georgia"/>
                <w:b w:val="false"/>
                <w:bCs w:val="false"/>
                <w:i/>
                <w:iCs/>
                <w:color w:val="1C0C04"/>
                <w:sz w:val="24"/>
                <w:szCs w:val="24"/>
              </w:rPr>
              <w:t xml:space="preserve">The Music Union 512 is the right model for an investor who has been right about automated real estate — and who is now looking for the deal that the rest of that investor class has not yet found. The self-storage instinct is correct. The application is new. The category is uncrowded. The returns are asymmetric.</w:t>
            </w:r>
          </w:p>
        </w:tc>
      </w:tr>
    </w:tbl>
    <w:p>
      <w:pPr>
        <w:spacing w:before="120"/>
      </w:pPr>
    </w:p>
    <w:p>
      <w:pPr>
        <w:spacing w:before="60" w:after="120"/>
        <w:jc w:val="left"/>
      </w:pPr>
      <w:r>
        <w:rPr>
          <w:rFonts w:ascii="Arial" w:cs="Arial" w:eastAsia="Arial" w:hAnsi="Arial"/>
          <w:b w:val="false"/>
          <w:bCs w:val="false"/>
          <w:i w:val="false"/>
          <w:iCs w:val="false"/>
          <w:color w:val="1C0C04"/>
          <w:sz w:val="22"/>
          <w:szCs w:val="22"/>
        </w:rPr>
        <w:t xml:space="preserve">For more information, financial model access, or to schedule a conversation:</w:t>
      </w:r>
    </w:p>
    <w:p>
      <w:pPr>
        <w:spacing w:before="40"/>
      </w:pPr>
    </w:p>
    <w:p>
      <w:pPr>
        <w:spacing w:before="20" w:after="40"/>
        <w:jc w:val="left"/>
      </w:pPr>
      <w:r>
        <w:rPr>
          <w:rFonts w:ascii="Arial" w:cs="Arial" w:eastAsia="Arial" w:hAnsi="Arial"/>
          <w:b/>
          <w:bCs/>
          <w:i w:val="false"/>
          <w:iCs w:val="false"/>
          <w:color w:val="1C0C04"/>
          <w:sz w:val="22"/>
          <w:szCs w:val="22"/>
        </w:rPr>
        <w:t xml:space="preserve">Taylor Robinson  ·  </w:t>
      </w:r>
      <w:r>
        <w:rPr>
          <w:rFonts w:ascii="Arial" w:cs="Arial" w:eastAsia="Arial" w:hAnsi="Arial"/>
          <w:b w:val="false"/>
          <w:bCs w:val="false"/>
          <w:i w:val="false"/>
          <w:iCs w:val="false"/>
          <w:color w:val="888888"/>
          <w:sz w:val="22"/>
          <w:szCs w:val="22"/>
        </w:rPr>
        <w:t xml:space="preserve">musicunion.co  ·  Chapter 512  ·  Austin, Texas</w:t>
      </w:r>
    </w:p>
    <w:p>
      <w:pPr>
        <w:spacing w:before="160"/>
      </w:pPr>
    </w:p>
    <w:p>
      <w:pPr>
        <w:pBdr>
          <w:bottom w:val="single" w:color="C9A84C" w:sz="8"/>
        </w:pBdr>
        <w:spacing w:before="40" w:after="80"/>
      </w:pPr>
    </w:p>
    <w:p>
      <w:pPr>
        <w:spacing w:before="60"/>
      </w:pPr>
    </w:p>
    <w:p>
      <w:pPr>
        <w:spacing w:before="60" w:after="100"/>
        <w:jc w:val="left"/>
      </w:pPr>
      <w:r>
        <w:rPr>
          <w:rFonts w:ascii="Arial" w:cs="Arial" w:eastAsia="Arial" w:hAnsi="Arial"/>
          <w:b w:val="false"/>
          <w:bCs w:val="false"/>
          <w:i/>
          <w:iCs/>
          <w:color w:val="aaaaaa"/>
          <w:sz w:val="18"/>
          <w:szCs w:val="18"/>
        </w:rPr>
        <w:t xml:space="preserve">This document is provided for informational and discussion purposes only. It does not constitute an offer to sell or solicitation to buy securities. All projections are based on management estimates and assumptions; actual results may differ materially. All investors should conduct independent due diligence and obtain legal, tax, and financial counsel before making any investment decision. Past performance of related businesses is not indicative of future results.</w:t>
      </w:r>
    </w:p>
    <w:sectPr>
      <w:pgSz w:w="12240" w:h="15840" w:orient="portrait"/>
      <w:pgMar w:top="1260" w:right="1260" w:bottom="126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40"/>
      </w:pPr>
      <w:rPr>
        <w:rFonts w:ascii="Arial" w:cs="Arial" w:eastAsia="Arial" w:hAnsi="Arial"/>
        <w:color w:val="C9A84C"/>
      </w:r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C0C04"/>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2026-04-01T22:08:37.775Z</dcterms:created>
  <dcterms:modified xsi:type="dcterms:W3CDTF">2026-04-01T22:08:37.776Z</dcterms:modified>
</cp:coreProperties>
</file>

<file path=docProps/custom.xml><?xml version="1.0" encoding="utf-8"?>
<Properties xmlns="http://schemas.openxmlformats.org/officeDocument/2006/custom-properties" xmlns:vt="http://schemas.openxmlformats.org/officeDocument/2006/docPropsVTypes"/>
</file>