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600"/>
      </w:pPr>
    </w:p>
    <w:p>
      <w:pPr>
        <w:spacing w:after="120"/>
        <w:jc w:val="center"/>
      </w:pPr>
      <w:r>
        <w:rPr>
          <w:rFonts w:ascii="Montserrat" w:cs="Montserrat" w:eastAsia="Montserrat" w:hAnsi="Montserrat"/>
          <w:b/>
          <w:bCs/>
          <w:color w:val="0C1525"/>
          <w:sz w:val="52"/>
          <w:szCs w:val="52"/>
        </w:rPr>
        <w:t xml:space="preserve">RESISTÊNCIA À INSULINA</w:t>
      </w:r>
    </w:p>
    <w:p>
      <w:pPr>
        <w:spacing w:after="80"/>
        <w:jc w:val="center"/>
      </w:pPr>
      <w:r>
        <w:rPr>
          <w:rFonts w:ascii="Playfair Display" w:cs="Playfair Display" w:eastAsia="Playfair Display" w:hAnsi="Playfair Display"/>
          <w:i/>
          <w:iCs/>
          <w:color w:val="C8A96E"/>
          <w:sz w:val="30"/>
          <w:szCs w:val="30"/>
        </w:rPr>
        <w:t xml:space="preserve">A Epidemia Silenciosa Que Começa Décadas</w:t>
      </w:r>
    </w:p>
    <w:p>
      <w:pPr>
        <w:spacing w:after="40"/>
        <w:jc w:val="center"/>
      </w:pPr>
      <w:r>
        <w:rPr>
          <w:rFonts w:ascii="Playfair Display" w:cs="Playfair Display" w:eastAsia="Playfair Display" w:hAnsi="Playfair Display"/>
          <w:i/>
          <w:iCs/>
          <w:color w:val="C8A96E"/>
          <w:sz w:val="30"/>
          <w:szCs w:val="30"/>
        </w:rPr>
        <w:t xml:space="preserve">Antes do Diagnóstico</w:t>
      </w:r>
    </w:p>
    <w:p>
      <w:pPr>
        <w:pBdr>
          <w:bottom w:val="single" w:color="C8A96E" w:sz="4" w:space="1"/>
        </w:pBdr>
        <w:spacing w:after="300" w:before="300"/>
      </w:pPr>
    </w:p>
    <w:p>
      <w:pPr>
        <w:spacing w:after="400"/>
        <w:jc w:val="center"/>
      </w:pPr>
      <w:r>
        <w:rPr>
          <w:rFonts w:ascii="Montserrat" w:cs="Montserrat" w:eastAsia="Montserrat" w:hAnsi="Montserrat"/>
          <w:color w:val="777777"/>
          <w:sz w:val="20"/>
          <w:szCs w:val="20"/>
        </w:rPr>
        <w:t xml:space="preserve">Por João Almeida  —  Nutricionista Funcional  —  Método MPM</w:t>
      </w: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QUANDO A GLICOSE ESTÁ “NORMAL”, MAS O CORPO JÁ ADOECEU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Você faz exame de rotina. O médico olha a glicose de jejum: 94 mg/dL. Diz que está tudo bem. Manda você voltar em um ano.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Mas nos últimos meses, você percebeu que o cansaço ficou mais pesado. A barriga cresceu, mesmo sem mudar a alimentação. O sono piorou. A concentração fugiu. E uma vontade quase incontrolável de comer doce aparece todo dia depois do almoço.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Nada disso aparece no exame. Mas tudo isso tem uma causa — e ela já está operando no seu corpo há anos.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Essa causa se chama resistência à insulina.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 E ela é a raiz metabólica de mais doenças crônicas do que a maioria dos profissionais de saúde investiga.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O QUE É RESISTÊNCIA À INSULINA — E POR QUE ELA ESCAPA DOS EXAMES CONVENCIONAIS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insulina é um hormônio produzido pelo pâncreas toda vez que você come. Sua função principal é abrir as portas das células para a glicose entrar e ser usada como energia.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Na resistência à insulina, essas portas começam a travar. As células musculares, hepáticas e adiposas perdem sensibilidade ao sinal da insulina. O resultado? O pâncreas precisa produzir cada vez mais insulina para manter a glicose dentro da faixa considerada “normal”.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E aqui está o problema central: </w:t>
      </w: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a glicose de jejum é o último marcador a subir.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 Durante 10 a 15 anos, sua insulina pode estar cronicamente elevada, seu pâncreas trabalhando em sobrecarga, e seu corpo acumulando lesões metabólicas — enquanto a glicose continua “normal” no papel.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C8A96E" w:sz="8"/>
              <w:bottom w:val="none" w:color="FFFFFF" w:sz="0"/>
              <w:right w:val="none" w:color="FFFFFF" w:sz="0"/>
            </w:tcBorders>
            <w:shd w:fill="F5F3EE" w:val="clear"/>
            <w:tcMar>
              <w:top w:type="dxa" w:w="140"/>
              <w:left w:type="dxa" w:w="240"/>
              <w:bottom w:type="dxa" w:w="140"/>
              <w:right w:type="dxa" w:w="200"/>
            </w:tcMar>
          </w:tcPr>
          <w:p>
            <w:pPr>
              <w:spacing w:after="80"/>
            </w:pPr>
            <w:r>
              <w:rPr>
                <w:rFonts w:ascii="Playfair Display" w:cs="Playfair Display" w:eastAsia="Playfair Display" w:hAnsi="Playfair Display"/>
                <w:i/>
                <w:iCs/>
                <w:color w:val="0C1525"/>
                <w:sz w:val="24"/>
                <w:szCs w:val="24"/>
              </w:rPr>
              <w:t xml:space="preserve">“A resistência à insulina precede o diabetes tipo 2 em 10 a 15 anos. O diagnóstico convencional identifica a doença quando ela já está instalada, não quando ela começa.”</w:t>
            </w:r>
          </w:p>
          <w:p>
            <w:r>
              <w:rPr>
                <w:rFonts w:ascii="Georgia" w:cs="Georgia" w:eastAsia="Georgia" w:hAnsi="Georgia"/>
                <w:color w:val="C8A96E"/>
                <w:sz w:val="20"/>
                <w:szCs w:val="20"/>
              </w:rPr>
              <w:t xml:space="preserve">— Tabak AG et al., The Lancet, 2012</w:t>
            </w:r>
          </w:p>
        </w:tc>
      </w:tr>
    </w:tbl>
    <w:p>
      <w:pPr>
        <w:spacing w:before="200"/>
      </w:pP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Esse intervalo é o que chamamos de janela de oportunidade. É onde a intervenção nutricional, o manejo do estilo de vida e o olhar da medicina funcional fazem a maior diferença. Não quando a doença já se instalou — mas quando ela ainda pode ser revertida.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OS SINAIS QUE SEU CORPO DÁ (E QUE SÃO IGNORADOS)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resistência à insulina não é uma doença silenciosa. Ela grita. O problema é que poucos profissionais estão ouvindo. Estes são os sinais mais frequentes que observo na prática clínica:</w:t>
      </w:r>
    </w:p>
    <w:p>
      <w:pPr>
        <w:pStyle w:val="Heading3"/>
        <w:spacing w:after="120" w:before="220"/>
      </w:pPr>
      <w:r>
        <w:rPr>
          <w:rFonts w:ascii="Montserrat" w:cs="Montserrat" w:eastAsia="Montserrat" w:hAnsi="Montserrat"/>
          <w:b/>
          <w:bCs/>
          <w:color w:val="C8A96E"/>
          <w:sz w:val="23"/>
          <w:szCs w:val="23"/>
        </w:rPr>
        <w:t xml:space="preserve">Sinais Metabólicos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Acúmulo de gordura visceral (abdominal):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insulina elevada é o principal hormônio lipogênico. Ela sinaliza ao corpo para armazenar gordura, especialmente na região abdominal. Não é falta de exercício — é bioquímica.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Sono excessivo após refeições: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sonolência pós-prandial não é “digestão pesada”. É um pico de glicose seguido de queda reativa, mediado por hiperinsulinemia compensatória. O cérebro literalmente perde substrato energético transitório.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Dificuldade progressiva de perder peso: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Quando a insulina está cronicamente alta, o corpo entra em modo de armazenamento. A lipólise (queima de gordura) é inibida mesmo em déficit calórico. É por isso que muitas pessoas “fazem tudo certo” e não emagrecem.</w:t>
      </w:r>
    </w:p>
    <w:p>
      <w:pPr>
        <w:pStyle w:val="Heading3"/>
        <w:spacing w:after="120" w:before="220"/>
      </w:pPr>
      <w:r>
        <w:rPr>
          <w:rFonts w:ascii="Montserrat" w:cs="Montserrat" w:eastAsia="Montserrat" w:hAnsi="Montserrat"/>
          <w:b/>
          <w:bCs/>
          <w:color w:val="C8A96E"/>
          <w:sz w:val="23"/>
          <w:szCs w:val="23"/>
        </w:rPr>
        <w:t xml:space="preserve">Sinais Hormonais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Síndrome dos ovários policísticos (SOP):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hiperinsulinemia estimula a produção ovariana de andrógenos. A resistência à insulina é considerada o mecanismo central da SOP em até 70% dos casos (Diamanti-Kandarakis &amp; Dunaif, Endocr Rev 2012).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Queda de testosterona em homens: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insulina elevada aumenta a atividade da aromatase no tecido adiposo, convertendo testosterona em estradiol. Resultado: fadiga, perda de massa muscular, libido reduzida.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Alterações tireoidianas funcionais: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resistência insulínica prejudica a conversão periférica de T4 em T3 (hormônio ativo). Muitos pacientes com “tireoide normal” têm, na verdade, uma conversão comprometida por desregulação metabólica.</w:t>
      </w:r>
    </w:p>
    <w:p>
      <w:pPr>
        <w:pStyle w:val="Heading3"/>
        <w:spacing w:after="120" w:before="220"/>
      </w:pPr>
      <w:r>
        <w:rPr>
          <w:rFonts w:ascii="Montserrat" w:cs="Montserrat" w:eastAsia="Montserrat" w:hAnsi="Montserrat"/>
          <w:b/>
          <w:bCs/>
          <w:color w:val="C8A96E"/>
          <w:sz w:val="23"/>
          <w:szCs w:val="23"/>
        </w:rPr>
        <w:t xml:space="preserve">Sinais Cognitivos e Neurais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Névoa mental e perda de foco: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O cérebro é altamente dependente de glicose. Quando a sinalização insulínica cerebral falha, a captação de glicose neuronal diminui. Estudos recentes classificam Alzheimer como “diabetes tipo 3” (de la Monte &amp; Wands, J Alzheimers Dis 2008).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Compulsão alimentar: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hiperinsulinemia altera a sinalização de leptina e grelina no hipotálamo, gerando um ciclo de fome constante que não tem nada a ver com “falta de força de vontade” — é disrupção neuroendócrina.</w:t>
      </w:r>
    </w:p>
    <w:p>
      <w:pPr>
        <w:pStyle w:val="Heading3"/>
        <w:spacing w:after="120" w:before="220"/>
      </w:pPr>
      <w:r>
        <w:rPr>
          <w:rFonts w:ascii="Montserrat" w:cs="Montserrat" w:eastAsia="Montserrat" w:hAnsi="Montserrat"/>
          <w:b/>
          <w:bCs/>
          <w:color w:val="C8A96E"/>
          <w:sz w:val="23"/>
          <w:szCs w:val="23"/>
        </w:rPr>
        <w:t xml:space="preserve">Sinais Cardiovasculares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Hipertensão sem causa aparente: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insulina elevada promove retenção de sódio pelos rins e ativação simpática, elevando a pressão arterial. Muitos hipertensos “essenciais” são, na realidade, hiperinsulinêmicos não investigados.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Dislipidemia aterogªnica: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Triglicerídeos altos com HDL baixo é a assinatura lipídica da resistência insulínica. O LDL total pode estar “normal”, mas as partículas estão pequenas e densas (padrão B) — o tipo mais aterogênico.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OS EXAMES QUE REALMENTE INVESTIGAM RESISTÊNCIA À INSULINA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glicose de jejum isolada é insuficiente para diagnosticar resistência à insulina. Quando ela está alterada, o processo já avançou significativamente. No Método MPM, utilizamos um painel metabólico expandido que identifica a disfunção antes da doença:</w:t>
      </w:r>
    </w:p>
    <w:p>
      <w:pPr>
        <w:spacing w:before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2200"/>
        <w:gridCol w:w="4560"/>
      </w:tblGrid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0C152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0"/>
                <w:szCs w:val="20"/>
              </w:rPr>
              <w:t xml:space="preserve">Exame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0C152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0"/>
                <w:szCs w:val="20"/>
              </w:rPr>
              <w:t xml:space="preserve">Faixa Funcional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0C152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0"/>
                <w:szCs w:val="20"/>
              </w:rPr>
              <w:t xml:space="preserve">O Que Revela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20"/>
                <w:szCs w:val="20"/>
              </w:rPr>
              <w:t xml:space="preserve">Insulina Basal (Jejum)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20"/>
                <w:szCs w:val="20"/>
              </w:rPr>
              <w:t xml:space="preserve">&lt; 8 µU/mL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9"/>
                <w:szCs w:val="19"/>
              </w:rPr>
              <w:t xml:space="preserve">Marcador mais sensível que a glicose. Se &gt; 10, já há hiperinsulinemia compensatória, mesmo com glicose normal.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20"/>
                <w:szCs w:val="20"/>
              </w:rPr>
              <w:t xml:space="preserve">HOMA-IR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20"/>
                <w:szCs w:val="20"/>
              </w:rPr>
              <w:t xml:space="preserve">&lt; 2,0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9"/>
                <w:szCs w:val="19"/>
              </w:rPr>
              <w:t xml:space="preserve">Calcula a resistência insulínica a partir de glicose e insulina de jejum. Acima de 2,5 indica RI estabelecida (Bonora et al., 2000).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20"/>
                <w:szCs w:val="20"/>
              </w:rPr>
              <w:t xml:space="preserve">HOMA-Beta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20"/>
                <w:szCs w:val="20"/>
              </w:rPr>
              <w:t xml:space="preserve">80–120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9"/>
                <w:szCs w:val="19"/>
              </w:rPr>
              <w:t xml:space="preserve">Avalia a capacidade funcional das células beta pancreáticas. Valores muito elevados indicam pâncreas em sobrecarga compensatória.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20"/>
                <w:szCs w:val="20"/>
              </w:rPr>
              <w:t xml:space="preserve">Hemoglobina Glicada (HbA1c)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20"/>
                <w:szCs w:val="20"/>
              </w:rPr>
              <w:t xml:space="preserve">&lt; 5,3%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9"/>
                <w:szCs w:val="19"/>
              </w:rPr>
              <w:t xml:space="preserve">Média glicêmica dos últimos 90 dias. Faixa laboratorial “normal” vai até 5,7%, mas danos vasculares já ocorrem acima de 5,3%.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20"/>
                <w:szCs w:val="20"/>
              </w:rPr>
              <w:t xml:space="preserve">Curva Glicêmica e Insulínica (4h)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20"/>
                <w:szCs w:val="20"/>
              </w:rPr>
              <w:t xml:space="preserve">Individualizada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9"/>
                <w:szCs w:val="19"/>
              </w:rPr>
              <w:t xml:space="preserve">Padrão-ouro funcional. Avalia pico, tempo de retorno e proporcionalidade da resposta insulínica. Revela hipoglicemia reativa oculta.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20"/>
                <w:szCs w:val="20"/>
              </w:rPr>
              <w:t xml:space="preserve">Triglicerídeos / HDL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20"/>
                <w:szCs w:val="20"/>
              </w:rPr>
              <w:t xml:space="preserve">&lt; 2,0 (ideal &lt; 1,5)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9"/>
                <w:szCs w:val="19"/>
              </w:rPr>
              <w:t xml:space="preserve">Ratio simples e poderoso. Acima de 3,0 correlaciona fortemente com resistência insulínica e partículas LDL pequenas e densas.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20"/>
                <w:szCs w:val="20"/>
              </w:rPr>
              <w:t xml:space="preserve">PCR ultrassensível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20"/>
                <w:szCs w:val="20"/>
              </w:rPr>
              <w:t xml:space="preserve">&lt; 1,0 mg/L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9"/>
                <w:szCs w:val="19"/>
              </w:rPr>
              <w:t xml:space="preserve">Marcador de inflamação sistêmica. Inflamação crônica de baixo grau amplifica e é amplificada pela resistência insulínica.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20"/>
                <w:szCs w:val="20"/>
              </w:rPr>
              <w:t xml:space="preserve">Ácido Úrico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20"/>
                <w:szCs w:val="20"/>
              </w:rPr>
              <w:t xml:space="preserve">&lt; 5,5 mg/dL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9"/>
                <w:szCs w:val="19"/>
              </w:rPr>
              <w:t xml:space="preserve">Marcador metabólico subestimado. Hiperuricemia está associada a RI, síndrome metabólica e esteatose hepática (Zhu et al., PLoS One 2014).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20"/>
                <w:szCs w:val="20"/>
              </w:rPr>
              <w:t xml:space="preserve">Ferritina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20"/>
                <w:szCs w:val="20"/>
              </w:rPr>
              <w:t xml:space="preserve">30–150 ng/mL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9"/>
                <w:szCs w:val="19"/>
              </w:rPr>
              <w:t xml:space="preserve">Ferritina elevada (sem anemia) pode indicar inflamação, sobrecarga de ferro ou resistência insulínica hepática.</w:t>
            </w:r>
          </w:p>
        </w:tc>
      </w:tr>
    </w:tbl>
    <w:p>
      <w:pPr>
        <w:spacing w:before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8A96E" w:sz="2"/>
              <w:left w:val="single" w:color="C8A96E" w:sz="2"/>
              <w:bottom w:val="none" w:color="FFFFFF" w:sz="0"/>
              <w:right w:val="single" w:color="C8A96E" w:sz="2"/>
            </w:tcBorders>
            <w:shd w:fill="0C1525" w:val="clear"/>
            <w:tcMar>
              <w:top w:type="dxa" w:w="100"/>
              <w:left w:type="dxa" w:w="180"/>
              <w:bottom w:type="dxa" w:w="100"/>
              <w:right w:type="dxa" w:w="18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2"/>
                <w:szCs w:val="22"/>
              </w:rPr>
              <w:t xml:space="preserve">POR QUE A GLICOSE DE JEJUM SOZINHA NÃO BASTA</w:t>
            </w:r>
          </w:p>
        </w:tc>
      </w:tr>
      <w:tr>
        <w:tc>
          <w:tcPr>
            <w:tcW w:type="dxa" w:w="9360"/>
            <w:tcBorders>
              <w:top w:val="none" w:color="FFFFFF" w:sz="0"/>
              <w:left w:val="single" w:color="C8A96E" w:sz="2"/>
              <w:bottom w:val="single" w:color="C8A96E" w:sz="2"/>
              <w:right w:val="single" w:color="C8A96E" w:sz="2"/>
            </w:tcBorders>
            <w:shd w:fill="111D2E" w:val="clear"/>
            <w:tcMar>
              <w:top w:type="dxa" w:w="120"/>
              <w:left w:type="dxa" w:w="180"/>
              <w:bottom w:type="dxa" w:w="140"/>
              <w:right w:type="dxa" w:w="18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Imagine um carro com o acelerador preso no fundo. A velocidade (glicose) pode estar controlada — porque o freio (insulina) está sendo forçado ao máximo.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O carro anda “normal”. Mas o motor está em colapso.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Medir só a glicose é olhar só para o velocímetro. Sem checar o motor, você não sabe que está a caminho de uma pane.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A insulina basal e o HOMA-IR são o painel completo do motor metabólico.</w:t>
            </w:r>
          </w:p>
        </w:tc>
      </w:tr>
    </w:tbl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AS CAUSAS-RAIZ DA RESISTÊNCIA À INSULINA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resistência insulínica não surge do nada. Ela é o resultado final de uma convergência de fatores que operam de forma crônica e sinergética: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1. Alimentação Pró-Inflamatória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Ultraprocessados, óleos vegetais refinados (soja, canola, girassol), excesso de frutose industrial e carboidratos de alta carga glicêmica geram inflamação crônica de baixo grau. Citocinas inflamatórias como TNF-α e IL-6 interferem diretamente na sinalização do receptor de insulina (Hotamisligil, Nature 2006).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2. Privalção de Sono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Uma única noite de sono restrito (4–5 horas) reduz a sensibilidade insulínica em até 25% (Spiegel et al., The Lancet 1999). O sono é quando o corpo recalibra os receptores hormonais. Sono ruim crônico é um dos principais aceleradores de resistência insulínica — e talvez o mais subestimado.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3. Sedentarismo e Perda de Massa Muscular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O músculo esquelético é o maior depósito de glicose do corpo. Responde por aproximadamente 80% da captação de glicose mediada por insulina. Menos músculo = menos capacidade de absorver glicose = mais insulina necessária. A sarcopenia após os 30 anos agrava exponencialmente esse quadro.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4. Estresse Crônico e Cortisol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O cortisol cronicamente elevado promove gliconeogênese hepática (o fígado produz glicose mesmo sem necessidade), antagoniza a ação da insulina e redireciona o armazenamento de gordura para a região visceral. Estresse crônico não é “psicológico” — é metabólico.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5. Disbiose Intestinal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microbiota intestinal modula diretamente a sensibilidade insulínica. A permeabilidade intestinal aumentada (“leaky gut”) permite a translocação de lipopolissacarídeos (LPS) bacterianos para a circulação, ativando vias inflamatórias sistêmicas via TLR4 que pioram a resistência insulínica (Cani et al., Diabetes 2007).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6. Toxinas Ambientais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Disruptores endócrinos como BPA (plásticos), ftalatos (cosméticos) e agrotóxicos organofosforados interferem na sinalização insulínica e na função pancreática. A exposição ambiental crônica é uma causa emergente de resistência insulínica que a endocrinologia convencional ainda não incorporou na rotina clínica (Gore et al., Endocr Rev 2015).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A ABORDAGEM DO MÉTODO MPM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No Método MPM, não tratamos glicose. Tratamos o terreno metabólico que gerou a resistência. A intervenção é personalizada, mas segue pilares fundamentais: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1 — Investigação Profunda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Todo paciente passa por um painel metabólico expandido (descrito acima), avaliação de composição corporal, análise de microbiota, mapeamento hormonal e, quando indicado, curva glicêmica e insulínica de 4 horas. Não fazemos diagnóstico por glicose de jejum.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2 — Nutrição Estratégica (Não Restritiva)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abordagem não é cortar carboidrato. É modular a resposta glicêmica com estratégia: priorizar fibras e gorduras boas antes da carga glicêmica, usar proteína como âncora metabólica, incluir compostos fenolólicos (berberina, canela, ácido alfa-lipóico) que mimetizam vias insulínicas via AMPK, e personalizar a janela alimentar com base no cronotipo e na resposta glicêmica individual (monitorada por CGM quando indicado).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3 — Músculo Como Órgão Endócrino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Treinamento de força não é estética. É a intervenção mais potente para restaurar sensibilidade insulínica. A contração muscular ativa o GLUT-4 por via independente de insulina, captando glicose mesmo quando o receptor está comprometido. No MPM, o treino é prescrito como parte do protocolo clínico, não como “orientação geral”.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4 — Sono e Ritmo Circadiano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Restaurar o sono profundo é prioridade clínica. Isso inclui otimização de magnésio (bisglicinato e L-treonato), exposição matinal à luz solar, redução de luz azul noturna e, quando necessário, modulação de melatonina e GABA. O sono é o momento em que o corpo recalibra a sensibilidade dos receptores hormonais.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5 — Gestão do Estresse e Cortisol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Protocolo de modulação do eixo HPA com adaptógenos (Ashwagandha KSM-66, Rhodiola), fosfatidilserina, práticas de coerência cardíaca e reestruturação da carga alostática. O cortisol cronicamente elevado sabota qualquer protocolo nutricional — é preciso tratá-lo como variável clínica, não como “frescura”.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6 — Saúde Intestinal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Restaurar a barreira intestinal, modular a microbiota com probióticos específicos (cepas com evidência para sensibilidade insulínica, como L. rhamnosus e A. muciniphila), e reduzir a carga de LPS circulante. O intestino é o primeiro órgão metabólico — não o último.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O QUE ACONTECE QUANDO A RESISTÊNCIA INSULÍNICA NÃO É TRATADA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resistência à insulina não é um diagnóstico isolado. É o solo fértil de onde brotam as principais doenças crônicas da modernidade:</w:t>
      </w:r>
    </w:p>
    <w:p>
      <w:pPr>
        <w:spacing w:before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8A96E" w:sz="2"/>
              <w:left w:val="single" w:color="C8A96E" w:sz="2"/>
              <w:bottom w:val="none" w:color="FFFFFF" w:sz="0"/>
              <w:right w:val="single" w:color="C8A96E" w:sz="2"/>
            </w:tcBorders>
            <w:shd w:fill="0C1525" w:val="clear"/>
            <w:tcMar>
              <w:top w:type="dxa" w:w="100"/>
              <w:left w:type="dxa" w:w="180"/>
              <w:bottom w:type="dxa" w:w="100"/>
              <w:right w:type="dxa" w:w="18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2"/>
                <w:szCs w:val="22"/>
              </w:rPr>
              <w:t xml:space="preserve">CASCATA DE CONSEQUÊNCIAS DA RI NÃO TRATADA</w:t>
            </w:r>
          </w:p>
        </w:tc>
      </w:tr>
      <w:tr>
        <w:tc>
          <w:tcPr>
            <w:tcW w:type="dxa" w:w="9360"/>
            <w:tcBorders>
              <w:top w:val="none" w:color="FFFFFF" w:sz="0"/>
              <w:left w:val="single" w:color="C8A96E" w:sz="2"/>
              <w:bottom w:val="single" w:color="C8A96E" w:sz="2"/>
              <w:right w:val="single" w:color="C8A96E" w:sz="2"/>
            </w:tcBorders>
            <w:shd w:fill="111D2E" w:val="clear"/>
            <w:tcMar>
              <w:top w:type="dxa" w:w="120"/>
              <w:left w:type="dxa" w:w="180"/>
              <w:bottom w:type="dxa" w:w="140"/>
              <w:right w:type="dxa" w:w="18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Diabetes Tipo 2 — A progressão natural quando o pâncreas exaure sua capacidade compensatória.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Doença Cardiovascular — A RI promove aterosclerose via dislipidemia, inflamação e disfunção endotelial. É fator de risco independente para infarto e AVC.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Esteatose Hepática (Fígado Gorduroso) — A hiperinsulinemia direciona ácidos graxos para o fígado. Até 30% da população adulta tem fígado gorduroso sem saber.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Síndrome dos Ovários Policísticos — Até 70% das mulheres com SOP têm RI como mecanismo central.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Alzheimer (Diabetes Tipo 3) — A resistência insulínica cerebral compromete a captação de glicose neuronal e a depuração de beta-amiloide.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Câncer — A insulina é fator de crescimento. Hiperinsulinemia crônica ativa vias proliferativas (IGF-1, mTOR) associadas a câncer colorretal, mama e endómétrio.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Envelhecimento Acelerado — A RI encurta telômeros, aumenta estresse oxidativo e reduz a autofagia — os três pilares do envelhecimento celular.</w:t>
            </w:r>
          </w:p>
        </w:tc>
      </w:tr>
    </w:tbl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A ESCOLHA É SUA: ESPERAR O DIAGNÓSTICO OU INVESTIGAR AGORA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resistência à insulina é reversível. Mas a janela fecha. Cada ano sem investigação adequada é um ano a mais de dano vascular, perda muscular, sobrecarga pancreática e inflamação sistêmica.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medicina convencional espera a doença. </w:t>
      </w: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O Método MPM intercepta antes.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Porque saúde não é ter exame normal — é ter um corpo que funciona.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Se você se reconheceu em algum dos sinais descritos neste material, o primeiro passo é investigar. Não com uma glicose de jejum. Com um painel metabólico que realmente olhe para o que está acontecendo por dentro.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C8A96E" w:sz="8"/>
              <w:bottom w:val="none" w:color="FFFFFF" w:sz="0"/>
              <w:right w:val="none" w:color="FFFFFF" w:sz="0"/>
            </w:tcBorders>
            <w:shd w:fill="F5F3EE" w:val="clear"/>
            <w:tcMar>
              <w:top w:type="dxa" w:w="140"/>
              <w:left w:type="dxa" w:w="240"/>
              <w:bottom w:type="dxa" w:w="140"/>
              <w:right w:type="dxa" w:w="200"/>
            </w:tcMar>
          </w:tcPr>
          <w:p>
            <w:pPr>
              <w:spacing w:after="80"/>
            </w:pPr>
            <w:r>
              <w:rPr>
                <w:rFonts w:ascii="Playfair Display" w:cs="Playfair Display" w:eastAsia="Playfair Display" w:hAnsi="Playfair Display"/>
                <w:i/>
                <w:iCs/>
                <w:color w:val="0C1525"/>
                <w:sz w:val="24"/>
                <w:szCs w:val="24"/>
              </w:rPr>
              <w:t xml:space="preserve">“Não é sobre ter medo de adoecer. É sobre ter a coragem de investigar antes que a doença decida por você.”</w:t>
            </w:r>
          </w:p>
          <w:p>
            <w:r>
              <w:rPr>
                <w:rFonts w:ascii="Georgia" w:cs="Georgia" w:eastAsia="Georgia" w:hAnsi="Georgia"/>
                <w:color w:val="C8A96E"/>
                <w:sz w:val="20"/>
                <w:szCs w:val="20"/>
              </w:rPr>
              <w:t xml:space="preserve">— João Almeida — Método MPM</w:t>
            </w:r>
          </w:p>
        </w:tc>
      </w:tr>
    </w:tbl>
    <w:p>
      <w:r>
        <w:br w:type="page"/>
      </w: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REFERÊNCIAS CIENTÍFICAS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As informações apresentadas neste material são fundamentadas em estudos publicados em periódicos científicos indexados:</w:t>
      </w:r>
    </w:p>
    <w:p>
      <w:pPr>
        <w:spacing w:before="160"/>
      </w:pP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1. Tabak AG, Herder C, Rathmann W, et al. Prediabetes: a high-risk state for diabetes development. The Lancet. 2012;379(9833):2279-2290.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2. Bonora E, Targher G, Alberiche M, et al. Homeostasis model assessment closely mirrors the glucose clamp technique in the assessment of insulin sensitivity. Diabetes Care. 2000;23(1):57-63.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3. Hotamisligil GS. Inflammation and metabolic disorders. Nature. 2006;444(7121):860-867.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4. Spiegel K, Leproult R, Van Cauter E. Impact of sleep debt on metabolic and endocrine function. The Lancet. 1999;354(9188):1435-1439.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5. Diamanti-Kandarakis E, Dunaif A. Insulin resistance and the polycystic ovary syndrome revisited. Endocrine Reviews. 2012;33(6):981-1030.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6. de la Monte SM, Wands JR. Alzheimer’s disease is type 3 diabetes — evidence reviewed. J Diabetes Sci Technol. 2008;2(6):1101-1113.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7. Cani PD, Amar J, Iglesias MA, et al. Metabolic endotoxemia initiates obesity and insulin resistance. Diabetes. 2007;56(7):1761-1772.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8. Gore AC, Chappell VA, Fenton SE, et al. EDC-2: The Endocrine Society’s second scientific statement on endocrine-disrupting chemicals. Endocrine Reviews. 2015;36(6):E1-E150.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9. Zhu Y, Pandya BJ, Choi HK. Prevalence of gout and hyperuricemia in the US general population. Arthritis Rheum. 2011;63(10):3136-3141.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10. Epel ES, Blackburn EH, Lin J, et al. Accelerated telomere shortening in response to life stress. PNAS. 2004;101(49):17312-17315.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11. DeFronzo RA, Tripathy D. Skeletal muscle insulin resistance is the primary defect in type 2 diabetes. Diabetes Care. 2009;32(suppl 2):S157-S163.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12. Bays HE. “Sick fat,” metabolic disease, and atherosclerosis. Am J Med. 2009;122(1):S26-S37.</w:t>
      </w:r>
    </w:p>
    <w:p>
      <w:pPr>
        <w:pBdr>
          <w:bottom w:val="single" w:color="C8A96E" w:sz="4" w:space="1"/>
        </w:pBdr>
        <w:spacing w:after="300" w:before="300"/>
      </w:pPr>
    </w:p>
    <w:p>
      <w:pPr>
        <w:spacing w:after="200" w:before="300"/>
        <w:jc w:val="center"/>
      </w:pPr>
      <w:r>
        <w:rPr>
          <w:rFonts w:ascii="Montserrat" w:cs="Montserrat" w:eastAsia="Montserrat" w:hAnsi="Montserrat"/>
          <w:b/>
          <w:bCs/>
          <w:color w:val="C8A96E"/>
          <w:sz w:val="24"/>
          <w:szCs w:val="24"/>
        </w:rPr>
        <w:t xml:space="preserve">@joaoalmeidanutri  |  MÉTODO MPM</w:t>
      </w:r>
    </w:p>
    <w:p>
      <w:pPr>
        <w:jc w:val="center"/>
      </w:pPr>
      <w:r>
        <w:rPr>
          <w:rFonts w:ascii="Georgia" w:cs="Georgia" w:eastAsia="Georgia" w:hAnsi="Georgia"/>
          <w:color w:val="888888"/>
          <w:sz w:val="20"/>
          <w:szCs w:val="20"/>
        </w:rPr>
        <w:t xml:space="preserve">Nutrição Funcional  •  Longevidade  •  Performance</w:t>
      </w:r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8A96E" w:sz="2" w:space="4"/>
      </w:pBdr>
      <w:jc w:val="center"/>
    </w:pPr>
    <w:r>
      <w:rPr>
        <w:rFonts w:ascii="Georgia" w:cs="Georgia" w:eastAsia="Georgia" w:hAnsi="Georgia"/>
        <w:color w:val="888888"/>
        <w:sz w:val="17"/>
        <w:szCs w:val="17"/>
      </w:rPr>
      <w:t xml:space="preserve">João Almeida — Nutrição Funcional &amp; Medicina do Estilo de Vida  |  Método MPM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Montserrat" w:cs="Montserrat" w:eastAsia="Montserrat" w:hAnsi="Montserrat"/>
        <w:b/>
        <w:bCs/>
        <w:color w:val="C8A96E"/>
        <w:sz w:val="18"/>
        <w:szCs w:val="18"/>
      </w:rPr>
      <w:t xml:space="preserve">@joaoalmeidanutri  |  MÉTODO MPM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◆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cs="Georgia" w:eastAsia="Georgia" w:hAnsi="Georgia"/>
        <w:sz w:val="23"/>
        <w:szCs w:val="23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Montserrat" w:cs="Montserrat" w:eastAsia="Montserrat" w:hAnsi="Montserrat"/>
      <w:b/>
      <w:bCs/>
      <w:color w:val="0C1525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Montserrat" w:cs="Montserrat" w:eastAsia="Montserrat" w:hAnsi="Montserrat"/>
      <w:b/>
      <w:bCs/>
      <w:color w:val="2A4A6B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20" w:before="220"/>
      <w:outlineLvl w:val="2"/>
    </w:pPr>
    <w:rPr>
      <w:rFonts w:ascii="Montserrat" w:cs="Montserrat" w:eastAsia="Montserrat" w:hAnsi="Montserrat"/>
      <w:b/>
      <w:bCs/>
      <w:color w:val="C8A96E"/>
      <w:sz w:val="23"/>
      <w:szCs w:val="23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2026-04-06T11:27:51.677Z</dcterms:created>
  <dcterms:modified xsi:type="dcterms:W3CDTF">2026-04-06T11:27:51.678Z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