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MS Gothic" w:hAnsi="MS Gothic"/>
          <w:b/>
          <w:color w:val="6D28D9"/>
          <w:sz w:val="30"/>
        </w:rPr>
        <w:t>医療学生向け指導案：アレルギー疾患・膠原病患者の看護</w:t>
      </w:r>
    </w:p>
    <w:p/>
    <w:p>
      <w:r>
        <w:rPr>
          <w:rFonts w:ascii="MS Gothic" w:hAnsi="MS Gothic"/>
          <w:b/>
          <w:color w:val="6D28D9"/>
          <w:sz w:val="26"/>
        </w:rPr>
        <w:t>1. 指導案の概要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703"/>
        <w:gridCol w:w="4703"/>
      </w:tblGrid>
      <w:tr>
        <w:trPr>
          <w:trHeight w:val="400" w:hRule="atLeast"/>
        </w:trPr>
        <w:tc>
          <w:tcPr>
            <w:tcW w:type="dxa" w:w="4703"/>
            <w:shd w:val="clear" w:color="auto" w:fill="6D28D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テーマ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アレルギー疾患・膠原病患者の看護</w:t>
            </w:r>
          </w:p>
        </w:tc>
      </w:tr>
      <w:tr>
        <w:trPr>
          <w:trHeight w:val="400" w:hRule="atLeast"/>
        </w:trPr>
        <w:tc>
          <w:tcPr>
            <w:tcW w:type="dxa" w:w="4703"/>
            <w:shd w:val="clear" w:color="auto" w:fill="6D28D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対象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医療系学生（准看護師課程 基礎看護学を想定）</w:t>
            </w:r>
          </w:p>
        </w:tc>
      </w:tr>
      <w:tr>
        <w:trPr>
          <w:trHeight w:val="400" w:hRule="atLeast"/>
        </w:trPr>
        <w:tc>
          <w:tcPr>
            <w:tcW w:type="dxa" w:w="4703"/>
            <w:shd w:val="clear" w:color="auto" w:fill="6D28D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時間</w:t>
            </w:r>
          </w:p>
        </w:tc>
        <w:tc>
          <w:tcPr>
            <w:tcW w:type="dxa" w:w="470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1"/>
              </w:rPr>
              <w:t>90分（講義および演習形式を想定）</w:t>
            </w:r>
          </w:p>
        </w:tc>
      </w:tr>
    </w:tbl>
    <w:p/>
    <w:p>
      <w:r>
        <w:rPr>
          <w:rFonts w:ascii="MS Gothic" w:hAnsi="MS Gothic"/>
          <w:b/>
          <w:color w:val="5B21B6"/>
          <w:sz w:val="22"/>
        </w:rPr>
        <w:t>学習目標</w:t>
      </w:r>
    </w:p>
    <w:p>
      <w:r>
        <w:rPr>
          <w:rFonts w:ascii="MS Mincho" w:hAnsi="MS Mincho"/>
          <w:sz w:val="21"/>
        </w:rPr>
        <w:t>・1. アレルギー疾患と膠原病の基本的な概念を理解する。</w:t>
      </w:r>
    </w:p>
    <w:p>
      <w:r>
        <w:rPr>
          <w:rFonts w:ascii="MS Mincho" w:hAnsi="MS Mincho"/>
          <w:sz w:val="21"/>
        </w:rPr>
        <w:t>・2. 各疾患の病態生理と症状を関連付けて説明できる。</w:t>
      </w:r>
    </w:p>
    <w:p>
      <w:r>
        <w:rPr>
          <w:rFonts w:ascii="MS Mincho" w:hAnsi="MS Mincho"/>
          <w:sz w:val="21"/>
        </w:rPr>
        <w:t>・3. 急性期・慢性期における適切な看護介入を立案できる。</w:t>
      </w:r>
    </w:p>
    <w:p>
      <w:r>
        <w:rPr>
          <w:rFonts w:ascii="MS Mincho" w:hAnsi="MS Mincho"/>
          <w:sz w:val="21"/>
        </w:rPr>
        <w:t>・4. 症状マネジメント、薬物療法支援、心理的支援の重要性を理解し、具体的な介入を考案できる。</w:t>
      </w:r>
    </w:p>
    <w:p>
      <w:r>
        <w:rPr>
          <w:rFonts w:ascii="MS Mincho" w:hAnsi="MS Mincho"/>
          <w:sz w:val="21"/>
        </w:rPr>
        <w:t>・5. 両疾患に共通する看護課題を認識できる。</w:t>
      </w:r>
    </w:p>
    <w:p/>
    <w:p>
      <w:r>
        <w:rPr>
          <w:rFonts w:ascii="MS Gothic" w:hAnsi="MS Gothic"/>
          <w:b/>
          <w:color w:val="5B21B6"/>
          <w:sz w:val="22"/>
        </w:rPr>
        <w:t>使用教材</w:t>
      </w:r>
    </w:p>
    <w:p>
      <w:r>
        <w:rPr>
          <w:rFonts w:ascii="MS Mincho" w:hAnsi="MS Mincho"/>
          <w:sz w:val="21"/>
        </w:rPr>
        <w:t>・本指導案に基づく講義スライド</w:t>
      </w:r>
    </w:p>
    <w:p>
      <w:r>
        <w:rPr>
          <w:rFonts w:ascii="MS Mincho" w:hAnsi="MS Mincho"/>
          <w:sz w:val="21"/>
        </w:rPr>
        <w:t>・メヂカルフレンド社『看護学入門 成人看護Ⅱ』</w:t>
      </w:r>
    </w:p>
    <w:p>
      <w:r>
        <w:rPr>
          <w:rFonts w:ascii="MS Mincho" w:hAnsi="MS Mincho"/>
          <w:sz w:val="21"/>
        </w:rPr>
        <w:t>・事例検討資料（ワークシートに記載）</w:t>
      </w:r>
    </w:p>
    <w:p>
      <w:r>
        <w:rPr>
          <w:rFonts w:ascii="MS Mincho" w:hAnsi="MS Mincho"/>
          <w:sz w:val="21"/>
        </w:rPr>
        <w:t>・関連するガイドラインや文献</w:t>
      </w:r>
    </w:p>
    <w:p/>
    <w:p>
      <w:r>
        <w:rPr>
          <w:rFonts w:ascii="MS Gothic" w:hAnsi="MS Gothic"/>
          <w:b/>
          <w:color w:val="6D28D9"/>
          <w:sz w:val="26"/>
        </w:rPr>
        <w:t>2. 各セッションの指導内容</w:t>
      </w:r>
    </w:p>
    <w:p>
      <w:r>
        <w:rPr>
          <w:rFonts w:ascii="MS Gothic" w:hAnsi="MS Gothic"/>
          <w:b/>
          <w:color w:val="5B21B6"/>
          <w:sz w:val="22"/>
        </w:rPr>
        <w:t>2.1. 導入（10分）</w:t>
      </w:r>
    </w:p>
    <w:p>
      <w:r>
        <w:rPr>
          <w:rFonts w:ascii="MS Gothic" w:hAnsi="MS Gothic"/>
          <w:b/>
          <w:color w:val="4C1D95"/>
          <w:sz w:val="21"/>
        </w:rPr>
        <w:t>2.1.1. 授業目標の確認</w:t>
      </w:r>
    </w:p>
    <w:p>
      <w:r>
        <w:rPr>
          <w:rFonts w:ascii="MS Mincho" w:hAnsi="MS Mincho"/>
          <w:sz w:val="21"/>
        </w:rPr>
        <w:t>・本日の授業目標を学生に提示し、学習の方向性を明確にする。</w:t>
      </w:r>
    </w:p>
    <w:p>
      <w:r>
        <w:rPr>
          <w:rFonts w:ascii="MS Mincho" w:hAnsi="MS Mincho"/>
          <w:sz w:val="21"/>
        </w:rPr>
        <w:t>・アレルギー疾患および膠原病が患者の日常生活に与える影響について、学生に問いかけ、関心を喚起する。</w:t>
      </w:r>
    </w:p>
    <w:p>
      <w:r>
        <w:rPr>
          <w:rFonts w:ascii="MS Gothic" w:hAnsi="MS Gothic"/>
          <w:b/>
          <w:color w:val="4C1D95"/>
          <w:sz w:val="21"/>
        </w:rPr>
        <w:t>2.1.2. 疾患概要の穴埋め問題</w:t>
      </w:r>
    </w:p>
    <w:p>
      <w:r>
        <w:rPr>
          <w:rFonts w:ascii="MS Mincho" w:hAnsi="MS Mincho"/>
          <w:sz w:val="21"/>
        </w:rPr>
        <w:t>・アレルギー疾患は、特定の物質（アレルゲン）に対して、身体が過剰な免疫反応を起こすことで生じる疾患群である。</w:t>
      </w:r>
    </w:p>
    <w:p>
      <w:r>
        <w:rPr>
          <w:rFonts w:ascii="MS Mincho" w:hAnsi="MS Mincho"/>
          <w:sz w:val="21"/>
        </w:rPr>
        <w:t>・膠原病は、全身の結合組織に炎症や変性が起こる疾患群であり、多くは自己の組織を攻撃する自己免疫疾患である。</w:t>
      </w:r>
    </w:p>
    <w:p>
      <w:r>
        <w:rPr>
          <w:rFonts w:ascii="MS Mincho" w:hAnsi="MS Mincho"/>
          <w:sz w:val="21"/>
        </w:rPr>
        <w:t>・学生の回答を確認し、必要に応じて補足説明を行う。</w:t>
      </w:r>
    </w:p>
    <w:p/>
    <w:p>
      <w:r>
        <w:rPr>
          <w:rFonts w:ascii="MS Gothic" w:hAnsi="MS Gothic"/>
          <w:b/>
          <w:color w:val="5B21B6"/>
          <w:sz w:val="22"/>
        </w:rPr>
        <w:t>2.2. アレルギー疾患患者の看護（35分）</w:t>
      </w:r>
    </w:p>
    <w:p>
      <w:r>
        <w:rPr>
          <w:rFonts w:ascii="MS Gothic" w:hAnsi="MS Gothic"/>
          <w:b/>
          <w:color w:val="4C1D95"/>
          <w:sz w:val="21"/>
        </w:rPr>
        <w:t>2.2.1. 主要なアレルギー疾患の特徴と病態生理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  <w:shd w:val="clear" w:color="auto" w:fill="6D28D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疾患名</w:t>
            </w:r>
          </w:p>
        </w:tc>
        <w:tc>
          <w:tcPr>
            <w:tcW w:type="dxa" w:w="3135"/>
            <w:shd w:val="clear" w:color="auto" w:fill="6D28D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病態生理のポイント</w:t>
            </w:r>
          </w:p>
        </w:tc>
        <w:tc>
          <w:tcPr>
            <w:tcW w:type="dxa" w:w="3135"/>
            <w:shd w:val="clear" w:color="auto" w:fill="6D28D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主な症状</w:t>
            </w:r>
          </w:p>
        </w:tc>
      </w:tr>
      <w:t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気管支喘息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気道過敏性の亢進、気道炎症、気道狭窄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喘鳴、呼吸困難、咳、胸苦しさ</w:t>
            </w:r>
          </w:p>
        </w:tc>
      </w:tr>
      <w:t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アナフィラキシー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即時型アレルギー反応、全身性肥満細胞・好塩基球活性化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全身の発疹、呼吸困難、血圧低下、意識障害、消化器症状</w:t>
            </w:r>
          </w:p>
        </w:tc>
      </w:tr>
      <w:t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アトピー性皮膚炎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皮膚バリア機能障害、IgE抗体産生、皮膚炎症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湿疹、かゆみ、乾燥、紅斑、丘疹、苔癬化</w:t>
            </w:r>
          </w:p>
        </w:tc>
      </w:tr>
      <w:t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花粉症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季節性アレルゲン（花粉）に対するIgE抗体反応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鼻水、鼻づまり、くしゃみ、目のかゆみ、充血</w:t>
            </w:r>
          </w:p>
        </w:tc>
      </w:tr>
    </w:tbl>
    <w:p/>
    <w:p>
      <w:r>
        <w:rPr>
          <w:rFonts w:ascii="MS Gothic" w:hAnsi="MS Gothic"/>
          <w:b/>
          <w:color w:val="4C1D95"/>
          <w:sz w:val="21"/>
        </w:rPr>
        <w:t>2.2.2. 急性期・慢性期看護の具体例</w:t>
      </w:r>
    </w:p>
    <w:p>
      <w:r>
        <w:rPr>
          <w:rFonts w:ascii="MS Gothic" w:hAnsi="MS Gothic"/>
          <w:b/>
          <w:color w:val="4C1D95"/>
          <w:sz w:val="21"/>
        </w:rPr>
        <w:t>急性期看護（例：アナフィラキシーショック時）</w:t>
      </w:r>
    </w:p>
    <w:p>
      <w:r>
        <w:rPr>
          <w:rFonts w:ascii="MS Mincho" w:hAnsi="MS Mincho"/>
          <w:sz w:val="21"/>
        </w:rPr>
        <w:t>・アセスメント：意識レベル、呼吸状態、循環状態（血圧、脈拍）、皮膚症状（発疹、浮腫）の迅速な評価。アレルゲンの特定。</w:t>
      </w:r>
    </w:p>
    <w:p>
      <w:r>
        <w:rPr>
          <w:rFonts w:ascii="MS Mincho" w:hAnsi="MS Mincho"/>
          <w:sz w:val="21"/>
        </w:rPr>
        <w:t>・看護介入：気道確保、酸素投与、体位管理、エピネフリン自己注射の介助、輸液管理、医師への報告と指示受け。</w:t>
      </w:r>
    </w:p>
    <w:p>
      <w:r>
        <w:rPr>
          <w:rFonts w:ascii="MS Mincho" w:hAnsi="MS Mincho"/>
          <w:sz w:val="21"/>
        </w:rPr>
        <w:t>・緊急時の薬剤：エピネフリン、抗ヒスタミン薬、ステロイド薬の作用と使用方法。</w:t>
      </w:r>
    </w:p>
    <w:p>
      <w:r>
        <w:rPr>
          <w:rFonts w:ascii="MS Gothic" w:hAnsi="MS Gothic"/>
          <w:b/>
          <w:color w:val="4C1D95"/>
          <w:sz w:val="21"/>
        </w:rPr>
        <w:t>慢性期看護（例：気管支喘息、アトピー性皮膚炎）</w:t>
      </w:r>
    </w:p>
    <w:p>
      <w:r>
        <w:rPr>
          <w:rFonts w:ascii="MS Mincho" w:hAnsi="MS Mincho"/>
          <w:sz w:val="21"/>
        </w:rPr>
        <w:t>・セルフケア支援：ピークフローメーターを用いた呼吸機能の自己管理、吸入薬の正しい使用方法、スキンケアの指導（保湿剤の塗布、入浴方法）。</w:t>
      </w:r>
    </w:p>
    <w:p>
      <w:r>
        <w:rPr>
          <w:rFonts w:ascii="MS Mincho" w:hAnsi="MS Mincho"/>
          <w:sz w:val="21"/>
        </w:rPr>
        <w:t>・環境整備：アレルゲン除去（ダニ、ハウスダスト、ペットの毛など）、室内の温度・湿度管理、禁煙指導。</w:t>
      </w:r>
    </w:p>
    <w:p>
      <w:r>
        <w:rPr>
          <w:rFonts w:ascii="MS Mincho" w:hAnsi="MS Mincho"/>
          <w:sz w:val="21"/>
        </w:rPr>
        <w:t>・生活指導：規則正しい生活習慣、ストレス管理、食事指導（食物アレルギーの場合）。</w:t>
      </w:r>
    </w:p>
    <w:p/>
    <w:p>
      <w:r>
        <w:rPr>
          <w:rFonts w:ascii="MS Gothic" w:hAnsi="MS Gothic"/>
          <w:b/>
          <w:color w:val="4C1D95"/>
          <w:sz w:val="21"/>
        </w:rPr>
        <w:t>2.2.3. 事例検討：アレルギー疾患患者</w:t>
      </w:r>
    </w:p>
    <w:p>
      <w:r>
        <w:rPr>
          <w:rFonts w:ascii="MS Mincho" w:hAnsi="MS Mincho"/>
          <w:sz w:val="21"/>
        </w:rPr>
        <w:t>【事例】20歳男性。食物アレルギー（ピーナッツ）があり、誤食によりアナフィラキシーショックを起こし救急搬送された。意識レベル低下、呼吸困難、全身の発疹が認められる。</w:t>
      </w:r>
    </w:p>
    <w:p>
      <w:r>
        <w:rPr>
          <w:rFonts w:ascii="MS Mincho" w:hAnsi="MS Mincho"/>
          <w:sz w:val="21"/>
        </w:rPr>
        <w:t>・情報収集とアセスメント：身体的（既往歴、アレルゲン曝露状況、症状の経過）、精神的（不安、恐怖）、社会的側面（家族構成、アレルゲン回避の状況）から、他にどのような情報を収集し、どのようにアセスメントするかをグループディスカッションで検討させる。</w:t>
      </w:r>
    </w:p>
    <w:p>
      <w:r>
        <w:rPr>
          <w:rFonts w:ascii="MS Mincho" w:hAnsi="MS Mincho"/>
          <w:sz w:val="21"/>
        </w:rPr>
        <w:t>・看護診断：上記の事例に基づき、考えられる看護診断を2つ挙げ、その根拠を述べさせる。例：「ガス交換障害のリスク状態」（根拠：呼吸困難、意識レベル低下）、「不安」（根拠：生命の危機的状況、アレルギー反応の既往）</w:t>
      </w:r>
    </w:p>
    <w:p>
      <w:r>
        <w:rPr>
          <w:rFonts w:ascii="MS Mincho" w:hAnsi="MS Mincho"/>
          <w:sz w:val="21"/>
        </w:rPr>
        <w:t>・看護計画：上記の看護診断に基づき、具体的な看護目標（短期・長期）と看護計画（介入内容、根拠、評価）を立案させる。</w:t>
      </w:r>
    </w:p>
    <w:p/>
    <w:p>
      <w:r>
        <w:rPr>
          <w:rFonts w:ascii="MS Gothic" w:hAnsi="MS Gothic"/>
          <w:b/>
          <w:color w:val="5B21B6"/>
          <w:sz w:val="22"/>
        </w:rPr>
        <w:t>2.3. 膠原病患者の看護（35分）</w:t>
      </w:r>
    </w:p>
    <w:p>
      <w:r>
        <w:rPr>
          <w:rFonts w:ascii="MS Gothic" w:hAnsi="MS Gothic"/>
          <w:b/>
          <w:color w:val="4C1D95"/>
          <w:sz w:val="21"/>
        </w:rPr>
        <w:t>2.3.1. 主要な膠原病の特徴と病態生理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135"/>
        <w:gridCol w:w="3135"/>
        <w:gridCol w:w="3135"/>
      </w:tblGrid>
      <w:tr>
        <w:tc>
          <w:tcPr>
            <w:tcW w:type="dxa" w:w="3135"/>
            <w:shd w:val="clear" w:color="auto" w:fill="6D28D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疾患名</w:t>
            </w:r>
          </w:p>
        </w:tc>
        <w:tc>
          <w:tcPr>
            <w:tcW w:type="dxa" w:w="3135"/>
            <w:shd w:val="clear" w:color="auto" w:fill="6D28D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病態生理のポイント</w:t>
            </w:r>
          </w:p>
        </w:tc>
        <w:tc>
          <w:tcPr>
            <w:tcW w:type="dxa" w:w="3135"/>
            <w:shd w:val="clear" w:color="auto" w:fill="6D28D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Gothic" w:hAnsi="MS Gothic"/>
                <w:b/>
                <w:color w:val="FFFFFF"/>
                <w:sz w:val="20"/>
              </w:rPr>
              <w:t>主な症状</w:t>
            </w:r>
          </w:p>
        </w:tc>
      </w:tr>
      <w:t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全身性エリテマトーデス（SLE）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自己抗体産生、免疫複合体沈着、全身性炎症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蝶形紅斑、関節炎、腎炎、漿膜炎、精神神経症状、レイノー現象</w:t>
            </w:r>
          </w:p>
        </w:tc>
      </w:tr>
      <w:t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関節リウマチ（RA）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滑膜の炎症と増殖、関節破壊、全身性炎症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関節の腫脹・疼痛・変形、朝のこわばり、倦怠感、微熱</w:t>
            </w:r>
          </w:p>
        </w:tc>
      </w:tr>
      <w:t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強皮症（SSc）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線維化、血管障害、自己抗体産生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皮膚硬化、レイノー現象、肺線維症、消化管症状、腎クリーゼ</w:t>
            </w:r>
          </w:p>
        </w:tc>
      </w:tr>
      <w:tr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多発性筋炎・皮膚筋炎（PM/DM）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筋炎、皮膚炎、自己抗体産生</w:t>
            </w:r>
          </w:p>
        </w:tc>
        <w:tc>
          <w:tcPr>
            <w:tcW w:type="dxa" w:w="313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</w:tcPr>
          <w:p>
            <w:r>
              <w:rPr>
                <w:rFonts w:ascii="MS Mincho" w:hAnsi="MS Mincho"/>
                <w:sz w:val="20"/>
              </w:rPr>
              <w:t>筋力低下、嚥下障害、間質性肺炎、ヘリオトロープ疹、ゴットロン徴候</w:t>
            </w:r>
          </w:p>
        </w:tc>
      </w:tr>
    </w:tbl>
    <w:p/>
    <w:p>
      <w:r>
        <w:rPr>
          <w:rFonts w:ascii="MS Gothic" w:hAnsi="MS Gothic"/>
          <w:b/>
          <w:color w:val="4C1D95"/>
          <w:sz w:val="21"/>
        </w:rPr>
        <w:t>2.3.2. 症状マネジメント、薬物療法、心理的支援の具体例</w:t>
      </w:r>
    </w:p>
    <w:p>
      <w:r>
        <w:rPr>
          <w:rFonts w:ascii="MS Gothic" w:hAnsi="MS Gothic"/>
          <w:b/>
          <w:color w:val="4C1D95"/>
          <w:sz w:val="21"/>
        </w:rPr>
        <w:t>症状マネジメント</w:t>
      </w:r>
    </w:p>
    <w:p>
      <w:r>
        <w:rPr>
          <w:rFonts w:ascii="MS Mincho" w:hAnsi="MS Mincho"/>
          <w:sz w:val="21"/>
        </w:rPr>
        <w:t>・疼痛管理：薬物療法（NSAIDs、ステロイド）の補助としての温罨法、冷却、関節保護、リラクゼーション法。</w:t>
      </w:r>
    </w:p>
    <w:p>
      <w:r>
        <w:rPr>
          <w:rFonts w:ascii="MS Mincho" w:hAnsi="MS Mincho"/>
          <w:sz w:val="21"/>
        </w:rPr>
        <w:t>・皮膚保護：日光過敏対策（日焼け止めの使用、外出時の注意）、乾燥対策（保湿剤の塗布）、褥瘡予防。</w:t>
      </w:r>
    </w:p>
    <w:p>
      <w:r>
        <w:rPr>
          <w:rFonts w:ascii="MS Mincho" w:hAnsi="MS Mincho"/>
          <w:sz w:val="21"/>
        </w:rPr>
        <w:t>・感染予防：免疫抑制状態での感染リスクの説明、手洗い・うがいの徹底、人混みを避ける、予防接種の推奨。</w:t>
      </w:r>
    </w:p>
    <w:p>
      <w:r>
        <w:rPr>
          <w:rFonts w:ascii="MS Gothic" w:hAnsi="MS Gothic"/>
          <w:b/>
          <w:color w:val="4C1D95"/>
          <w:sz w:val="21"/>
        </w:rPr>
        <w:t>薬物療法への援助（例：ステロイド薬、免疫抑制薬）</w:t>
      </w:r>
    </w:p>
    <w:p>
      <w:r>
        <w:rPr>
          <w:rFonts w:ascii="MS Mincho" w:hAnsi="MS Mincho"/>
          <w:sz w:val="21"/>
        </w:rPr>
        <w:t>・副作用の観察：ステロイドの満月様顔貌、中心性肥満、骨粗鬆症、易感染性、免疫抑制薬の骨髄抑制、肝機能障害などの観察と早期発見。</w:t>
      </w:r>
    </w:p>
    <w:p>
      <w:r>
        <w:rPr>
          <w:rFonts w:ascii="MS Mincho" w:hAnsi="MS Mincho"/>
          <w:sz w:val="21"/>
        </w:rPr>
        <w:t>・服薬指導：服薬遵守の重要性、自己判断での中断・増減の危険性、副作用出現時の対応。</w:t>
      </w:r>
    </w:p>
    <w:p>
      <w:r>
        <w:rPr>
          <w:rFonts w:ascii="MS Gothic" w:hAnsi="MS Gothic"/>
          <w:b/>
          <w:color w:val="4C1D95"/>
          <w:sz w:val="21"/>
        </w:rPr>
        <w:t>心理的・社会的支援</w:t>
      </w:r>
    </w:p>
    <w:p>
      <w:r>
        <w:rPr>
          <w:rFonts w:ascii="MS Mincho" w:hAnsi="MS Mincho"/>
          <w:sz w:val="21"/>
        </w:rPr>
        <w:t>・難病であることへの不安：疾患の慢性性、進行性、治療の長期化に伴う不安や抑うつへの傾聴と共感。患者会やカウンセリングの紹介。</w:t>
      </w:r>
    </w:p>
    <w:p>
      <w:r>
        <w:rPr>
          <w:rFonts w:ascii="MS Mincho" w:hAnsi="MS Mincho"/>
          <w:sz w:val="21"/>
        </w:rPr>
        <w:t>・QOL向上：日常生活動作（ADL）の維持・向上、社会生活への参加支援、利用可能な社会資源の情報提供。</w:t>
      </w:r>
    </w:p>
    <w:p/>
    <w:p>
      <w:r>
        <w:rPr>
          <w:rFonts w:ascii="MS Gothic" w:hAnsi="MS Gothic"/>
          <w:b/>
          <w:color w:val="4C1D95"/>
          <w:sz w:val="21"/>
        </w:rPr>
        <w:t>2.3.3. 事例検討：膠原病患者</w:t>
      </w:r>
    </w:p>
    <w:p>
      <w:r>
        <w:rPr>
          <w:rFonts w:ascii="MS Mincho" w:hAnsi="MS Mincho"/>
          <w:sz w:val="21"/>
        </w:rPr>
        <w:t>【事例】40歳女性。全身性エリテマトーデス（SLE）と診断され、ステロイド治療を開始した。倦怠感、関節痛、顔面の紅斑、日光過敏が認められる。病気に対する不安が強く、今後の生活への影響を心配している。</w:t>
      </w:r>
    </w:p>
    <w:p>
      <w:r>
        <w:rPr>
          <w:rFonts w:ascii="MS Mincho" w:hAnsi="MS Mincho"/>
          <w:sz w:val="21"/>
        </w:rPr>
        <w:t>・情報収集とアセスメント：身体的（症状の経過、治療内容、副作用の有無）、精神的（不安の内容、coping能力）、社会的側面（家族のサポート、仕事への影響）から、他にどのような情報を収集し、どのようにアセスメントするかをグループディスカッションで検討させる。</w:t>
      </w:r>
    </w:p>
    <w:p>
      <w:r>
        <w:rPr>
          <w:rFonts w:ascii="MS Mincho" w:hAnsi="MS Mincho"/>
          <w:sz w:val="21"/>
        </w:rPr>
        <w:t>・看護診断：上記の事例に基づき、考えられる看護診断を2つ挙げ、その根拠を述べさせる。例：「慢性疼痛」（根拠：関節痛、倦怠感）、「ボディイメージの障害」（根拠：顔面の紅斑、日光過敏、病気に対する不安）</w:t>
      </w:r>
    </w:p>
    <w:p>
      <w:r>
        <w:rPr>
          <w:rFonts w:ascii="MS Mincho" w:hAnsi="MS Mincho"/>
          <w:sz w:val="21"/>
        </w:rPr>
        <w:t>・看護計画：上記の看護診断に基づき、具体的な看護目標（短期・長期）と看護計画（介入内容、根拠、評価）を立案させる。</w:t>
      </w:r>
    </w:p>
    <w:p/>
    <w:p>
      <w:r>
        <w:rPr>
          <w:rFonts w:ascii="MS Gothic" w:hAnsi="MS Gothic"/>
          <w:b/>
          <w:color w:val="5B21B6"/>
          <w:sz w:val="22"/>
        </w:rPr>
        <w:t>2.4. まとめ・質疑応答（10分）</w:t>
      </w:r>
    </w:p>
    <w:p>
      <w:r>
        <w:rPr>
          <w:rFonts w:ascii="MS Gothic" w:hAnsi="MS Gothic"/>
          <w:b/>
          <w:color w:val="4C1D95"/>
          <w:sz w:val="21"/>
        </w:rPr>
        <w:t>2.4.1. 共通看護課題の考察</w:t>
      </w:r>
    </w:p>
    <w:p>
      <w:r>
        <w:rPr>
          <w:rFonts w:ascii="MS Mincho" w:hAnsi="MS Mincho"/>
          <w:sz w:val="21"/>
        </w:rPr>
        <w:t>・アレルギー疾患患者と膠原病患者に共通する看護課題（例：慢性疾患との向き合い方、QOL維持、心理社会的支援の重要性、多職種連携）について、学生に考察させ、意見を共有する。</w:t>
      </w:r>
    </w:p>
    <w:p>
      <w:r>
        <w:rPr>
          <w:rFonts w:ascii="MS Gothic" w:hAnsi="MS Gothic"/>
          <w:b/>
          <w:color w:val="4C1D95"/>
          <w:sz w:val="21"/>
        </w:rPr>
        <w:t>2.4.2. 自己学習テーマの発見</w:t>
      </w:r>
    </w:p>
    <w:p>
      <w:r>
        <w:rPr>
          <w:rFonts w:ascii="MS Mincho" w:hAnsi="MS Mincho"/>
          <w:sz w:val="21"/>
        </w:rPr>
        <w:t>・本日の授業で特に興味を持った点や、今後さらに深く学びたいテーマを学生に記述させ、今後の学習意欲を促進する。</w:t>
      </w:r>
    </w:p>
    <w:p/>
    <w:p>
      <w:r>
        <w:rPr>
          <w:rFonts w:ascii="MS Gothic" w:hAnsi="MS Gothic"/>
          <w:b/>
          <w:color w:val="6D28D9"/>
          <w:sz w:val="26"/>
        </w:rPr>
        <w:t>3. 評価方法</w:t>
      </w:r>
    </w:p>
    <w:p>
      <w:r>
        <w:rPr>
          <w:rFonts w:ascii="MS Mincho" w:hAnsi="MS Mincho"/>
          <w:sz w:val="21"/>
        </w:rPr>
        <w:t>・講義中の質疑応答、グループディスカッションへの参加度</w:t>
      </w:r>
    </w:p>
    <w:p>
      <w:r>
        <w:rPr>
          <w:rFonts w:ascii="MS Mincho" w:hAnsi="MS Mincho"/>
          <w:sz w:val="21"/>
        </w:rPr>
        <w:t>・事例検討における看護計画立案の適切性</w:t>
      </w:r>
    </w:p>
    <w:p>
      <w:r>
        <w:rPr>
          <w:rFonts w:ascii="MS Mincho" w:hAnsi="MS Mincho"/>
          <w:sz w:val="21"/>
        </w:rPr>
        <w:t>・穴埋め問題および自己学習テーマの記述内容</w:t>
      </w:r>
    </w:p>
    <w:p>
      <w:r>
        <w:rPr>
          <w:rFonts w:ascii="MS Mincho" w:hAnsi="MS Mincho"/>
          <w:sz w:val="21"/>
        </w:rPr>
        <w:t>・小テストまたはレポートによる知識の確認</w:t>
      </w:r>
    </w:p>
    <w:p/>
    <w:p>
      <w:r>
        <w:rPr>
          <w:rFonts w:ascii="MS Gothic" w:hAnsi="MS Gothic"/>
          <w:b/>
          <w:color w:val="6D28D9"/>
          <w:sz w:val="26"/>
        </w:rPr>
        <w:t>4. 参考文献</w:t>
      </w:r>
    </w:p>
    <w:p>
      <w:r>
        <w:rPr>
          <w:rFonts w:ascii="MS Mincho" w:hAnsi="MS Mincho"/>
          <w:sz w:val="21"/>
        </w:rPr>
        <w:t>・メヂカルフレンド社『看護学入門 成人看護Ⅱ』</w:t>
      </w:r>
    </w:p>
    <w:sectPr w:rsidR="00FC693F" w:rsidRPr="0006063C" w:rsidSect="00034616"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S Mincho" w:hAnsi="MS Mincho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