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MS Gothic" w:hAnsi="MS Gothic"/>
          <w:b/>
          <w:color w:val="9D174D"/>
          <w:sz w:val="32"/>
        </w:rPr>
        <w:t>医療学生向け指導案：女性生殖器疾患の看護（第2回）</w:t>
      </w:r>
    </w:p>
    <w:p/>
    <w:p>
      <w:r>
        <w:rPr>
          <w:rFonts w:ascii="MS Gothic" w:hAnsi="MS Gothic"/>
          <w:b/>
          <w:color w:val="9D174D"/>
          <w:sz w:val="26"/>
        </w:rPr>
        <w:t>講義概要</w:t>
      </w:r>
    </w:p>
    <w:tbl>
      <w:tblPr>
        <w:tblStyle w:val="TableGrid"/>
        <w:tblW w:type="auto" w:w="0"/>
        <w:jc w:val="center"/>
        <w:tblLook w:firstColumn="1" w:firstRow="1" w:lastColumn="0" w:lastRow="0" w:noHBand="0" w:noVBand="1" w:val="04A0"/>
      </w:tblPr>
      <w:tblGrid>
        <w:gridCol w:w="1701"/>
        <w:gridCol w:w="7370"/>
      </w:tblGrid>
      <w:tr>
        <w:trPr>
          <w:trHeight w:val="400" w:hRule="atLeast"/>
        </w:trPr>
        <w:tc>
          <w:tcPr>
            <w:tcW w:type="dxa" w:w="4703"/>
            <w:shd w:val="clear" w:color="auto" w:fill="9D174D"/>
            <w:tcBorders>
              <w:top w:val="single" w:sz="4" w:space="0" w:color="AAAAAA"/>
              <w:left w:val="single" w:sz="4" w:space="0" w:color="AAAAAA"/>
              <w:bottom w:val="single" w:sz="4" w:space="0" w:color="AAAAAA"/>
              <w:right w:val="single" w:sz="4" w:space="0" w:color="AAAAAA"/>
            </w:tcBorders>
          </w:tcPr>
          <w:p>
            <w:r>
              <w:rPr>
                <w:rFonts w:ascii="MS Gothic" w:hAnsi="MS Gothic"/>
                <w:b/>
                <w:color w:val="FFFFFF"/>
                <w:sz w:val="20"/>
              </w:rPr>
              <w:t>講義名</w:t>
            </w:r>
          </w:p>
        </w:tc>
        <w:tc>
          <w:tcPr>
            <w:tcW w:type="dxa" w:w="4703"/>
            <w:tcBorders>
              <w:top w:val="single" w:sz="4" w:space="0" w:color="AAAAAA"/>
              <w:left w:val="single" w:sz="4" w:space="0" w:color="AAAAAA"/>
              <w:bottom w:val="single" w:sz="4" w:space="0" w:color="AAAAAA"/>
              <w:right w:val="single" w:sz="4" w:space="0" w:color="AAAAAA"/>
            </w:tcBorders>
          </w:tcPr>
          <w:p>
            <w:r>
              <w:rPr>
                <w:rFonts w:ascii="MS Mincho" w:hAnsi="MS Mincho"/>
                <w:sz w:val="21"/>
              </w:rPr>
              <w:t>女性生殖器疾患の看護（第2回）：悪性腫瘍・周手術期・ライフサイクルと生殖への援助</w:t>
            </w:r>
          </w:p>
        </w:tc>
      </w:tr>
      <w:tr>
        <w:trPr>
          <w:trHeight w:val="400" w:hRule="atLeast"/>
        </w:trPr>
        <w:tc>
          <w:tcPr>
            <w:tcW w:type="dxa" w:w="4703"/>
            <w:shd w:val="clear" w:color="auto" w:fill="9D174D"/>
            <w:tcBorders>
              <w:top w:val="single" w:sz="4" w:space="0" w:color="AAAAAA"/>
              <w:left w:val="single" w:sz="4" w:space="0" w:color="AAAAAA"/>
              <w:bottom w:val="single" w:sz="4" w:space="0" w:color="AAAAAA"/>
              <w:right w:val="single" w:sz="4" w:space="0" w:color="AAAAAA"/>
            </w:tcBorders>
          </w:tcPr>
          <w:p>
            <w:r>
              <w:rPr>
                <w:rFonts w:ascii="MS Gothic" w:hAnsi="MS Gothic"/>
                <w:b/>
                <w:color w:val="FFFFFF"/>
                <w:sz w:val="20"/>
              </w:rPr>
              <w:t>対象</w:t>
            </w:r>
          </w:p>
        </w:tc>
        <w:tc>
          <w:tcPr>
            <w:tcW w:type="dxa" w:w="4703"/>
            <w:tcBorders>
              <w:top w:val="single" w:sz="4" w:space="0" w:color="AAAAAA"/>
              <w:left w:val="single" w:sz="4" w:space="0" w:color="AAAAAA"/>
              <w:bottom w:val="single" w:sz="4" w:space="0" w:color="AAAAAA"/>
              <w:right w:val="single" w:sz="4" w:space="0" w:color="AAAAAA"/>
            </w:tcBorders>
          </w:tcPr>
          <w:p>
            <w:r>
              <w:rPr>
                <w:rFonts w:ascii="MS Mincho" w:hAnsi="MS Mincho"/>
                <w:sz w:val="21"/>
              </w:rPr>
              <w:t>医療系学生（看護学生向け）</w:t>
            </w:r>
          </w:p>
        </w:tc>
      </w:tr>
      <w:tr>
        <w:trPr>
          <w:trHeight w:val="400" w:hRule="atLeast"/>
        </w:trPr>
        <w:tc>
          <w:tcPr>
            <w:tcW w:type="dxa" w:w="4703"/>
            <w:shd w:val="clear" w:color="auto" w:fill="9D174D"/>
            <w:tcBorders>
              <w:top w:val="single" w:sz="4" w:space="0" w:color="AAAAAA"/>
              <w:left w:val="single" w:sz="4" w:space="0" w:color="AAAAAA"/>
              <w:bottom w:val="single" w:sz="4" w:space="0" w:color="AAAAAA"/>
              <w:right w:val="single" w:sz="4" w:space="0" w:color="AAAAAA"/>
            </w:tcBorders>
          </w:tcPr>
          <w:p>
            <w:r>
              <w:rPr>
                <w:rFonts w:ascii="MS Gothic" w:hAnsi="MS Gothic"/>
                <w:b/>
                <w:color w:val="FFFFFF"/>
                <w:sz w:val="20"/>
              </w:rPr>
              <w:t>時間</w:t>
            </w:r>
          </w:p>
        </w:tc>
        <w:tc>
          <w:tcPr>
            <w:tcW w:type="dxa" w:w="4703"/>
            <w:tcBorders>
              <w:top w:val="single" w:sz="4" w:space="0" w:color="AAAAAA"/>
              <w:left w:val="single" w:sz="4" w:space="0" w:color="AAAAAA"/>
              <w:bottom w:val="single" w:sz="4" w:space="0" w:color="AAAAAA"/>
              <w:right w:val="single" w:sz="4" w:space="0" w:color="AAAAAA"/>
            </w:tcBorders>
          </w:tcPr>
          <w:p>
            <w:r>
              <w:rPr>
                <w:rFonts w:ascii="MS Mincho" w:hAnsi="MS Mincho"/>
                <w:sz w:val="21"/>
              </w:rPr>
              <w:t>90分</w:t>
            </w:r>
          </w:p>
        </w:tc>
      </w:tr>
      <w:tr>
        <w:trPr>
          <w:trHeight w:val="400" w:hRule="atLeast"/>
        </w:trPr>
        <w:tc>
          <w:tcPr>
            <w:tcW w:type="dxa" w:w="4703"/>
            <w:shd w:val="clear" w:color="auto" w:fill="9D174D"/>
            <w:tcBorders>
              <w:top w:val="single" w:sz="4" w:space="0" w:color="AAAAAA"/>
              <w:left w:val="single" w:sz="4" w:space="0" w:color="AAAAAA"/>
              <w:bottom w:val="single" w:sz="4" w:space="0" w:color="AAAAAA"/>
              <w:right w:val="single" w:sz="4" w:space="0" w:color="AAAAAA"/>
            </w:tcBorders>
          </w:tcPr>
          <w:p>
            <w:r>
              <w:rPr>
                <w:rFonts w:ascii="MS Gothic" w:hAnsi="MS Gothic"/>
                <w:b/>
                <w:color w:val="FFFFFF"/>
                <w:sz w:val="20"/>
              </w:rPr>
              <w:t>目的</w:t>
            </w:r>
          </w:p>
        </w:tc>
        <w:tc>
          <w:tcPr>
            <w:tcW w:type="dxa" w:w="4703"/>
            <w:tcBorders>
              <w:top w:val="single" w:sz="4" w:space="0" w:color="AAAAAA"/>
              <w:left w:val="single" w:sz="4" w:space="0" w:color="AAAAAA"/>
              <w:bottom w:val="single" w:sz="4" w:space="0" w:color="AAAAAA"/>
              <w:right w:val="single" w:sz="4" w:space="0" w:color="AAAAAA"/>
            </w:tcBorders>
          </w:tcPr>
          <w:p>
            <w:r>
              <w:rPr>
                <w:rFonts w:ascii="MS Mincho" w:hAnsi="MS Mincho"/>
                <w:sz w:val="21"/>
              </w:rPr>
              <w:t>婦人科悪性腫瘍の病態と治療、周手術期看護の実際、ライフサイクルに伴う健康課題（月経異常、更年期、不妊・不育症）への看護、および心理社会的支援の重要性を理解する。</w:t>
            </w:r>
          </w:p>
        </w:tc>
      </w:tr>
    </w:tbl>
    <w:p/>
    <w:p>
      <w:r>
        <w:rPr>
          <w:rFonts w:ascii="MS Gothic" w:hAnsi="MS Gothic"/>
          <w:b/>
          <w:color w:val="6B214E"/>
          <w:sz w:val="22"/>
        </w:rPr>
        <w:t>到達目標</w:t>
      </w:r>
    </w:p>
    <w:p>
      <w:r>
        <w:rPr>
          <w:rFonts w:ascii="MS Mincho" w:hAnsi="MS Mincho"/>
          <w:sz w:val="21"/>
        </w:rPr>
        <w:t>・1. 婦人科悪性腫瘍（子宮頸がん、子宮体がん、卵巣がん、外陰・膣がん）の病態、治療、および患者への看護援助を説明できる。</w:t>
      </w:r>
    </w:p>
    <w:p>
      <w:r>
        <w:rPr>
          <w:rFonts w:ascii="MS Mincho" w:hAnsi="MS Mincho"/>
          <w:sz w:val="21"/>
        </w:rPr>
        <w:t>・2. 婦人科手術における周手術期看護（術前・術後管理、広汎子宮全摘術の排尿障害・リンパ浮腫）の実際を説明できる。</w:t>
      </w:r>
    </w:p>
    <w:p>
      <w:r>
        <w:rPr>
          <w:rFonts w:ascii="MS Mincho" w:hAnsi="MS Mincho"/>
          <w:sz w:val="21"/>
        </w:rPr>
        <w:t>・3. ライフサイクルに伴う女性の健康課題（月経異常、更年期障害、不妊・不育症）への看護介入を説明できる。</w:t>
      </w:r>
    </w:p>
    <w:p>
      <w:r>
        <w:rPr>
          <w:rFonts w:ascii="MS Mincho" w:hAnsi="MS Mincho"/>
          <w:sz w:val="21"/>
        </w:rPr>
        <w:t>・4. 婦人科疾患患者のボディイメージの変容、女性性の喪失、がん告知後の心理的葛藤に対する心理社会的支援の重要性を理解し、倫理的配慮を説明できる。</w:t>
      </w:r>
    </w:p>
    <w:p/>
    <w:p>
      <w:r>
        <w:rPr>
          <w:rFonts w:ascii="MS Gothic" w:hAnsi="MS Gothic"/>
          <w:b/>
          <w:color w:val="9D174D"/>
          <w:sz w:val="26"/>
        </w:rPr>
        <w:t>講義内容と進行（90分）</w:t>
      </w:r>
    </w:p>
    <w:p>
      <w:r>
        <w:rPr>
          <w:rFonts w:ascii="MS Gothic" w:hAnsi="MS Gothic"/>
          <w:b/>
          <w:color w:val="6B214E"/>
          <w:sz w:val="22"/>
        </w:rPr>
        <w:t>1. 導入（5分）</w:t>
      </w:r>
    </w:p>
    <w:p>
      <w:r>
        <w:rPr>
          <w:rFonts w:ascii="MS Mincho" w:hAnsi="MS Mincho"/>
          <w:sz w:val="21"/>
        </w:rPr>
        <w:t>・講義の目的と到達目標の提示</w:t>
      </w:r>
    </w:p>
    <w:p>
      <w:r>
        <w:rPr>
          <w:rFonts w:ascii="MS Mincho" w:hAnsi="MS Mincho"/>
          <w:sz w:val="21"/>
        </w:rPr>
        <w:t>・第1回講義の振り返り：良性疾患と基礎知識の確認</w:t>
      </w:r>
    </w:p>
    <w:p>
      <w:r>
        <w:rPr>
          <w:rFonts w:ascii="MS Gothic" w:hAnsi="MS Gothic"/>
          <w:b/>
          <w:color w:val="6B214E"/>
          <w:sz w:val="22"/>
        </w:rPr>
        <w:t>2. 婦人科悪性腫瘍とその治療（25分）</w:t>
      </w:r>
    </w:p>
    <w:p>
      <w:r>
        <w:rPr>
          <w:rFonts w:ascii="MS Mincho" w:hAnsi="MS Mincho"/>
          <w:sz w:val="21"/>
        </w:rPr>
        <w:t>・子宮頸がん：病態（HPV関連）、治療（円錐切除、広汎子宮全摘、放射線、化学療法）、HPVワクチンと検診の重要性</w:t>
      </w:r>
    </w:p>
    <w:p>
      <w:r>
        <w:rPr>
          <w:rFonts w:ascii="MS Mincho" w:hAnsi="MS Mincho"/>
          <w:sz w:val="21"/>
        </w:rPr>
        <w:t>・子宮体がん：病態（エストロゲン関連）、治療（子宮全摘、リンパ節郭清、ホルモン、化学療法）</w:t>
      </w:r>
    </w:p>
    <w:p>
      <w:r>
        <w:rPr>
          <w:rFonts w:ascii="MS Mincho" w:hAnsi="MS Mincho"/>
          <w:sz w:val="21"/>
        </w:rPr>
        <w:t>・卵巣がん：病態（Silent Killer）、治療（腫瘍減量術、化学療法）</w:t>
      </w:r>
    </w:p>
    <w:p>
      <w:r>
        <w:rPr>
          <w:rFonts w:ascii="MS Mincho" w:hAnsi="MS Mincho"/>
          <w:sz w:val="21"/>
        </w:rPr>
        <w:t>・外陰・膣がん：病態、治療（外陰切除、放射線療法）</w:t>
      </w:r>
    </w:p>
    <w:p>
      <w:r>
        <w:rPr>
          <w:rFonts w:ascii="MS Mincho" w:hAnsi="MS Mincho"/>
          <w:sz w:val="21"/>
        </w:rPr>
        <w:t>・看護のポイント：告知後の心理的ケア、治療選択支援、副作用管理</w:t>
      </w:r>
    </w:p>
    <w:p>
      <w:r>
        <w:rPr>
          <w:rFonts w:ascii="MS Gothic" w:hAnsi="MS Gothic"/>
          <w:b/>
          <w:color w:val="6B214E"/>
          <w:sz w:val="22"/>
        </w:rPr>
        <w:t>3. 周手術期看護の実際（25分）</w:t>
      </w:r>
    </w:p>
    <w:p>
      <w:r>
        <w:rPr>
          <w:rFonts w:ascii="MS Mincho" w:hAnsi="MS Mincho"/>
          <w:sz w:val="21"/>
        </w:rPr>
        <w:t>・術前看護：身体的準備、心理的支援、術後訓練の指導</w:t>
      </w:r>
    </w:p>
    <w:p>
      <w:r>
        <w:rPr>
          <w:rFonts w:ascii="MS Mincho" w:hAnsi="MS Mincho"/>
          <w:sz w:val="21"/>
        </w:rPr>
        <w:t>・術後看護：全身状態の観察、疼痛管理、合併症（DVT、イレウス、創部感染）予防</w:t>
      </w:r>
    </w:p>
    <w:p>
      <w:r>
        <w:rPr>
          <w:rFonts w:ascii="MS Mincho" w:hAnsi="MS Mincho"/>
          <w:sz w:val="21"/>
        </w:rPr>
        <w:t>・広汎子宮全摘術特有の看護</w:t>
      </w:r>
    </w:p>
    <w:p>
      <w:r>
        <w:rPr>
          <w:rFonts w:ascii="MS Mincho" w:hAnsi="MS Mincho"/>
          <w:sz w:val="21"/>
        </w:rPr>
        <w:t>・排尿障害：原因、自己導尿指導、残尿測定</w:t>
      </w:r>
    </w:p>
    <w:p>
      <w:r>
        <w:rPr>
          <w:rFonts w:ascii="MS Mincho" w:hAnsi="MS Mincho"/>
          <w:sz w:val="21"/>
        </w:rPr>
        <w:t>・リンパ浮腫：原因、予防教育、スキンケア、早期発見</w:t>
      </w:r>
    </w:p>
    <w:p>
      <w:r>
        <w:rPr>
          <w:rFonts w:ascii="MS Gothic" w:hAnsi="MS Gothic"/>
          <w:b/>
          <w:color w:val="6B214E"/>
          <w:sz w:val="22"/>
        </w:rPr>
        <w:t>4. ライフサイクルに伴う健康課題への看護（20分）</w:t>
      </w:r>
    </w:p>
    <w:p>
      <w:r>
        <w:rPr>
          <w:rFonts w:ascii="MS Mincho" w:hAnsi="MS Mincho"/>
          <w:sz w:val="21"/>
        </w:rPr>
        <w:t>・月経異常：思春期・性成熟期の無月経、月経不順、月経困難症、PMSへの生活指導と心理的支援</w:t>
      </w:r>
    </w:p>
    <w:p>
      <w:r>
        <w:rPr>
          <w:rFonts w:ascii="MS Mincho" w:hAnsi="MS Mincho"/>
          <w:sz w:val="21"/>
        </w:rPr>
        <w:t>・更年期障害：症状のアセスメント（身体・精神）、治療法（HRT、漢方）、看護・生活支援</w:t>
      </w:r>
    </w:p>
    <w:p>
      <w:r>
        <w:rPr>
          <w:rFonts w:ascii="MS Mincho" w:hAnsi="MS Mincho"/>
          <w:sz w:val="21"/>
        </w:rPr>
        <w:t>・不妊症・不育症：不妊治療の実際（ART含む）、心理的葛藤への理解、意思決定支援、カップルへの支援</w:t>
      </w:r>
    </w:p>
    <w:p>
      <w:r>
        <w:rPr>
          <w:rFonts w:ascii="MS Gothic" w:hAnsi="MS Gothic"/>
          <w:b/>
          <w:color w:val="6B214E"/>
          <w:sz w:val="22"/>
        </w:rPr>
        <w:t>5. 心理社会的支援と倫理（10分）</w:t>
      </w:r>
    </w:p>
    <w:p>
      <w:r>
        <w:rPr>
          <w:rFonts w:ascii="MS Mincho" w:hAnsi="MS Mincho"/>
          <w:sz w:val="21"/>
        </w:rPr>
        <w:t>・女性性の喪失とボディイメージ：喪失感、ボディイメージの変容への受容支援、パートナーシップへの配慮</w:t>
      </w:r>
    </w:p>
    <w:p>
      <w:r>
        <w:rPr>
          <w:rFonts w:ascii="MS Mincho" w:hAnsi="MS Mincho"/>
          <w:sz w:val="21"/>
        </w:rPr>
        <w:t>・告知後の支援と倫理的配慮：がん告知後の心理的プロセス、意思決定支援、遺伝情報の扱い</w:t>
      </w:r>
    </w:p>
    <w:p>
      <w:r>
        <w:rPr>
          <w:rFonts w:ascii="MS Gothic" w:hAnsi="MS Gothic"/>
          <w:b/>
          <w:color w:val="6B214E"/>
          <w:sz w:val="22"/>
        </w:rPr>
        <w:t>6. まとめと質疑応答（5分）</w:t>
      </w:r>
    </w:p>
    <w:p>
      <w:r>
        <w:rPr>
          <w:rFonts w:ascii="MS Mincho" w:hAnsi="MS Mincho"/>
          <w:sz w:val="21"/>
        </w:rPr>
        <w:t>・本日の重要ポイントの再確認</w:t>
      </w:r>
    </w:p>
    <w:p>
      <w:r>
        <w:rPr>
          <w:rFonts w:ascii="MS Mincho" w:hAnsi="MS Mincho"/>
          <w:sz w:val="21"/>
        </w:rPr>
        <w:t>・試験のポイント</w:t>
      </w:r>
    </w:p>
    <w:p>
      <w:r>
        <w:rPr>
          <w:rFonts w:ascii="MS Mincho" w:hAnsi="MS Mincho"/>
          <w:sz w:val="21"/>
        </w:rPr>
        <w:t>・質疑応答</w:t>
      </w:r>
    </w:p>
    <w:p/>
    <w:p>
      <w:r>
        <w:rPr>
          <w:rFonts w:ascii="MS Gothic" w:hAnsi="MS Gothic"/>
          <w:b/>
          <w:color w:val="9D174D"/>
          <w:sz w:val="26"/>
        </w:rPr>
        <w:t>評価方法</w:t>
      </w:r>
    </w:p>
    <w:p>
      <w:r>
        <w:rPr>
          <w:rFonts w:ascii="MS Mincho" w:hAnsi="MS Mincho"/>
          <w:sz w:val="21"/>
        </w:rPr>
        <w:t>・講義中の発言、ワークシートの提出、小テストなど</w:t>
      </w:r>
    </w:p>
    <w:p/>
    <w:p>
      <w:r>
        <w:rPr>
          <w:rFonts w:ascii="MS Gothic" w:hAnsi="MS Gothic"/>
          <w:b/>
          <w:color w:val="9D174D"/>
          <w:sz w:val="26"/>
        </w:rPr>
        <w:t>準備物</w:t>
      </w:r>
    </w:p>
    <w:p>
      <w:r>
        <w:rPr>
          <w:rFonts w:ascii="MS Mincho" w:hAnsi="MS Mincho"/>
          <w:sz w:val="21"/>
        </w:rPr>
        <w:t>・講義スライド（プロジェクター、PC）</w:t>
      </w:r>
    </w:p>
    <w:p>
      <w:r>
        <w:rPr>
          <w:rFonts w:ascii="MS Mincho" w:hAnsi="MS Mincho"/>
          <w:sz w:val="21"/>
        </w:rPr>
        <w:t>・ワークシート</w:t>
      </w:r>
    </w:p>
    <w:p>
      <w:r>
        <w:rPr>
          <w:rFonts w:ascii="MS Mincho" w:hAnsi="MS Mincho"/>
          <w:sz w:val="21"/>
        </w:rPr>
        <w:t>・筆記用具</w:t>
      </w:r>
    </w:p>
    <w:sectPr w:rsidR="00FC693F" w:rsidRPr="0006063C" w:rsidSect="00034616">
      <w:pgSz w:w="12240" w:h="15840"/>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MS Mincho" w:hAnsi="MS Mincho"/>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