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80"/>
        <w:jc w:val="left"/>
      </w:pPr>
      <w:r>
        <w:rPr>
          <w:rFonts w:ascii="Arial" w:cs="Arial" w:eastAsia="Arial" w:hAnsi="Arial"/>
          <w:b/>
          <w:bCs/>
          <w:color w:val="2E75B6"/>
          <w:sz w:val="22"/>
          <w:szCs w:val="22"/>
        </w:rPr>
        <w:t xml:space="preserve">OPSEVOLUTION</w:t>
      </w:r>
    </w:p>
    <w:p>
      <w:pPr>
        <w:spacing w:after="40"/>
        <w:jc w:val="left"/>
      </w:pPr>
      <w:r>
        <w:rPr>
          <w:rFonts w:ascii="Arial" w:cs="Arial" w:eastAsia="Arial" w:hAnsi="Arial"/>
          <w:color w:val="666666"/>
          <w:sz w:val="18"/>
          <w:szCs w:val="18"/>
        </w:rPr>
        <w:t xml:space="preserve">Growth Operations for Industrial Tech</w:t>
      </w:r>
    </w:p>
    <w:p>
      <w:pPr>
        <w:pBdr>
          <w:bottom w:val="single" w:color="E8793A" w:sz="6" w:space="8"/>
        </w:pBdr>
        <w:spacing w:after="200"/>
      </w:pPr>
    </w:p>
    <w:p>
      <w:pPr>
        <w:spacing w:before="200"/>
        <w:jc w:val="left"/>
      </w:pPr>
      <w:r>
        <w:rPr>
          <w:rFonts w:ascii="Arial" w:cs="Arial" w:eastAsia="Arial" w:hAnsi="Arial"/>
          <w:b/>
          <w:bCs/>
          <w:color w:val="1B2A4A"/>
          <w:sz w:val="56"/>
          <w:szCs w:val="56"/>
        </w:rPr>
        <w:t xml:space="preserve">Growth Operations</w:t>
      </w:r>
    </w:p>
    <w:p>
      <w:pPr>
        <w:spacing w:after="40"/>
        <w:jc w:val="left"/>
      </w:pPr>
      <w:r>
        <w:rPr>
          <w:rFonts w:ascii="Arial" w:cs="Arial" w:eastAsia="Arial" w:hAnsi="Arial"/>
          <w:b/>
          <w:bCs/>
          <w:color w:val="1B2A4A"/>
          <w:sz w:val="56"/>
          <w:szCs w:val="56"/>
        </w:rPr>
        <w:t xml:space="preserve">Maturity Benchmark</w:t>
      </w:r>
    </w:p>
    <w:p>
      <w:pPr>
        <w:spacing w:after="200"/>
        <w:jc w:val="left"/>
      </w:pPr>
      <w:r>
        <w:rPr>
          <w:rFonts w:ascii="Arial" w:cs="Arial" w:eastAsia="Arial" w:hAnsi="Arial"/>
          <w:b/>
          <w:bCs/>
          <w:color w:val="E8793A"/>
          <w:sz w:val="36"/>
          <w:szCs w:val="36"/>
        </w:rPr>
        <w:t xml:space="preserve">Italian Industrial Tech Edition</w:t>
      </w:r>
    </w:p>
    <w:p>
      <w:pPr>
        <w:pBdr>
          <w:bottom w:val="single" w:color="E0E0E0" w:sz="2" w:space="8"/>
        </w:pBdr>
        <w:spacing w:after="80"/>
      </w:pPr>
    </w:p>
    <w:p>
      <w:pPr>
        <w:spacing w:after="160" w:before="0" w:line="276"/>
        <w:jc w:val="left"/>
      </w:pPr>
      <w:r>
        <w:rPr>
          <w:rFonts w:ascii="Arial" w:cs="Arial" w:eastAsia="Arial" w:hAnsi="Arial"/>
          <w:b w:val="false"/>
          <w:bCs w:val="false"/>
          <w:i w:val="false"/>
          <w:iCs w:val="false"/>
          <w:color w:val="555555"/>
          <w:sz w:val="20"/>
          <w:szCs w:val="20"/>
        </w:rPr>
        <w:t xml:space="preserve">20 Companies Analysed  |  7 Operational Domains  |  140 Data Points</w:t>
      </w:r>
    </w:p>
    <w:p>
      <w:pPr>
        <w:spacing w:after="400" w:before="0" w:line="276"/>
        <w:jc w:val="left"/>
      </w:pPr>
      <w:r>
        <w:rPr>
          <w:rFonts w:ascii="Arial" w:cs="Arial" w:eastAsia="Arial" w:hAnsi="Arial"/>
          <w:b w:val="false"/>
          <w:bCs w:val="false"/>
          <w:i w:val="false"/>
          <w:iCs w:val="false"/>
          <w:color w:val="555555"/>
          <w:sz w:val="20"/>
          <w:szCs w:val="20"/>
        </w:rPr>
        <w:t xml:space="preserve">From Brescia to Bologna, Turin to Genoa: the most comprehensive assessment of growth operations maturity across Italy's robotics, automation, and industrial technology ecosystem.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9"/>
        <w:gridCol w:w="3009"/>
        <w:gridCol w:w="3008"/>
      </w:tblGrid>
      <w:tr>
        <w:tc>
          <w:tcPr>
            <w:tcW w:type="dxa" w:w="3009"/>
            <w:tcBorders>
              <w:top w:val="none"/>
              <w:left w:val="none"/>
              <w:bottom w:val="none"/>
              <w:right w:val="none"/>
            </w:tcBorders>
            <w:tcMar>
              <w:top w:type="dxa" w:w="60"/>
              <w:left w:type="dxa" w:w="100"/>
              <w:bottom w:type="dxa" w:w="60"/>
              <w:right w:type="dxa" w:w="100"/>
            </w:tcMar>
          </w:tcPr>
          <w:p>
            <w:pPr>
              <w:spacing w:after="0"/>
              <w:jc w:val="center"/>
            </w:pPr>
            <w:r>
              <w:rPr>
                <w:rFonts w:ascii="Arial" w:cs="Arial" w:eastAsia="Arial" w:hAnsi="Arial"/>
                <w:b/>
                <w:bCs/>
                <w:color w:val="E8793A"/>
                <w:sz w:val="44"/>
                <w:szCs w:val="44"/>
              </w:rPr>
              <w:t xml:space="preserve">2.86 / 5.0</w:t>
            </w:r>
          </w:p>
          <w:p>
            <w:pPr>
              <w:spacing w:after="0"/>
              <w:jc w:val="center"/>
            </w:pPr>
            <w:r>
              <w:rPr>
                <w:rFonts w:ascii="Arial" w:cs="Arial" w:eastAsia="Arial" w:hAnsi="Arial"/>
                <w:b/>
                <w:bCs/>
                <w:color w:val="1B2A4A"/>
                <w:sz w:val="18"/>
                <w:szCs w:val="18"/>
              </w:rPr>
              <w:t xml:space="preserve">Industry Composite</w:t>
            </w:r>
          </w:p>
          <w:p>
            <w:pPr>
              <w:spacing w:after="40"/>
              <w:jc w:val="center"/>
            </w:pPr>
            <w:r>
              <w:rPr>
                <w:rFonts w:ascii="Arial" w:cs="Arial" w:eastAsia="Arial" w:hAnsi="Arial"/>
                <w:i/>
                <w:iCs/>
                <w:color w:val="666666"/>
                <w:sz w:val="16"/>
                <w:szCs w:val="16"/>
              </w:rPr>
              <w:t xml:space="preserve">Across 20 companies</w:t>
            </w:r>
          </w:p>
        </w:tc>
        <w:tc>
          <w:tcPr>
            <w:tcW w:type="dxa" w:w="3009"/>
            <w:tcBorders>
              <w:top w:val="none"/>
              <w:left w:val="none"/>
              <w:bottom w:val="none"/>
              <w:right w:val="none"/>
            </w:tcBorders>
            <w:tcMar>
              <w:top w:type="dxa" w:w="60"/>
              <w:left w:type="dxa" w:w="100"/>
              <w:bottom w:type="dxa" w:w="60"/>
              <w:right w:type="dxa" w:w="100"/>
            </w:tcMar>
          </w:tcPr>
          <w:p>
            <w:pPr>
              <w:spacing w:after="0"/>
              <w:jc w:val="center"/>
            </w:pPr>
            <w:r>
              <w:rPr>
                <w:rFonts w:ascii="Arial" w:cs="Arial" w:eastAsia="Arial" w:hAnsi="Arial"/>
                <w:b/>
                <w:bCs/>
                <w:color w:val="E8793A"/>
                <w:sz w:val="44"/>
                <w:szCs w:val="44"/>
              </w:rPr>
              <w:t xml:space="preserve">1.93 / 5.0</w:t>
            </w:r>
          </w:p>
          <w:p>
            <w:pPr>
              <w:spacing w:after="0"/>
              <w:jc w:val="center"/>
            </w:pPr>
            <w:r>
              <w:rPr>
                <w:rFonts w:ascii="Arial" w:cs="Arial" w:eastAsia="Arial" w:hAnsi="Arial"/>
                <w:b/>
                <w:bCs/>
                <w:color w:val="1B2A4A"/>
                <w:sz w:val="18"/>
                <w:szCs w:val="18"/>
              </w:rPr>
              <w:t xml:space="preserve">Weakest Domain</w:t>
            </w:r>
          </w:p>
          <w:p>
            <w:pPr>
              <w:spacing w:after="40"/>
              <w:jc w:val="center"/>
            </w:pPr>
            <w:r>
              <w:rPr>
                <w:rFonts w:ascii="Arial" w:cs="Arial" w:eastAsia="Arial" w:hAnsi="Arial"/>
                <w:i/>
                <w:iCs/>
                <w:color w:val="666666"/>
                <w:sz w:val="16"/>
                <w:szCs w:val="16"/>
              </w:rPr>
              <w:t xml:space="preserve">Measurement &amp; Attribution</w:t>
            </w:r>
          </w:p>
        </w:tc>
        <w:tc>
          <w:tcPr>
            <w:tcW w:type="dxa" w:w="3008"/>
            <w:tcBorders>
              <w:top w:val="none"/>
              <w:left w:val="none"/>
              <w:bottom w:val="none"/>
              <w:right w:val="none"/>
            </w:tcBorders>
            <w:tcMar>
              <w:top w:type="dxa" w:w="60"/>
              <w:left w:type="dxa" w:w="100"/>
              <w:bottom w:type="dxa" w:w="60"/>
              <w:right w:type="dxa" w:w="100"/>
            </w:tcMar>
          </w:tcPr>
          <w:p>
            <w:pPr>
              <w:spacing w:after="0"/>
              <w:jc w:val="center"/>
            </w:pPr>
            <w:r>
              <w:rPr>
                <w:rFonts w:ascii="Arial" w:cs="Arial" w:eastAsia="Arial" w:hAnsi="Arial"/>
                <w:b/>
                <w:bCs/>
                <w:color w:val="E8793A"/>
                <w:sz w:val="44"/>
                <w:szCs w:val="44"/>
              </w:rPr>
              <w:t xml:space="preserve">3.58 / 5.0</w:t>
            </w:r>
          </w:p>
          <w:p>
            <w:pPr>
              <w:spacing w:after="0"/>
              <w:jc w:val="center"/>
            </w:pPr>
            <w:r>
              <w:rPr>
                <w:rFonts w:ascii="Arial" w:cs="Arial" w:eastAsia="Arial" w:hAnsi="Arial"/>
                <w:b/>
                <w:bCs/>
                <w:color w:val="1B2A4A"/>
                <w:sz w:val="18"/>
                <w:szCs w:val="18"/>
              </w:rPr>
              <w:t xml:space="preserve">Strongest Domain</w:t>
            </w:r>
          </w:p>
          <w:p>
            <w:pPr>
              <w:spacing w:after="40"/>
              <w:jc w:val="center"/>
            </w:pPr>
            <w:r>
              <w:rPr>
                <w:rFonts w:ascii="Arial" w:cs="Arial" w:eastAsia="Arial" w:hAnsi="Arial"/>
                <w:i/>
                <w:iCs/>
                <w:color w:val="666666"/>
                <w:sz w:val="16"/>
                <w:szCs w:val="16"/>
              </w:rPr>
              <w:t xml:space="preserve">Technology Stack</w:t>
            </w:r>
          </w:p>
        </w:tc>
      </w:tr>
    </w:tbl>
    <w:p>
      <w:pPr>
        <w:spacing w:before="600"/>
      </w:pPr>
    </w:p>
    <w:p>
      <w:pPr>
        <w:spacing w:after="160" w:before="0" w:line="276"/>
        <w:jc w:val="left"/>
      </w:pPr>
      <w:r>
        <w:rPr>
          <w:rFonts w:ascii="Arial" w:cs="Arial" w:eastAsia="Arial" w:hAnsi="Arial"/>
          <w:b w:val="false"/>
          <w:bCs w:val="false"/>
          <w:i w:val="false"/>
          <w:iCs w:val="false"/>
          <w:color w:val="999999"/>
          <w:sz w:val="20"/>
          <w:szCs w:val="20"/>
        </w:rPr>
        <w:t xml:space="preserve">March 2026 Edition</w:t>
      </w:r>
    </w:p>
    <w:p>
      <w:pPr>
        <w:spacing w:after="160" w:before="0" w:line="276"/>
        <w:jc w:val="left"/>
      </w:pPr>
      <w:r>
        <w:rPr>
          <w:rFonts w:ascii="Arial" w:cs="Arial" w:eastAsia="Arial" w:hAnsi="Arial"/>
          <w:b w:val="false"/>
          <w:bCs w:val="false"/>
          <w:i/>
          <w:iCs/>
          <w:color w:val="999999"/>
          <w:sz w:val="18"/>
          <w:szCs w:val="18"/>
        </w:rPr>
        <w:t xml:space="preserve">Proprietary &amp; Confidential</w:t>
      </w:r>
    </w:p>
    <w:p>
      <w:pPr>
        <w:sectPr>
          <w:pgSz w:w="11906" w:h="16838" w:orient="portrait"/>
          <w:pgMar w:top="1440" w:right="1440" w:bottom="1440" w:left="1440" w:header="708" w:footer="708" w:gutter="0"/>
          <w:pgNumType/>
          <w:docGrid w:linePitch="360"/>
        </w:sectPr>
      </w:pPr>
    </w:p>
    <w:p>
      <w:pPr>
        <w:pStyle w:val="Heading1"/>
        <w:spacing w:before="400" w:after="160"/>
      </w:pPr>
      <w:r>
        <w:rPr>
          <w:rFonts w:ascii="Arial" w:cs="Arial" w:eastAsia="Arial" w:hAnsi="Arial"/>
        </w:rPr>
        <w:t xml:space="preserve">Executive Summary</w:t>
      </w:r>
    </w:p>
    <w:p>
      <w:pPr>
        <w:spacing w:after="160" w:before="0" w:line="276"/>
        <w:jc w:val="both"/>
      </w:pPr>
      <w:r>
        <w:rPr>
          <w:rFonts w:ascii="Arial" w:cs="Arial" w:eastAsia="Arial" w:hAnsi="Arial"/>
          <w:b w:val="false"/>
          <w:bCs w:val="false"/>
          <w:i w:val="false"/>
          <w:iCs w:val="false"/>
          <w:color w:val="333333"/>
          <w:sz w:val="22"/>
          <w:szCs w:val="22"/>
        </w:rPr>
        <w:t xml:space="preserve">This report presents the most comprehensive publicly available benchmark of growth operations maturity across the Italian industrial technology ecosystem. It is based on structured analysis of 20 companies spanning robotics, automation, industrial IoT, cybersecurity, space logistics, additive manufacturing, neurotech, and power generation, evaluated across seven operational domains using a standardised five-point maturity framework.</w:t>
      </w:r>
    </w:p>
    <w:p>
      <w:pPr>
        <w:spacing w:after="160" w:before="0" w:line="276"/>
        <w:jc w:val="both"/>
      </w:pPr>
      <w:r>
        <w:rPr>
          <w:rFonts w:ascii="Arial" w:cs="Arial" w:eastAsia="Arial" w:hAnsi="Arial"/>
          <w:b w:val="false"/>
          <w:bCs w:val="false"/>
          <w:i w:val="false"/>
          <w:iCs w:val="false"/>
          <w:color w:val="333333"/>
          <w:sz w:val="22"/>
          <w:szCs w:val="22"/>
        </w:rPr>
        <w:t xml:space="preserve">The study encompasses 140 individual domain scores derived from publicly available evidence including corporate websites, financial filings, LinkedIn organisational mapping, job postings, partner ecosystems, content libraries, trade show presence, analyst coverage, and technology infrastructure audits. Each company received a domain-by-domain maturity assessment and a composite score reflecting its overall growth operations readiness.</w:t>
      </w:r>
    </w:p>
    <w:p>
      <w:pPr>
        <w:spacing w:after="160" w:before="0" w:line="276"/>
        <w:jc w:val="both"/>
      </w:pPr>
      <w:r>
        <w:rPr>
          <w:rFonts w:ascii="Arial" w:cs="Arial" w:eastAsia="Arial" w:hAnsi="Arial"/>
          <w:b/>
          <w:bCs/>
          <w:i w:val="false"/>
          <w:iCs w:val="false"/>
          <w:color w:val="333333"/>
          <w:sz w:val="22"/>
          <w:szCs w:val="22"/>
        </w:rPr>
        <w:t xml:space="preserve">The single most important finding: </w:t>
      </w:r>
      <w:r>
        <w:rPr>
          <w:rFonts w:ascii="Arial" w:cs="Arial" w:eastAsia="Arial" w:hAnsi="Arial"/>
          <w:b w:val="false"/>
          <w:bCs w:val="false"/>
          <w:i w:val="false"/>
          <w:iCs w:val="false"/>
          <w:color w:val="333333"/>
          <w:sz w:val="22"/>
          <w:szCs w:val="22"/>
        </w:rPr>
        <w:t xml:space="preserve">across all 20 companies analysed, Measurement, Attribution, and Performance Reporting is the weakest operational domain, averaging just </w:t>
      </w:r>
      <w:r>
        <w:rPr>
          <w:rFonts w:ascii="Arial" w:cs="Arial" w:eastAsia="Arial" w:hAnsi="Arial"/>
          <w:b/>
          <w:bCs/>
          <w:i w:val="false"/>
          <w:iCs w:val="false"/>
          <w:color w:val="333333"/>
          <w:sz w:val="22"/>
          <w:szCs w:val="22"/>
        </w:rPr>
        <w:t xml:space="preserve">1.93 out of 5.0.</w:t>
      </w:r>
      <w:r>
        <w:rPr>
          <w:rFonts w:ascii="Arial" w:cs="Arial" w:eastAsia="Arial" w:hAnsi="Arial"/>
          <w:b w:val="false"/>
          <w:bCs w:val="false"/>
          <w:i w:val="false"/>
          <w:iCs w:val="false"/>
          <w:color w:val="333333"/>
          <w:sz w:val="22"/>
          <w:szCs w:val="22"/>
        </w:rPr>
        <w:t xml:space="preserve"> Not a single company in the sample achieved a 5.0 in this domain. Even companies with world-class technology platforms and strong brand positioning cannot reliably connect their growth investments to revenue outcomes. This represents the sector's largest blind spot and its most immediate improvement opportunity.</w:t>
      </w:r>
    </w:p>
    <w:p>
      <w:pPr>
        <w:spacing w:after="160" w:before="0" w:line="276"/>
        <w:jc w:val="both"/>
      </w:pPr>
      <w:r>
        <w:rPr>
          <w:rFonts w:ascii="Arial" w:cs="Arial" w:eastAsia="Arial" w:hAnsi="Arial"/>
          <w:b/>
          <w:bCs/>
          <w:i w:val="false"/>
          <w:iCs w:val="false"/>
          <w:color w:val="333333"/>
          <w:sz w:val="22"/>
          <w:szCs w:val="22"/>
        </w:rPr>
        <w:t xml:space="preserve">The second critical finding: </w:t>
      </w:r>
      <w:r>
        <w:rPr>
          <w:rFonts w:ascii="Arial" w:cs="Arial" w:eastAsia="Arial" w:hAnsi="Arial"/>
          <w:b w:val="false"/>
          <w:bCs w:val="false"/>
          <w:i w:val="false"/>
          <w:iCs w:val="false"/>
          <w:color w:val="333333"/>
          <w:sz w:val="22"/>
          <w:szCs w:val="22"/>
        </w:rPr>
        <w:t xml:space="preserve">Technology Stack is the strongest domain at </w:t>
      </w:r>
      <w:r>
        <w:rPr>
          <w:rFonts w:ascii="Arial" w:cs="Arial" w:eastAsia="Arial" w:hAnsi="Arial"/>
          <w:b/>
          <w:bCs/>
          <w:i w:val="false"/>
          <w:iCs w:val="false"/>
          <w:color w:val="333333"/>
          <w:sz w:val="22"/>
          <w:szCs w:val="22"/>
        </w:rPr>
        <w:t xml:space="preserve">3.58 / 5.0,</w:t>
      </w:r>
      <w:r>
        <w:rPr>
          <w:rFonts w:ascii="Arial" w:cs="Arial" w:eastAsia="Arial" w:hAnsi="Arial"/>
          <w:b w:val="false"/>
          <w:bCs w:val="false"/>
          <w:i w:val="false"/>
          <w:iCs w:val="false"/>
          <w:color w:val="333333"/>
          <w:sz w:val="22"/>
          <w:szCs w:val="22"/>
        </w:rPr>
        <w:t xml:space="preserve"> confirming that Italian industrial companies invest heavily in engineering and product development. However, strong technology without corresponding commercial infrastructure creates the pattern most common in this ecosystem: exceptional products that are undercommercialised. The gap between what these companies build and what they sell is the defining operational challenge of Italian industrial tech.</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8793A" w:sz="1"/>
              <w:left w:val="single" w:color="E8793A" w:sz="12"/>
              <w:bottom w:val="single" w:color="E8793A" w:sz="1"/>
              <w:right w:val="single" w:color="E8793A" w:sz="1"/>
            </w:tcBorders>
            <w:shd w:fill="FFF8F0" w:val="clear"/>
            <w:tcMar>
              <w:top w:type="dxa" w:w="120"/>
              <w:left w:type="dxa" w:w="200"/>
              <w:bottom w:type="dxa" w:w="120"/>
              <w:right w:type="dxa" w:w="200"/>
            </w:tcMar>
          </w:tcPr>
          <w:p>
            <w:pPr>
              <w:spacing w:line="276"/>
            </w:pPr>
            <w:r>
              <w:rPr>
                <w:rFonts w:ascii="Arial" w:cs="Arial" w:eastAsia="Arial" w:hAnsi="Arial"/>
                <w:i/>
                <w:iCs/>
                <w:color w:val="333333"/>
                <w:sz w:val="21"/>
                <w:szCs w:val="21"/>
              </w:rPr>
              <w:t xml:space="preserve">What this means for founders: If your company builds world-class technology but struggles to generate predictable pipeline, shorten sales cycles, or convert pilots into production, you are not alone. You are the industry average. The question is what you do about it.</w:t>
            </w:r>
          </w:p>
        </w:tc>
      </w:tr>
    </w:tbl>
    <w:p>
      <w:r>
        <w:br w:type="page"/>
      </w:r>
    </w:p>
    <w:p>
      <w:pPr>
        <w:pStyle w:val="Heading1"/>
        <w:spacing w:before="400" w:after="160"/>
      </w:pPr>
      <w:r>
        <w:rPr>
          <w:rFonts w:ascii="Arial" w:cs="Arial" w:eastAsia="Arial" w:hAnsi="Arial"/>
        </w:rPr>
        <w:t xml:space="preserve">Key Findings at a Glance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1800"/>
        <w:gridCol w:w="4426"/>
      </w:tblGrid>
      <w:tr>
        <w:tc>
          <w:tcPr>
            <w:tcW w:type="dxa" w:w="28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Metric</w:t>
            </w:r>
          </w:p>
        </w:tc>
        <w:tc>
          <w:tcPr>
            <w:tcW w:type="dxa" w:w="18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Value</w:t>
            </w:r>
          </w:p>
        </w:tc>
        <w:tc>
          <w:tcPr>
            <w:tcW w:type="dxa" w:w="4426"/>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Interpretation</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Industry Composite Average</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2.86 / 5.0</w:t>
            </w:r>
          </w:p>
        </w:tc>
        <w:tc>
          <w:tcPr>
            <w:tcW w:type="dxa" w:w="44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The typical Italian industrial tech company operates between Emerging and Defined maturity</w:t>
            </w:r>
          </w:p>
        </w:tc>
      </w:tr>
      <w:tr>
        <w:tc>
          <w:tcPr>
            <w:tcW w:type="dxa" w:w="2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Strongest Domain (Industry-Wide)</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Technology Stack (3.58)</w:t>
            </w:r>
          </w:p>
        </w:tc>
        <w:tc>
          <w:tcPr>
            <w:tcW w:type="dxa" w:w="44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Engineering-first DNA is the defining characteristic of the ecosystem</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Weakest Domain (Industry-Wide)</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Measurement (1.93)</w:t>
            </w:r>
          </w:p>
        </w:tc>
        <w:tc>
          <w:tcPr>
            <w:tcW w:type="dxa" w:w="44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The universal blind spot. No company achieved 5.0</w:t>
            </w:r>
          </w:p>
        </w:tc>
      </w:tr>
      <w:tr>
        <w:tc>
          <w:tcPr>
            <w:tcW w:type="dxa" w:w="2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Score Range</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1.6 – 3.7</w:t>
            </w:r>
          </w:p>
        </w:tc>
        <w:tc>
          <w:tcPr>
            <w:tcW w:type="dxa" w:w="44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A 2.1-point spread reveals massive operational disparity</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Top Performers (Composite ≥ 3.5)</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5 companies</w:t>
            </w:r>
          </w:p>
        </w:tc>
        <w:tc>
          <w:tcPr>
            <w:tcW w:type="dxa" w:w="44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Carel, Comau, Antares Vision, HWG Sababa, D-Orbit</w:t>
            </w:r>
          </w:p>
        </w:tc>
      </w:tr>
      <w:tr>
        <w:tc>
          <w:tcPr>
            <w:tcW w:type="dxa" w:w="2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Below 2.5 (Composite)</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6 companies</w:t>
            </w:r>
          </w:p>
        </w:tc>
        <w:tc>
          <w:tcPr>
            <w:tcW w:type="dxa" w:w="44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Growth constrained by absent commercial infrastructure, not product quality</w:t>
            </w:r>
          </w:p>
        </w:tc>
      </w:tr>
    </w:tbl>
    <w:p>
      <w:pPr>
        <w:spacing w:before="400"/>
      </w:pPr>
    </w:p>
    <w:p>
      <w:pPr>
        <w:pStyle w:val="Heading1"/>
        <w:spacing w:before="400" w:after="160"/>
      </w:pPr>
      <w:r>
        <w:rPr>
          <w:rFonts w:ascii="Arial" w:cs="Arial" w:eastAsia="Arial" w:hAnsi="Arial"/>
        </w:rPr>
        <w:t xml:space="preserve">Methodology</w:t>
      </w:r>
    </w:p>
    <w:p>
      <w:pPr>
        <w:spacing w:after="160" w:before="0" w:line="276"/>
        <w:jc w:val="both"/>
      </w:pPr>
      <w:r>
        <w:rPr>
          <w:rFonts w:ascii="Arial" w:cs="Arial" w:eastAsia="Arial" w:hAnsi="Arial"/>
          <w:b w:val="false"/>
          <w:bCs w:val="false"/>
          <w:i w:val="false"/>
          <w:iCs w:val="false"/>
          <w:color w:val="333333"/>
          <w:sz w:val="22"/>
          <w:szCs w:val="22"/>
        </w:rPr>
        <w:t xml:space="preserve">Each company was evaluated across seven operational domains using a standardised 1.0–5.0 maturity scale. Scores are based exclusively on publicly available evidence, ensuring reproducibility and objectivity. The seven domains are:</w:t>
      </w:r>
    </w:p>
    <w:p>
      <w:pPr>
        <w:spacing w:after="160" w:before="0" w:line="276"/>
        <w:jc w:val="both"/>
      </w:pPr>
      <w:r>
        <w:rPr>
          <w:rFonts w:ascii="Arial" w:cs="Arial" w:eastAsia="Arial" w:hAnsi="Arial"/>
          <w:b/>
          <w:bCs/>
          <w:i w:val="false"/>
          <w:iCs w:val="false"/>
          <w:color w:val="333333"/>
          <w:sz w:val="21"/>
          <w:szCs w:val="21"/>
        </w:rPr>
        <w:t xml:space="preserve">1. Growth Team Organisational Architecture: </w:t>
      </w:r>
      <w:r>
        <w:rPr>
          <w:rFonts w:ascii="Arial" w:cs="Arial" w:eastAsia="Arial" w:hAnsi="Arial"/>
          <w:b w:val="false"/>
          <w:bCs w:val="false"/>
          <w:i w:val="false"/>
          <w:iCs w:val="false"/>
          <w:color w:val="333333"/>
          <w:sz w:val="21"/>
          <w:szCs w:val="21"/>
        </w:rPr>
        <w:t xml:space="preserve">The structure, specialisation, and scalability of the commercial growth function. Measures whether the company has moved beyond founder-dependent sales.</w:t>
      </w:r>
    </w:p>
    <w:p>
      <w:pPr>
        <w:spacing w:after="160" w:before="0" w:line="276"/>
        <w:jc w:val="both"/>
      </w:pPr>
      <w:r>
        <w:rPr>
          <w:rFonts w:ascii="Arial" w:cs="Arial" w:eastAsia="Arial" w:hAnsi="Arial"/>
          <w:b/>
          <w:bCs/>
          <w:i w:val="false"/>
          <w:iCs w:val="false"/>
          <w:color w:val="333333"/>
          <w:sz w:val="21"/>
          <w:szCs w:val="21"/>
        </w:rPr>
        <w:t xml:space="preserve">2. Content Infrastructure &amp; Thought Leadership: </w:t>
      </w:r>
      <w:r>
        <w:rPr>
          <w:rFonts w:ascii="Arial" w:cs="Arial" w:eastAsia="Arial" w:hAnsi="Arial"/>
          <w:b w:val="false"/>
          <w:bCs w:val="false"/>
          <w:i w:val="false"/>
          <w:iCs w:val="false"/>
          <w:color w:val="333333"/>
          <w:sz w:val="21"/>
          <w:szCs w:val="21"/>
        </w:rPr>
        <w:t xml:space="preserve">The depth, breadth, and commercial effectiveness of the content ecosystem. Evaluates whether content serves the full buying committee, not just technical evaluators.</w:t>
      </w:r>
    </w:p>
    <w:p>
      <w:pPr>
        <w:spacing w:after="160" w:before="0" w:line="276"/>
        <w:jc w:val="both"/>
      </w:pPr>
      <w:r>
        <w:rPr>
          <w:rFonts w:ascii="Arial" w:cs="Arial" w:eastAsia="Arial" w:hAnsi="Arial"/>
          <w:b/>
          <w:bCs/>
          <w:i w:val="false"/>
          <w:iCs w:val="false"/>
          <w:color w:val="333333"/>
          <w:sz w:val="21"/>
          <w:szCs w:val="21"/>
        </w:rPr>
        <w:t xml:space="preserve">3. Sales Process &amp; Enterprise Deal Architecture: </w:t>
      </w:r>
      <w:r>
        <w:rPr>
          <w:rFonts w:ascii="Arial" w:cs="Arial" w:eastAsia="Arial" w:hAnsi="Arial"/>
          <w:b w:val="false"/>
          <w:bCs w:val="false"/>
          <w:i w:val="false"/>
          <w:iCs w:val="false"/>
          <w:color w:val="333333"/>
          <w:sz w:val="21"/>
          <w:szCs w:val="21"/>
        </w:rPr>
        <w:t xml:space="preserve">The maturity of the sales methodology, channel architecture, deal staging, and pilot-to-production conversion systems.</w:t>
      </w:r>
    </w:p>
    <w:p>
      <w:pPr>
        <w:spacing w:after="160" w:before="0" w:line="276"/>
        <w:jc w:val="both"/>
      </w:pPr>
      <w:r>
        <w:rPr>
          <w:rFonts w:ascii="Arial" w:cs="Arial" w:eastAsia="Arial" w:hAnsi="Arial"/>
          <w:b/>
          <w:bCs/>
          <w:i w:val="false"/>
          <w:iCs w:val="false"/>
          <w:color w:val="333333"/>
          <w:sz w:val="21"/>
          <w:szCs w:val="21"/>
        </w:rPr>
        <w:t xml:space="preserve">4. Technology Stack &amp; Data Infrastructure: </w:t>
      </w:r>
      <w:r>
        <w:rPr>
          <w:rFonts w:ascii="Arial" w:cs="Arial" w:eastAsia="Arial" w:hAnsi="Arial"/>
          <w:b w:val="false"/>
          <w:bCs w:val="false"/>
          <w:i w:val="false"/>
          <w:iCs w:val="false"/>
          <w:color w:val="333333"/>
          <w:sz w:val="21"/>
          <w:szCs w:val="21"/>
        </w:rPr>
        <w:t xml:space="preserve">The sophistication of both product technology and commercial technology (CRM, marketing automation, analytics).</w:t>
      </w:r>
    </w:p>
    <w:p>
      <w:pPr>
        <w:spacing w:after="160" w:before="0" w:line="276"/>
        <w:jc w:val="both"/>
      </w:pPr>
      <w:r>
        <w:rPr>
          <w:rFonts w:ascii="Arial" w:cs="Arial" w:eastAsia="Arial" w:hAnsi="Arial"/>
          <w:b/>
          <w:bCs/>
          <w:i w:val="false"/>
          <w:iCs w:val="false"/>
          <w:color w:val="333333"/>
          <w:sz w:val="21"/>
          <w:szCs w:val="21"/>
        </w:rPr>
        <w:t xml:space="preserve">5. Customer Success &amp; Expansion Revenue: </w:t>
      </w:r>
      <w:r>
        <w:rPr>
          <w:rFonts w:ascii="Arial" w:cs="Arial" w:eastAsia="Arial" w:hAnsi="Arial"/>
          <w:b w:val="false"/>
          <w:bCs w:val="false"/>
          <w:i w:val="false"/>
          <w:iCs w:val="false"/>
          <w:color w:val="333333"/>
          <w:sz w:val="21"/>
          <w:szCs w:val="21"/>
        </w:rPr>
        <w:t xml:space="preserve">The systematisation of post-sale lifecycle management, including onboarding, health monitoring, expansion triggers, and advocacy programmes.</w:t>
      </w:r>
    </w:p>
    <w:p>
      <w:pPr>
        <w:spacing w:after="160" w:before="0" w:line="276"/>
        <w:jc w:val="both"/>
      </w:pPr>
      <w:r>
        <w:rPr>
          <w:rFonts w:ascii="Arial" w:cs="Arial" w:eastAsia="Arial" w:hAnsi="Arial"/>
          <w:b/>
          <w:bCs/>
          <w:i w:val="false"/>
          <w:iCs w:val="false"/>
          <w:color w:val="333333"/>
          <w:sz w:val="21"/>
          <w:szCs w:val="21"/>
        </w:rPr>
        <w:t xml:space="preserve">6. Measurement, Attribution &amp; Performance: </w:t>
      </w:r>
      <w:r>
        <w:rPr>
          <w:rFonts w:ascii="Arial" w:cs="Arial" w:eastAsia="Arial" w:hAnsi="Arial"/>
          <w:b w:val="false"/>
          <w:bCs w:val="false"/>
          <w:i w:val="false"/>
          <w:iCs w:val="false"/>
          <w:color w:val="333333"/>
          <w:sz w:val="21"/>
          <w:szCs w:val="21"/>
        </w:rPr>
        <w:t xml:space="preserve">The ability to connect growth investments to revenue outcomes through structured tracking, attribution, and performance reporting.</w:t>
      </w:r>
    </w:p>
    <w:p>
      <w:pPr>
        <w:spacing w:after="160" w:before="0" w:line="276"/>
        <w:jc w:val="both"/>
      </w:pPr>
      <w:r>
        <w:rPr>
          <w:rFonts w:ascii="Arial" w:cs="Arial" w:eastAsia="Arial" w:hAnsi="Arial"/>
          <w:b/>
          <w:bCs/>
          <w:i w:val="false"/>
          <w:iCs w:val="false"/>
          <w:color w:val="333333"/>
          <w:sz w:val="21"/>
          <w:szCs w:val="21"/>
        </w:rPr>
        <w:t xml:space="preserve">7. Brand Positioning &amp; Market Narrative Control: </w:t>
      </w:r>
      <w:r>
        <w:rPr>
          <w:rFonts w:ascii="Arial" w:cs="Arial" w:eastAsia="Arial" w:hAnsi="Arial"/>
          <w:b w:val="false"/>
          <w:bCs w:val="false"/>
          <w:i w:val="false"/>
          <w:iCs w:val="false"/>
          <w:color w:val="333333"/>
          <w:sz w:val="21"/>
          <w:szCs w:val="21"/>
        </w:rPr>
        <w:t xml:space="preserve">The strength of category positioning, analyst relationships, trade show presence, and narrative ownership in the market.</w:t>
      </w:r>
    </w:p>
    <w:p>
      <w:pPr>
        <w:spacing w:after="160" w:before="0" w:line="276"/>
        <w:jc w:val="both"/>
      </w:pPr>
      <w:r>
        <w:rPr>
          <w:rFonts w:ascii="Arial" w:cs="Arial" w:eastAsia="Arial" w:hAnsi="Arial"/>
          <w:b/>
          <w:bCs/>
          <w:i w:val="false"/>
          <w:iCs w:val="false"/>
          <w:color w:val="333333"/>
          <w:sz w:val="22"/>
          <w:szCs w:val="22"/>
        </w:rPr>
        <w:t xml:space="preserve">Maturity scale: </w:t>
      </w:r>
      <w:r>
        <w:rPr>
          <w:rFonts w:ascii="Arial" w:cs="Arial" w:eastAsia="Arial" w:hAnsi="Arial"/>
          <w:b w:val="false"/>
          <w:bCs w:val="false"/>
          <w:i w:val="false"/>
          <w:iCs w:val="false"/>
          <w:color w:val="333333"/>
          <w:sz w:val="22"/>
          <w:szCs w:val="22"/>
        </w:rPr>
        <w:t xml:space="preserve">1.0 = Ad Hoc (no formal process), 2.0 = Emerging (initial structure), 3.0 = Defined (documented and repeatable), 4.0 = Managed (measured and optimised), 5.0 = Optimised (industry-leading, continuously improved).</w:t>
      </w:r>
    </w:p>
    <w:p>
      <w:r>
        <w:br w:type="page"/>
      </w:r>
    </w:p>
    <w:p>
      <w:pPr>
        <w:pStyle w:val="Heading1"/>
        <w:spacing w:before="400" w:after="160"/>
      </w:pPr>
      <w:r>
        <w:rPr>
          <w:rFonts w:ascii="Arial" w:cs="Arial" w:eastAsia="Arial" w:hAnsi="Arial"/>
        </w:rPr>
        <w:t xml:space="preserve">Complete Company Rankings</w:t>
      </w:r>
    </w:p>
    <w:p>
      <w:pPr>
        <w:spacing w:after="160" w:before="0" w:line="276"/>
        <w:jc w:val="both"/>
      </w:pPr>
      <w:r>
        <w:rPr>
          <w:rFonts w:ascii="Arial" w:cs="Arial" w:eastAsia="Arial" w:hAnsi="Arial"/>
          <w:b w:val="false"/>
          <w:bCs w:val="false"/>
          <w:i w:val="false"/>
          <w:iCs w:val="false"/>
          <w:color w:val="333333"/>
          <w:sz w:val="22"/>
          <w:szCs w:val="22"/>
        </w:rPr>
        <w:t xml:space="preserve">The following table presents all 20 companies ranked by composite score, with individual domain scores colour-coded by maturity level.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50"/>
        <w:gridCol w:w="1800"/>
        <w:gridCol w:w="750"/>
        <w:gridCol w:w="750"/>
        <w:gridCol w:w="750"/>
        <w:gridCol w:w="750"/>
        <w:gridCol w:w="750"/>
        <w:gridCol w:w="750"/>
        <w:gridCol w:w="750"/>
        <w:gridCol w:w="626"/>
      </w:tblGrid>
      <w:tr>
        <w:tc>
          <w:tcPr>
            <w:tcW w:type="dxa" w:w="3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w:t>
            </w:r>
          </w:p>
        </w:tc>
        <w:tc>
          <w:tcPr>
            <w:tcW w:type="dxa" w:w="18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Company</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Org</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Content</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Sales</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Tech</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CS</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Meas.</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Brand</w:t>
            </w:r>
          </w:p>
        </w:tc>
        <w:tc>
          <w:tcPr>
            <w:tcW w:type="dxa" w:w="626"/>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Total</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Carel Industries</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3.7</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Comau</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3.7</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Antares Vision</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3.6</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HWG Sababa</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3.6</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5</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D-Orbit</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3.5</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6</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System Logistics</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3.4</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7</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Datalogic</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3.3</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8</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Prima Industrie</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3.3</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9</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Ansaldo Energia</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3.1</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10</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Roboze</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626"/>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3.1</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11</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Alleantia</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2.9</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12</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Desys</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2.6</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13</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Corticale</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D4ED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4.0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2.6</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14</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Oversonic Robotics</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2.5</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Tiesse Robot</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2.4</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16</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IT+Robotics</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2.2</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17</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Generative Bionics</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2.1</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18</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Proxima Robotics</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626"/>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2.1</w:t>
            </w:r>
          </w:p>
        </w:tc>
      </w:tr>
      <w:tr>
        <w:tc>
          <w:tcPr>
            <w:tcW w:type="dxa" w:w="35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19</w:t>
            </w:r>
          </w:p>
        </w:tc>
        <w:tc>
          <w:tcPr>
            <w:tcW w:type="dxa" w:w="1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qbrobotics</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1.0</w:t>
            </w:r>
          </w:p>
        </w:tc>
        <w:tc>
          <w:tcPr>
            <w:tcW w:type="dxa" w:w="75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3.0</w:t>
            </w:r>
          </w:p>
        </w:tc>
        <w:tc>
          <w:tcPr>
            <w:tcW w:type="dxa" w:w="626"/>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1.9</w:t>
            </w:r>
          </w:p>
        </w:tc>
      </w:tr>
      <w:tr>
        <w:tc>
          <w:tcPr>
            <w:tcW w:type="dxa" w:w="35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20</w:t>
            </w:r>
          </w:p>
        </w:tc>
        <w:tc>
          <w:tcPr>
            <w:tcW w:type="dxa" w:w="1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6"/>
                <w:szCs w:val="16"/>
              </w:rPr>
              <w:t xml:space="preserve">Cognivix</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1.5</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1.0</w:t>
            </w:r>
          </w:p>
        </w:tc>
        <w:tc>
          <w:tcPr>
            <w:tcW w:type="dxa" w:w="75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1.0</w:t>
            </w:r>
          </w:p>
        </w:tc>
        <w:tc>
          <w:tcPr>
            <w:tcW w:type="dxa" w:w="75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6"/>
                <w:szCs w:val="16"/>
              </w:rPr>
              <w:t xml:space="preserve">2.5</w:t>
            </w:r>
          </w:p>
        </w:tc>
        <w:tc>
          <w:tcPr>
            <w:tcW w:type="dxa" w:w="626"/>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bCs/>
                <w:color w:val="333333"/>
                <w:sz w:val="16"/>
                <w:szCs w:val="16"/>
              </w:rPr>
              <w:t xml:space="preserve">1.6</w:t>
            </w:r>
          </w:p>
        </w:tc>
      </w:tr>
      <w:tr>
        <w:tc>
          <w:tcPr>
            <w:tcW w:type="dxa" w:w="2150"/>
            <w:gridSpan w:val="2"/>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left"/>
            </w:pPr>
            <w:r>
              <w:rPr>
                <w:rFonts w:ascii="Arial" w:cs="Arial" w:eastAsia="Arial" w:hAnsi="Arial"/>
                <w:b/>
                <w:bCs/>
                <w:color w:val="FFFFFF"/>
                <w:sz w:val="16"/>
                <w:szCs w:val="16"/>
              </w:rPr>
              <w:t xml:space="preserve">INDUSTRY AVERAGE</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2.42</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2.70</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3.00</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3.58</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2.73</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1.93</w:t>
            </w:r>
          </w:p>
        </w:tc>
        <w:tc>
          <w:tcPr>
            <w:tcW w:type="dxa" w:w="75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3.65</w:t>
            </w:r>
          </w:p>
        </w:tc>
        <w:tc>
          <w:tcPr>
            <w:tcW w:type="dxa" w:w="626"/>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tcPr>
          <w:p>
            <w:pPr>
              <w:jc w:val="center"/>
            </w:pPr>
            <w:r>
              <w:rPr>
                <w:rFonts w:ascii="Arial" w:cs="Arial" w:eastAsia="Arial" w:hAnsi="Arial"/>
                <w:b/>
                <w:bCs/>
                <w:color w:val="FFFFFF"/>
                <w:sz w:val="16"/>
                <w:szCs w:val="16"/>
              </w:rPr>
              <w:t xml:space="preserve">2.86</w:t>
            </w:r>
          </w:p>
        </w:tc>
      </w:tr>
    </w:tbl>
    <w:p>
      <w:pPr>
        <w:spacing w:before="120"/>
      </w:pPr>
    </w:p>
    <w:p>
      <w:pPr>
        <w:spacing w:after="160" w:before="0" w:line="276"/>
        <w:jc w:val="both"/>
      </w:pPr>
      <w:r>
        <w:rPr>
          <w:rFonts w:ascii="Arial" w:cs="Arial" w:eastAsia="Arial" w:hAnsi="Arial"/>
          <w:b/>
          <w:bCs/>
          <w:i w:val="false"/>
          <w:iCs w:val="false"/>
          <w:color w:val="333333"/>
          <w:sz w:val="18"/>
          <w:szCs w:val="18"/>
        </w:rPr>
        <w:t xml:space="preserve">Legend: </w:t>
      </w:r>
      <w:r>
        <w:rPr>
          <w:rFonts w:ascii="Arial" w:cs="Arial" w:eastAsia="Arial" w:hAnsi="Arial"/>
          <w:b w:val="false"/>
          <w:bCs w:val="false"/>
          <w:i/>
          <w:iCs/>
          <w:color w:val="333333"/>
          <w:sz w:val="18"/>
          <w:szCs w:val="18"/>
        </w:rPr>
        <w:t xml:space="preserve">Green (≥ 4.0) = Managed/Optimised. Yellow (3.0–3.9) = Defined. Orange (2.0–2.9) = Emerging. Red (&lt; 2.0) = Ad Hoc.</w:t>
      </w:r>
    </w:p>
    <w:p>
      <w:r>
        <w:br w:type="page"/>
      </w:r>
    </w:p>
    <w:p>
      <w:pPr>
        <w:pStyle w:val="Heading1"/>
        <w:spacing w:before="400" w:after="160"/>
      </w:pPr>
      <w:r>
        <w:rPr>
          <w:rFonts w:ascii="Arial" w:cs="Arial" w:eastAsia="Arial" w:hAnsi="Arial"/>
        </w:rPr>
        <w:t xml:space="preserve">Domain-by-Domain Industry Analysis</w:t>
      </w:r>
    </w:p>
    <w:p>
      <w:pPr>
        <w:spacing w:after="160" w:before="0" w:line="276"/>
        <w:jc w:val="both"/>
      </w:pPr>
      <w:r>
        <w:rPr>
          <w:rFonts w:ascii="Arial" w:cs="Arial" w:eastAsia="Arial" w:hAnsi="Arial"/>
          <w:b w:val="false"/>
          <w:bCs w:val="false"/>
          <w:i w:val="false"/>
          <w:iCs w:val="false"/>
          <w:color w:val="333333"/>
          <w:sz w:val="22"/>
          <w:szCs w:val="22"/>
        </w:rPr>
        <w:t xml:space="preserve">This section examines each of the seven operational domains individually, revealing where Italian industrial tech companies concentrate their investment and where systemic gaps persist.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1200"/>
        <w:gridCol w:w="1200"/>
        <w:gridCol w:w="1200"/>
        <w:gridCol w:w="2626"/>
      </w:tblGrid>
      <w:tr>
        <w:tc>
          <w:tcPr>
            <w:tcW w:type="dxa" w:w="28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Domain</w:t>
            </w:r>
          </w:p>
        </w:tc>
        <w:tc>
          <w:tcPr>
            <w:tcW w:type="dxa" w:w="12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Average</w:t>
            </w:r>
          </w:p>
        </w:tc>
        <w:tc>
          <w:tcPr>
            <w:tcW w:type="dxa" w:w="12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Min</w:t>
            </w:r>
          </w:p>
        </w:tc>
        <w:tc>
          <w:tcPr>
            <w:tcW w:type="dxa" w:w="12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Max</w:t>
            </w:r>
          </w:p>
        </w:tc>
        <w:tc>
          <w:tcPr>
            <w:tcW w:type="dxa" w:w="2626"/>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Top vs Bottom Gap</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Growth Team Org</w:t>
            </w:r>
          </w:p>
        </w:tc>
        <w:tc>
          <w:tcPr>
            <w:tcW w:type="dxa" w:w="120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2.42</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1.5</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3.5</w:t>
            </w:r>
          </w:p>
        </w:tc>
        <w:tc>
          <w:tcPr>
            <w:tcW w:type="dxa" w:w="26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1.2</w:t>
            </w:r>
          </w:p>
        </w:tc>
      </w:tr>
      <w:tr>
        <w:tc>
          <w:tcPr>
            <w:tcW w:type="dxa" w:w="2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Content Infrastructure</w:t>
            </w:r>
          </w:p>
        </w:tc>
        <w:tc>
          <w:tcPr>
            <w:tcW w:type="dxa" w:w="120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2.70</w:t>
            </w:r>
          </w:p>
        </w:tc>
        <w:tc>
          <w:tcPr>
            <w:tcW w:type="dxa" w:w="12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1.5</w:t>
            </w:r>
          </w:p>
        </w:tc>
        <w:tc>
          <w:tcPr>
            <w:tcW w:type="dxa" w:w="12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4.0</w:t>
            </w:r>
          </w:p>
        </w:tc>
        <w:tc>
          <w:tcPr>
            <w:tcW w:type="dxa" w:w="26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0.8</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Sales Process</w:t>
            </w:r>
          </w:p>
        </w:tc>
        <w:tc>
          <w:tcPr>
            <w:tcW w:type="dxa" w:w="120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3.00</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1.5</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4.0</w:t>
            </w:r>
          </w:p>
        </w:tc>
        <w:tc>
          <w:tcPr>
            <w:tcW w:type="dxa" w:w="26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0.7</w:t>
            </w:r>
          </w:p>
        </w:tc>
      </w:tr>
      <w:tr>
        <w:tc>
          <w:tcPr>
            <w:tcW w:type="dxa" w:w="2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Technology Stack</w:t>
            </w:r>
          </w:p>
        </w:tc>
        <w:tc>
          <w:tcPr>
            <w:tcW w:type="dxa" w:w="120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3.58</w:t>
            </w:r>
          </w:p>
        </w:tc>
        <w:tc>
          <w:tcPr>
            <w:tcW w:type="dxa" w:w="12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2.0</w:t>
            </w:r>
          </w:p>
        </w:tc>
        <w:tc>
          <w:tcPr>
            <w:tcW w:type="dxa" w:w="12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4.5</w:t>
            </w:r>
          </w:p>
        </w:tc>
        <w:tc>
          <w:tcPr>
            <w:tcW w:type="dxa" w:w="26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0.5</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Customer Success</w:t>
            </w:r>
          </w:p>
        </w:tc>
        <w:tc>
          <w:tcPr>
            <w:tcW w:type="dxa" w:w="1200"/>
            <w:tcBorders>
              <w:top w:val="single" w:color="E0E0E0" w:sz="1"/>
              <w:left w:val="single" w:color="E0E0E0" w:sz="1"/>
              <w:bottom w:val="single" w:color="E0E0E0" w:sz="1"/>
              <w:right w:val="single" w:color="E0E0E0" w:sz="1"/>
            </w:tcBorders>
            <w:shd w:fill="FFE0CC"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2.73</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1.0</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4.0</w:t>
            </w:r>
          </w:p>
        </w:tc>
        <w:tc>
          <w:tcPr>
            <w:tcW w:type="dxa" w:w="26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0.6</w:t>
            </w:r>
          </w:p>
        </w:tc>
      </w:tr>
      <w:tr>
        <w:tc>
          <w:tcPr>
            <w:tcW w:type="dxa" w:w="28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Measurement</w:t>
            </w:r>
          </w:p>
        </w:tc>
        <w:tc>
          <w:tcPr>
            <w:tcW w:type="dxa" w:w="1200"/>
            <w:tcBorders>
              <w:top w:val="single" w:color="E0E0E0" w:sz="1"/>
              <w:left w:val="single" w:color="E0E0E0" w:sz="1"/>
              <w:bottom w:val="single" w:color="E0E0E0" w:sz="1"/>
              <w:right w:val="single" w:color="E0E0E0" w:sz="1"/>
            </w:tcBorders>
            <w:shd w:fill="F8D7DA"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1.93</w:t>
            </w:r>
          </w:p>
        </w:tc>
        <w:tc>
          <w:tcPr>
            <w:tcW w:type="dxa" w:w="12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1.0</w:t>
            </w:r>
          </w:p>
        </w:tc>
        <w:tc>
          <w:tcPr>
            <w:tcW w:type="dxa" w:w="12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3.0</w:t>
            </w:r>
          </w:p>
        </w:tc>
        <w:tc>
          <w:tcPr>
            <w:tcW w:type="dxa" w:w="26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0.9</w:t>
            </w:r>
          </w:p>
        </w:tc>
      </w:tr>
      <w:tr>
        <w:tc>
          <w:tcPr>
            <w:tcW w:type="dxa" w:w="28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bCs/>
                <w:color w:val="333333"/>
                <w:sz w:val="17"/>
                <w:szCs w:val="17"/>
              </w:rPr>
              <w:t xml:space="preserve">Brand &amp; Positioning</w:t>
            </w:r>
          </w:p>
        </w:tc>
        <w:tc>
          <w:tcPr>
            <w:tcW w:type="dxa" w:w="1200"/>
            <w:tcBorders>
              <w:top w:val="single" w:color="E0E0E0" w:sz="1"/>
              <w:left w:val="single" w:color="E0E0E0" w:sz="1"/>
              <w:bottom w:val="single" w:color="E0E0E0" w:sz="1"/>
              <w:right w:val="single" w:color="E0E0E0" w:sz="1"/>
            </w:tcBorders>
            <w:shd w:fill="FFF3CD"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3.65</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2.5</w:t>
            </w:r>
          </w:p>
        </w:tc>
        <w:tc>
          <w:tcPr>
            <w:tcW w:type="dxa" w:w="12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4.5</w:t>
            </w:r>
          </w:p>
        </w:tc>
        <w:tc>
          <w:tcPr>
            <w:tcW w:type="dxa" w:w="26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color w:val="333333"/>
                <w:sz w:val="17"/>
                <w:szCs w:val="17"/>
              </w:rPr>
              <w:t xml:space="preserve">Δ 0.1</w:t>
            </w:r>
          </w:p>
        </w:tc>
      </w:tr>
    </w:tbl>
    <w:p>
      <w:pPr>
        <w:spacing w:before="300"/>
      </w:pPr>
    </w:p>
    <w:p>
      <w:pPr>
        <w:pStyle w:val="Heading2"/>
        <w:spacing w:before="240" w:after="160"/>
      </w:pPr>
      <w:r>
        <w:rPr>
          <w:rFonts w:ascii="Arial" w:cs="Arial" w:eastAsia="Arial" w:hAnsi="Arial"/>
        </w:rPr>
        <w:t xml:space="preserve">Domain 1: Growth Team Organisational Architecture (Avg: 2.42 / 5.0)</w:t>
      </w:r>
    </w:p>
    <w:p>
      <w:pPr>
        <w:spacing w:after="160" w:before="0" w:line="276"/>
        <w:jc w:val="both"/>
      </w:pPr>
      <w:r>
        <w:rPr>
          <w:rFonts w:ascii="Arial" w:cs="Arial" w:eastAsia="Arial" w:hAnsi="Arial"/>
          <w:b w:val="false"/>
          <w:bCs w:val="false"/>
          <w:i w:val="false"/>
          <w:iCs w:val="false"/>
          <w:color w:val="333333"/>
          <w:sz w:val="22"/>
          <w:szCs w:val="22"/>
        </w:rPr>
        <w:t xml:space="preserve">The industry average of 2.42 places this domain below the Defined threshold, revealing that the typical Italian industrial tech company still depends on one or two individuals for its entire commercial function. Carel Industries, Comau, and HWG Sababa lead at 3.5, demonstrating what happens when companies invest in market-split commercial leadership, dedicated competence centres, and structured CRO-level accountability. At the lower end, Cognivix (1.5), Proxima Robotics (1.5), qbrobotics (1.5), and IT+Robotics (1.5) illustrate the founder-dependency trap: world-class technical talent with no dedicated commercial infrastructure.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8793A" w:sz="1"/>
              <w:left w:val="single" w:color="E8793A" w:sz="12"/>
              <w:bottom w:val="single" w:color="E8793A" w:sz="1"/>
              <w:right w:val="single" w:color="E8793A" w:sz="1"/>
            </w:tcBorders>
            <w:shd w:fill="FFF8F0" w:val="clear"/>
            <w:tcMar>
              <w:top w:type="dxa" w:w="120"/>
              <w:left w:type="dxa" w:w="200"/>
              <w:bottom w:type="dxa" w:w="120"/>
              <w:right w:type="dxa" w:w="200"/>
            </w:tcMar>
          </w:tcPr>
          <w:p>
            <w:pPr>
              <w:spacing w:line="276"/>
            </w:pPr>
            <w:r>
              <w:rPr>
                <w:rFonts w:ascii="Arial" w:cs="Arial" w:eastAsia="Arial" w:hAnsi="Arial"/>
                <w:i/>
                <w:iCs/>
                <w:color w:val="333333"/>
                <w:sz w:val="21"/>
                <w:szCs w:val="21"/>
              </w:rPr>
              <w:t xml:space="preserve">What this means for your company: If your growth function depends on the founder closing every deal and attending every trade show, you are operating below the industry average. The data shows that transitioning from 2.0 to 3.5 in this domain correlates directly with the ability to generate pipeline beyond the founder's personal bandwidth.</w:t>
            </w:r>
          </w:p>
        </w:tc>
      </w:tr>
    </w:tbl>
    <w:p>
      <w:pPr>
        <w:pStyle w:val="Heading2"/>
        <w:spacing w:before="240" w:after="160"/>
      </w:pPr>
      <w:r>
        <w:rPr>
          <w:rFonts w:ascii="Arial" w:cs="Arial" w:eastAsia="Arial" w:hAnsi="Arial"/>
        </w:rPr>
        <w:t xml:space="preserve">Domain 2: Content Infrastructure &amp; Thought Leadership (Avg: 2.70 / 5.0)</w:t>
      </w:r>
    </w:p>
    <w:p>
      <w:pPr>
        <w:spacing w:after="160" w:before="0" w:line="276"/>
        <w:jc w:val="both"/>
      </w:pPr>
      <w:r>
        <w:rPr>
          <w:rFonts w:ascii="Arial" w:cs="Arial" w:eastAsia="Arial" w:hAnsi="Arial"/>
          <w:b w:val="false"/>
          <w:bCs w:val="false"/>
          <w:i w:val="false"/>
          <w:iCs w:val="false"/>
          <w:color w:val="333333"/>
          <w:sz w:val="22"/>
          <w:szCs w:val="22"/>
        </w:rPr>
        <w:t xml:space="preserve">Content Infrastructure averages 2.70, with significant disparity. Carel Industries leads at 4.0 with a deep technical library including white papers, success stories, a CPQ configuration tool, and trade-show-specific microsites. Datalogic, Desys, Comau, and Antares Vision follow at 3.5, each demonstrating multi-format content ecosystems. The weakest performers (Cognivix, Proxima Robotics, Generative Bionics at 1.5) have almost no owned content beyond product pages, relying instead on PR-driven visibility. A consistent pattern emerges: companies scoring below 2.5 in Content also score below 3.0 in Sales Process, suggesting content depth is a prerequisite for effective enterprise selling.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8793A" w:sz="1"/>
              <w:left w:val="single" w:color="E8793A" w:sz="12"/>
              <w:bottom w:val="single" w:color="E8793A" w:sz="1"/>
              <w:right w:val="single" w:color="E8793A" w:sz="1"/>
            </w:tcBorders>
            <w:shd w:fill="FFF8F0" w:val="clear"/>
            <w:tcMar>
              <w:top w:type="dxa" w:w="120"/>
              <w:left w:type="dxa" w:w="200"/>
              <w:bottom w:type="dxa" w:w="120"/>
              <w:right w:type="dxa" w:w="200"/>
            </w:tcMar>
          </w:tcPr>
          <w:p>
            <w:pPr>
              <w:spacing w:line="276"/>
            </w:pPr>
            <w:r>
              <w:rPr>
                <w:rFonts w:ascii="Arial" w:cs="Arial" w:eastAsia="Arial" w:hAnsi="Arial"/>
                <w:i/>
                <w:iCs/>
                <w:color w:val="333333"/>
                <w:sz w:val="21"/>
                <w:szCs w:val="21"/>
              </w:rPr>
              <w:t xml:space="preserve">What this means for your company: If your content library consists primarily of product datasheets and your CEO's LinkedIn posts, you are operating below the median. Companies with structured, persona-targeted content (3.5+) consistently achieve stronger pipeline performance because every member of the buying committee finds relevant material.</w:t>
            </w:r>
          </w:p>
        </w:tc>
      </w:tr>
    </w:tbl>
    <w:p>
      <w:pPr>
        <w:pStyle w:val="Heading2"/>
        <w:spacing w:before="240" w:after="160"/>
      </w:pPr>
      <w:r>
        <w:rPr>
          <w:rFonts w:ascii="Arial" w:cs="Arial" w:eastAsia="Arial" w:hAnsi="Arial"/>
        </w:rPr>
        <w:t xml:space="preserve">Domain 3: Sales Process &amp; Enterprise Deal Architecture (Avg: 3.00 / 5.0)</w:t>
      </w:r>
    </w:p>
    <w:p>
      <w:pPr>
        <w:spacing w:after="160" w:before="0" w:line="276"/>
        <w:jc w:val="both"/>
      </w:pPr>
      <w:r>
        <w:rPr>
          <w:rFonts w:ascii="Arial" w:cs="Arial" w:eastAsia="Arial" w:hAnsi="Arial"/>
          <w:b w:val="false"/>
          <w:bCs w:val="false"/>
          <w:i w:val="false"/>
          <w:iCs w:val="false"/>
          <w:color w:val="333333"/>
          <w:sz w:val="22"/>
          <w:szCs w:val="22"/>
        </w:rPr>
        <w:t xml:space="preserve">Sales Process averages 3.00 and shows the widest performance spread in the benchmark. Comau, Antares Vision, HWG Sababa, D-Orbit, System Logistics, and Prima Industrie all achieve 4.0, reflecting decades of accumulated enterprise deal experience, multi-stakeholder navigation capability, and structured partner channel architectures. At the other end, Cognivix (1.5), qbrobotics (1.5), and multiple early-stage companies operate without formal sales methodology. The data reveals that companies with strong partner ecosystems consistently outperform those relying on direct founder-led selling, even at equivalent revenue levels.</w:t>
      </w:r>
    </w:p>
    <w:p>
      <w:pPr>
        <w:pStyle w:val="Heading2"/>
        <w:spacing w:before="240" w:after="160"/>
      </w:pPr>
      <w:r>
        <w:rPr>
          <w:rFonts w:ascii="Arial" w:cs="Arial" w:eastAsia="Arial" w:hAnsi="Arial"/>
        </w:rPr>
        <w:t xml:space="preserve">Domain 4: Technology Stack &amp; Data Infrastructure (Avg: 3.58 / 5.0)</w:t>
      </w:r>
    </w:p>
    <w:p>
      <w:pPr>
        <w:spacing w:after="160" w:before="0" w:line="276"/>
        <w:jc w:val="both"/>
      </w:pPr>
      <w:r>
        <w:rPr>
          <w:rFonts w:ascii="Arial" w:cs="Arial" w:eastAsia="Arial" w:hAnsi="Arial"/>
          <w:b w:val="false"/>
          <w:bCs w:val="false"/>
          <w:i w:val="false"/>
          <w:iCs w:val="false"/>
          <w:color w:val="333333"/>
          <w:sz w:val="22"/>
          <w:szCs w:val="22"/>
        </w:rPr>
        <w:t xml:space="preserve">This is the strongest domain at 3.58, confirming the engineering-first DNA of the Italian industrial tech ecosystem. Comau, System Logistics, and Alleantia all achieve 4.5, with Antares Vision and Carel Industries also scoring 4.0–4.5. The minimum score is 2.0 (Tiesse Robot), meaning even the weakest company in the sample has invested in product technology. The narrowest performance spread of any domain confirms that Italian companies invest heavily in building products. The critical insight is that this strength masks a structural weakness: strong product technology paired with absent commercial technology (CRM, marketing automation, pipeline analytics) is the most common operational pattern in the ecosystem.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8793A" w:sz="1"/>
              <w:left w:val="single" w:color="E8793A" w:sz="12"/>
              <w:bottom w:val="single" w:color="E8793A" w:sz="1"/>
              <w:right w:val="single" w:color="E8793A" w:sz="1"/>
            </w:tcBorders>
            <w:shd w:fill="FFF8F0" w:val="clear"/>
            <w:tcMar>
              <w:top w:type="dxa" w:w="120"/>
              <w:left w:type="dxa" w:w="200"/>
              <w:bottom w:type="dxa" w:w="120"/>
              <w:right w:type="dxa" w:w="200"/>
            </w:tcMar>
          </w:tcPr>
          <w:p>
            <w:pPr>
              <w:spacing w:line="276"/>
            </w:pPr>
            <w:r>
              <w:rPr>
                <w:rFonts w:ascii="Arial" w:cs="Arial" w:eastAsia="Arial" w:hAnsi="Arial"/>
                <w:i/>
                <w:iCs/>
                <w:color w:val="333333"/>
                <w:sz w:val="21"/>
                <w:szCs w:val="21"/>
              </w:rPr>
              <w:t xml:space="preserve">What this means for your company: If you score 4.0+ in Technology Stack but below 2.5 in Measurement, you are building excellent products without the systems to know which commercial activities generate revenue. This is the single most common imbalance in Italian industrial tech.</w:t>
            </w:r>
          </w:p>
        </w:tc>
      </w:tr>
    </w:tbl>
    <w:p>
      <w:pPr>
        <w:pStyle w:val="Heading2"/>
        <w:spacing w:before="240" w:after="160"/>
      </w:pPr>
      <w:r>
        <w:rPr>
          <w:rFonts w:ascii="Arial" w:cs="Arial" w:eastAsia="Arial" w:hAnsi="Arial"/>
        </w:rPr>
        <w:t xml:space="preserve">Domain 5: Customer Success &amp; Expansion Revenue (Avg: 2.73 / 5.0)</w:t>
      </w:r>
    </w:p>
    <w:p>
      <w:pPr>
        <w:spacing w:after="160" w:before="0" w:line="276"/>
        <w:jc w:val="both"/>
      </w:pPr>
      <w:r>
        <w:rPr>
          <w:rFonts w:ascii="Arial" w:cs="Arial" w:eastAsia="Arial" w:hAnsi="Arial"/>
          <w:b w:val="false"/>
          <w:bCs w:val="false"/>
          <w:i w:val="false"/>
          <w:iCs w:val="false"/>
          <w:color w:val="333333"/>
          <w:sz w:val="22"/>
          <w:szCs w:val="22"/>
        </w:rPr>
        <w:t xml:space="preserve">Customer Success averages 2.73, with System Logistics leading at 4.0 through its multi-phase project expansion model. Comau, D-Orbit, HWG Sababa, Antares Vision, and Carel Industries all achieve 3.5. The pilot-to-production conversion gap, which industry data suggests affects 40–60% of robotics deployments, is directly reflected in scores below 3.0. Companies like Cognivix (1.0), qbrobotics (1.5), and Generative Bionics (1.5) have not yet built the lifecycle management systems needed to convert first deployments into expansion revenue. For companies in the 2.0–2.5 range, structured quarterly reviews and defined expansion triggers represent the highest-leverage intervention.</w:t>
      </w:r>
    </w:p>
    <w:p>
      <w:pPr>
        <w:pStyle w:val="Heading2"/>
        <w:spacing w:before="240" w:after="160"/>
      </w:pPr>
      <w:r>
        <w:rPr>
          <w:rFonts w:ascii="Arial" w:cs="Arial" w:eastAsia="Arial" w:hAnsi="Arial"/>
        </w:rPr>
        <w:t xml:space="preserve">Domain 6: Measurement, Attribution &amp; Performance (Avg: 1.93 / 5.0)</w:t>
      </w:r>
    </w:p>
    <w:p>
      <w:pPr>
        <w:spacing w:after="160" w:before="0" w:line="276"/>
        <w:jc w:val="both"/>
      </w:pPr>
      <w:r>
        <w:rPr>
          <w:rFonts w:ascii="Arial" w:cs="Arial" w:eastAsia="Arial" w:hAnsi="Arial"/>
          <w:b w:val="false"/>
          <w:bCs w:val="false"/>
          <w:i w:val="false"/>
          <w:iCs w:val="false"/>
          <w:color w:val="333333"/>
          <w:sz w:val="22"/>
          <w:szCs w:val="22"/>
        </w:rPr>
        <w:t xml:space="preserve">Measurement is the weakest domain across the entire benchmark at </w:t>
      </w:r>
      <w:r>
        <w:rPr>
          <w:rFonts w:ascii="Arial" w:cs="Arial" w:eastAsia="Arial" w:hAnsi="Arial"/>
          <w:b/>
          <w:bCs/>
          <w:i w:val="false"/>
          <w:iCs w:val="false"/>
          <w:color w:val="333333"/>
          <w:sz w:val="22"/>
          <w:szCs w:val="22"/>
        </w:rPr>
        <w:t xml:space="preserve">1.93,</w:t>
      </w:r>
      <w:r>
        <w:rPr>
          <w:rFonts w:ascii="Arial" w:cs="Arial" w:eastAsia="Arial" w:hAnsi="Arial"/>
          <w:b w:val="false"/>
          <w:bCs w:val="false"/>
          <w:i w:val="false"/>
          <w:iCs w:val="false"/>
          <w:color w:val="333333"/>
          <w:sz w:val="22"/>
          <w:szCs w:val="22"/>
        </w:rPr>
        <w:t xml:space="preserve"> and the data is unambiguous: this is the sector's systemic blind spot. The highest score is 3.0 (Carel Industries), and four companies score just 1.0. Even companies with publicly listed shares and formal financial reporting obligations (Datalogic, Carel) have not fully solved growth attribution. The challenge is acute in this sector because primary commercial activities are physical: trade show conversations, on-site demonstrations, partner meetings. Connecting these high-value but difficult-to-track relationship touchpoints to pipeline and revenue requires measurement systems that most Italian industrial companies have never built.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8793A" w:sz="1"/>
              <w:left w:val="single" w:color="E8793A" w:sz="12"/>
              <w:bottom w:val="single" w:color="E8793A" w:sz="1"/>
              <w:right w:val="single" w:color="E8793A" w:sz="1"/>
            </w:tcBorders>
            <w:shd w:fill="FFF8F0" w:val="clear"/>
            <w:tcMar>
              <w:top w:type="dxa" w:w="120"/>
              <w:left w:type="dxa" w:w="200"/>
              <w:bottom w:type="dxa" w:w="120"/>
              <w:right w:type="dxa" w:w="200"/>
            </w:tcMar>
          </w:tcPr>
          <w:p>
            <w:pPr>
              <w:spacing w:line="276"/>
            </w:pPr>
            <w:r>
              <w:rPr>
                <w:rFonts w:ascii="Arial" w:cs="Arial" w:eastAsia="Arial" w:hAnsi="Arial"/>
                <w:i/>
                <w:iCs/>
                <w:color w:val="333333"/>
                <w:sz w:val="21"/>
                <w:szCs w:val="21"/>
              </w:rPr>
              <w:t xml:space="preserve">What this means for your company: This is the domain where the gap between what companies should be measuring and what they actually measure is widest. If you cannot attribute revenue to specific growth activities with confidence, you are operating at or below the industry average in the domain that matters most for resource allocation decisions.</w:t>
            </w:r>
          </w:p>
        </w:tc>
      </w:tr>
    </w:tbl>
    <w:p>
      <w:pPr>
        <w:pStyle w:val="Heading2"/>
        <w:spacing w:before="240" w:after="160"/>
      </w:pPr>
      <w:r>
        <w:rPr>
          <w:rFonts w:ascii="Arial" w:cs="Arial" w:eastAsia="Arial" w:hAnsi="Arial"/>
        </w:rPr>
        <w:t xml:space="preserve">Domain 7: Brand Positioning &amp; Market Narrative Control (Avg: 3.65 / 5.0)</w:t>
      </w:r>
    </w:p>
    <w:p>
      <w:pPr>
        <w:spacing w:after="160" w:before="0" w:line="276"/>
        <w:jc w:val="both"/>
      </w:pPr>
      <w:r>
        <w:rPr>
          <w:rFonts w:ascii="Arial" w:cs="Arial" w:eastAsia="Arial" w:hAnsi="Arial"/>
          <w:b w:val="false"/>
          <w:bCs w:val="false"/>
          <w:i w:val="false"/>
          <w:iCs w:val="false"/>
          <w:color w:val="333333"/>
          <w:sz w:val="22"/>
          <w:szCs w:val="22"/>
        </w:rPr>
        <w:t xml:space="preserve">Brand Positioning averages 3.65, with the narrowest performance spread of any domain: the minimum is 2.5, meaning every company has at least basic market positioning. Comau, Antares Vision, HWG Sababa, D-Orbit, and Carel Industries lead at 4.5. Multiple companies score 3.5 or higher, reflecting the Italian ecosystem's investment in trade show presence, industry association membership, and institutional relationship building. However, strong brand positioning without corresponding operational infrastructure creates a ceiling: awareness without conversion systems is expensive visibility that does not compound.</w:t>
      </w:r>
    </w:p>
    <w:p>
      <w:r>
        <w:br w:type="page"/>
      </w:r>
    </w:p>
    <w:p>
      <w:pPr>
        <w:pStyle w:val="Heading1"/>
        <w:spacing w:before="400" w:after="160"/>
      </w:pPr>
      <w:r>
        <w:rPr>
          <w:rFonts w:ascii="Arial" w:cs="Arial" w:eastAsia="Arial" w:hAnsi="Arial"/>
        </w:rPr>
        <w:t xml:space="preserve">Strategic Patterns</w:t>
      </w:r>
    </w:p>
    <w:p>
      <w:pPr>
        <w:pStyle w:val="Heading2"/>
        <w:spacing w:before="240" w:after="160"/>
      </w:pPr>
      <w:r>
        <w:rPr>
          <w:rFonts w:ascii="Arial" w:cs="Arial" w:eastAsia="Arial" w:hAnsi="Arial"/>
        </w:rPr>
        <w:t xml:space="preserve">Pattern 1: The Technology–Measurement Disconnect</w:t>
      </w:r>
    </w:p>
    <w:p>
      <w:pPr>
        <w:spacing w:after="160" w:before="0" w:line="276"/>
        <w:jc w:val="both"/>
      </w:pPr>
      <w:r>
        <w:rPr>
          <w:rFonts w:ascii="Arial" w:cs="Arial" w:eastAsia="Arial" w:hAnsi="Arial"/>
          <w:b w:val="false"/>
          <w:bCs w:val="false"/>
          <w:i w:val="false"/>
          <w:iCs w:val="false"/>
          <w:color w:val="333333"/>
          <w:sz w:val="22"/>
          <w:szCs w:val="22"/>
        </w:rPr>
        <w:t xml:space="preserve">The most pervasive pattern in the Italian ecosystem: companies score an average of 3.58 in Technology Stack but only 1.93 in Measurement. Alleantia (4.5 Tech, 2.0 Measurement), Corticale (4.0 Tech, 1.5 Measurement), and Comau (4.5 Tech, 2.5 Measurement) all exhibit this pattern. The irony is that companies selling measurement, monitoring, and data-driven optimisation to their customers have not applied equivalent rigour to their own commercial operations. The company that solves growth attribution for this sector will have a structural advantage over every competitor that cannot.</w:t>
      </w:r>
    </w:p>
    <w:p>
      <w:pPr>
        <w:pStyle w:val="Heading2"/>
        <w:spacing w:before="240" w:after="160"/>
      </w:pPr>
      <w:r>
        <w:rPr>
          <w:rFonts w:ascii="Arial" w:cs="Arial" w:eastAsia="Arial" w:hAnsi="Arial"/>
        </w:rPr>
        <w:t xml:space="preserve">Pattern 2: The Founder Ceiling</w:t>
      </w:r>
    </w:p>
    <w:p>
      <w:pPr>
        <w:spacing w:after="160" w:before="0" w:line="276"/>
        <w:jc w:val="both"/>
      </w:pPr>
      <w:r>
        <w:rPr>
          <w:rFonts w:ascii="Arial" w:cs="Arial" w:eastAsia="Arial" w:hAnsi="Arial"/>
          <w:b w:val="false"/>
          <w:bCs w:val="false"/>
          <w:i w:val="false"/>
          <w:iCs w:val="false"/>
          <w:color w:val="333333"/>
          <w:sz w:val="22"/>
          <w:szCs w:val="22"/>
        </w:rPr>
        <w:t xml:space="preserve">Eight of the 20 companies score 2.0 or below in Growth Team Organisational Architecture, meaning the founder is the primary (often sole) commercial engine. This pattern correlates with composite scores below 2.6 in every case. Companies that break through this ceiling (Carel, HWG Sababa, Comau at 3.5) do so by creating dedicated commercial leadership, market-split sales structures, or competence centres that generate pipeline independently of the founder. For companies stuck at 2.0, even a single dedicated commercial hire with structured support systems can shift the trajectory.</w:t>
      </w:r>
    </w:p>
    <w:p>
      <w:pPr>
        <w:pStyle w:val="Heading2"/>
        <w:spacing w:before="240" w:after="160"/>
      </w:pPr>
      <w:r>
        <w:rPr>
          <w:rFonts w:ascii="Arial" w:cs="Arial" w:eastAsia="Arial" w:hAnsi="Arial"/>
        </w:rPr>
        <w:t xml:space="preserve">Pattern 3: Engineering Heritage Creates Brand, Not Pipeline</w:t>
      </w:r>
    </w:p>
    <w:p>
      <w:pPr>
        <w:spacing w:after="160" w:before="0" w:line="276"/>
        <w:jc w:val="both"/>
      </w:pPr>
      <w:r>
        <w:rPr>
          <w:rFonts w:ascii="Arial" w:cs="Arial" w:eastAsia="Arial" w:hAnsi="Arial"/>
          <w:b w:val="false"/>
          <w:bCs w:val="false"/>
          <w:i w:val="false"/>
          <w:iCs w:val="false"/>
          <w:color w:val="333333"/>
          <w:sz w:val="22"/>
          <w:szCs w:val="22"/>
        </w:rPr>
        <w:t xml:space="preserve">Brand Positioning (3.65) significantly exceeds both Content Infrastructure (2.70) and Measurement (1.93). This means Italian companies invest in visibility (trade shows, institutional memberships, press releases) without building the conversion infrastructure (persona-targeted content, pipeline tracking, attribution) needed to turn that visibility into revenue. The recommendation is clear: before spending on the next trade show booth, invest in the systems that measure what the last one produced.</w:t>
      </w:r>
    </w:p>
    <w:p>
      <w:pPr>
        <w:pStyle w:val="Heading2"/>
        <w:spacing w:before="240" w:after="160"/>
      </w:pPr>
      <w:r>
        <w:rPr>
          <w:rFonts w:ascii="Arial" w:cs="Arial" w:eastAsia="Arial" w:hAnsi="Arial"/>
        </w:rPr>
        <w:t xml:space="preserve">Pattern 4: Stage Matters Less Than Structure</w:t>
      </w:r>
    </w:p>
    <w:p>
      <w:pPr>
        <w:spacing w:after="160" w:before="0" w:line="276"/>
        <w:jc w:val="both"/>
      </w:pPr>
      <w:r>
        <w:rPr>
          <w:rFonts w:ascii="Arial" w:cs="Arial" w:eastAsia="Arial" w:hAnsi="Arial"/>
          <w:b w:val="false"/>
          <w:bCs w:val="false"/>
          <w:i w:val="false"/>
          <w:iCs w:val="false"/>
          <w:color w:val="333333"/>
          <w:sz w:val="22"/>
          <w:szCs w:val="22"/>
        </w:rPr>
        <w:t xml:space="preserve">Company age varies from less than two years (Generative Bionics) to over 170 years (Ansaldo Energia), yet the scores do not uniformly reward heritage. Ansaldo Energia (founded 1853) scores 3.1, while D-Orbit (founded 2011) scores 3.5 and HWG Sababa (merged 2023) scores 3.6. What separates higher-performing companies is not age or size but operational structure: dedicated commercial leadership, channel architecture, and repeatable processes. An SME that builds these systems deliberately can outperform heritage enterprises that have never invested in them.</w:t>
      </w:r>
    </w:p>
    <w:p>
      <w:pPr>
        <w:pStyle w:val="Heading2"/>
        <w:spacing w:before="240" w:after="160"/>
      </w:pPr>
      <w:r>
        <w:rPr>
          <w:rFonts w:ascii="Arial" w:cs="Arial" w:eastAsia="Arial" w:hAnsi="Arial"/>
        </w:rPr>
        <w:t xml:space="preserve">Pattern 5: Regulatory Positioning Accelerates Sales</w:t>
      </w:r>
    </w:p>
    <w:p>
      <w:pPr>
        <w:spacing w:after="160" w:before="0" w:line="276"/>
        <w:jc w:val="both"/>
      </w:pPr>
      <w:r>
        <w:rPr>
          <w:rFonts w:ascii="Arial" w:cs="Arial" w:eastAsia="Arial" w:hAnsi="Arial"/>
          <w:b w:val="false"/>
          <w:bCs w:val="false"/>
          <w:i w:val="false"/>
          <w:iCs w:val="false"/>
          <w:color w:val="333333"/>
          <w:sz w:val="22"/>
          <w:szCs w:val="22"/>
        </w:rPr>
        <w:t xml:space="preserve">Companies that position around regulatory compliance (HWG Sababa with NIS2 and IEC 62443, Antares Vision with pharmaceutical serialisation mandates, Carel with Cyber Resilience Act compliance) consistently score higher in Sales Process. Regulatory deadlines create purchasing urgency that no amount of outbound prospecting can replicate. For Italian SMEs navigating Transizione 5.0 incentives, the EU Machinery Regulation 2023/1230 (January 2027 deadline), and NIS2, this is the most immediately actionable commercial lever.</w:t>
      </w:r>
    </w:p>
    <w:p>
      <w:r>
        <w:br w:type="page"/>
      </w:r>
    </w:p>
    <w:p>
      <w:pPr>
        <w:pStyle w:val="Heading1"/>
        <w:spacing w:before="400" w:after="160"/>
      </w:pPr>
      <w:r>
        <w:rPr>
          <w:rFonts w:ascii="Arial" w:cs="Arial" w:eastAsia="Arial" w:hAnsi="Arial"/>
        </w:rPr>
        <w:t xml:space="preserve">Where Do You Stand?</w:t>
      </w:r>
    </w:p>
    <w:p>
      <w:pPr>
        <w:spacing w:after="160" w:before="0" w:line="276"/>
        <w:jc w:val="both"/>
      </w:pPr>
      <w:r>
        <w:rPr>
          <w:rFonts w:ascii="Arial" w:cs="Arial" w:eastAsia="Arial" w:hAnsi="Arial"/>
          <w:b w:val="false"/>
          <w:bCs w:val="false"/>
          <w:i w:val="false"/>
          <w:iCs w:val="false"/>
          <w:color w:val="333333"/>
          <w:sz w:val="22"/>
          <w:szCs w:val="22"/>
        </w:rPr>
        <w:t xml:space="preserve">This benchmark exists to answer a specific question: where does your company stand relative to the Italian industrial tech ecosystem? Use the reference framework below to identify your maturity band and the operational implications.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400"/>
        <w:gridCol w:w="6226"/>
      </w:tblGrid>
      <w:tr>
        <w:tc>
          <w:tcPr>
            <w:tcW w:type="dxa" w:w="14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Composite Score</w:t>
            </w:r>
          </w:p>
        </w:tc>
        <w:tc>
          <w:tcPr>
            <w:tcW w:type="dxa" w:w="1400"/>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Maturity Band</w:t>
            </w:r>
          </w:p>
        </w:tc>
        <w:tc>
          <w:tcPr>
            <w:tcW w:type="dxa" w:w="6226"/>
            <w:tcBorders>
              <w:top w:val="single" w:color="E0E0E0" w:sz="1"/>
              <w:left w:val="single" w:color="E0E0E0" w:sz="1"/>
              <w:bottom w:val="single" w:color="E0E0E0" w:sz="1"/>
              <w:right w:val="single" w:color="E0E0E0" w:sz="1"/>
            </w:tcBorders>
            <w:shd w:fill="1B2A4A" w:val="clear"/>
            <w:tcMar>
              <w:top w:type="dxa" w:w="60"/>
              <w:left w:type="dxa" w:w="100"/>
              <w:bottom w:type="dxa" w:w="60"/>
              <w:right w:type="dxa" w:w="100"/>
            </w:tcMar>
            <w:vAlign w:val="center"/>
          </w:tcPr>
          <w:p>
            <w:pPr>
              <w:jc w:val="center"/>
            </w:pPr>
            <w:r>
              <w:rPr>
                <w:rFonts w:ascii="Arial" w:cs="Arial" w:eastAsia="Arial" w:hAnsi="Arial"/>
                <w:b/>
                <w:bCs/>
                <w:color w:val="FFFFFF"/>
                <w:sz w:val="16"/>
                <w:szCs w:val="16"/>
              </w:rPr>
              <w:t xml:space="preserve">Operational Implication</w:t>
            </w:r>
          </w:p>
        </w:tc>
      </w:tr>
      <w:tr>
        <w:tc>
          <w:tcPr>
            <w:tcW w:type="dxa" w:w="14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 3.5</w:t>
            </w:r>
          </w:p>
        </w:tc>
        <w:tc>
          <w:tcPr>
            <w:tcW w:type="dxa" w:w="14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Advanced</w:t>
            </w:r>
          </w:p>
        </w:tc>
        <w:tc>
          <w:tcPr>
            <w:tcW w:type="dxa" w:w="62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Operating at or near the top of the Italian ecosystem. Continuous improvement focus. Comparable to global Tier 2 enterprises.</w:t>
            </w:r>
          </w:p>
        </w:tc>
      </w:tr>
      <w:tr>
        <w:tc>
          <w:tcPr>
            <w:tcW w:type="dxa" w:w="14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3.0 – 3.4</w:t>
            </w:r>
          </w:p>
        </w:tc>
        <w:tc>
          <w:tcPr>
            <w:tcW w:type="dxa" w:w="14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Established</w:t>
            </w:r>
          </w:p>
        </w:tc>
        <w:tc>
          <w:tcPr>
            <w:tcW w:type="dxa" w:w="62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Strong foundations with selective gaps. Well-positioned for optimisation. Focus on Measurement and Content to reach the next level.</w:t>
            </w:r>
          </w:p>
        </w:tc>
      </w:tr>
      <w:tr>
        <w:tc>
          <w:tcPr>
            <w:tcW w:type="dxa" w:w="14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2.5 – 2.9</w:t>
            </w:r>
          </w:p>
        </w:tc>
        <w:tc>
          <w:tcPr>
            <w:tcW w:type="dxa" w:w="14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Developing</w:t>
            </w:r>
          </w:p>
        </w:tc>
        <w:tc>
          <w:tcPr>
            <w:tcW w:type="dxa" w:w="62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Growth function exists but is not yet systematic. The founder is still the primary sales engine. Prioritise Growth Org and Sales Process.</w:t>
            </w:r>
          </w:p>
        </w:tc>
      </w:tr>
      <w:tr>
        <w:tc>
          <w:tcPr>
            <w:tcW w:type="dxa" w:w="14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2.0 – 2.4</w:t>
            </w:r>
          </w:p>
        </w:tc>
        <w:tc>
          <w:tcPr>
            <w:tcW w:type="dxa" w:w="1400"/>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Emerging</w:t>
            </w:r>
          </w:p>
        </w:tc>
        <w:tc>
          <w:tcPr>
            <w:tcW w:type="dxa" w:w="6226"/>
            <w:tcBorders>
              <w:top w:val="single" w:color="E0E0E0" w:sz="1"/>
              <w:left w:val="single" w:color="E0E0E0" w:sz="1"/>
              <w:bottom w:val="single" w:color="E0E0E0" w:sz="1"/>
              <w:right w:val="single" w:color="E0E0E0" w:sz="1"/>
            </w:tcBorders>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Commercial infrastructure is minimal. Product quality exceeds commercial capability. First hires in dedicated growth roles are the highest-leverage investment.</w:t>
            </w:r>
          </w:p>
        </w:tc>
      </w:tr>
      <w:tr>
        <w:tc>
          <w:tcPr>
            <w:tcW w:type="dxa" w:w="14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&lt; 2.0</w:t>
            </w:r>
          </w:p>
        </w:tc>
        <w:tc>
          <w:tcPr>
            <w:tcW w:type="dxa" w:w="1400"/>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center"/>
            </w:pPr>
            <w:r>
              <w:rPr>
                <w:rFonts w:ascii="Arial" w:cs="Arial" w:eastAsia="Arial" w:hAnsi="Arial"/>
                <w:b/>
                <w:bCs/>
                <w:color w:val="333333"/>
                <w:sz w:val="17"/>
                <w:szCs w:val="17"/>
              </w:rPr>
              <w:t xml:space="preserve">Pre-Commercial</w:t>
            </w:r>
          </w:p>
        </w:tc>
        <w:tc>
          <w:tcPr>
            <w:tcW w:type="dxa" w:w="6226"/>
            <w:tcBorders>
              <w:top w:val="single" w:color="E0E0E0" w:sz="1"/>
              <w:left w:val="single" w:color="E0E0E0" w:sz="1"/>
              <w:bottom w:val="single" w:color="E0E0E0" w:sz="1"/>
              <w:right w:val="single" w:color="E0E0E0"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color w:val="333333"/>
                <w:sz w:val="17"/>
                <w:szCs w:val="17"/>
              </w:rPr>
              <w:t xml:space="preserve">Pre-revenue or very early revenue. Growth depends entirely on the founder. Build minimum viable commercial infrastructure before scaling product.</w:t>
            </w:r>
          </w:p>
        </w:tc>
      </w:tr>
    </w:tbl>
    <w:p>
      <w:pPr>
        <w:spacing w:before="400"/>
      </w:pPr>
    </w:p>
    <w:p>
      <w:pPr>
        <w:pStyle w:val="Heading1"/>
        <w:spacing w:before="400" w:after="160"/>
      </w:pPr>
      <w:r>
        <w:rPr>
          <w:rFonts w:ascii="Arial" w:cs="Arial" w:eastAsia="Arial" w:hAnsi="Arial"/>
        </w:rPr>
        <w:t xml:space="preserve">What the Top 5 Companies Do Differently</w:t>
      </w:r>
    </w:p>
    <w:p>
      <w:pPr>
        <w:spacing w:after="160" w:before="0" w:line="276"/>
        <w:jc w:val="both"/>
      </w:pPr>
      <w:r>
        <w:rPr>
          <w:rFonts w:ascii="Arial" w:cs="Arial" w:eastAsia="Arial" w:hAnsi="Arial"/>
          <w:b w:val="false"/>
          <w:bCs w:val="false"/>
          <w:i w:val="false"/>
          <w:iCs w:val="false"/>
          <w:color w:val="333333"/>
          <w:sz w:val="22"/>
          <w:szCs w:val="22"/>
        </w:rPr>
        <w:t xml:space="preserve">The five highest-scoring companies (Carel Industries, Comau, Antares Vision, HWG Sababa, D-Orbit) share five operational characteristics that separate them from the rest of the ecosystem:</w:t>
      </w:r>
    </w:p>
    <w:p>
      <w:pPr>
        <w:spacing w:after="160" w:before="0" w:line="276"/>
        <w:jc w:val="both"/>
      </w:pPr>
      <w:r>
        <w:rPr>
          <w:rFonts w:ascii="Arial" w:cs="Arial" w:eastAsia="Arial" w:hAnsi="Arial"/>
          <w:b/>
          <w:bCs/>
          <w:i w:val="false"/>
          <w:iCs w:val="false"/>
          <w:color w:val="333333"/>
          <w:sz w:val="22"/>
          <w:szCs w:val="22"/>
        </w:rPr>
        <w:t xml:space="preserve">Dedicated commercial leadership. </w:t>
      </w:r>
      <w:r>
        <w:rPr>
          <w:rFonts w:ascii="Arial" w:cs="Arial" w:eastAsia="Arial" w:hAnsi="Arial"/>
          <w:b w:val="false"/>
          <w:bCs w:val="false"/>
          <w:i w:val="false"/>
          <w:iCs w:val="false"/>
          <w:color w:val="333333"/>
          <w:sz w:val="22"/>
          <w:szCs w:val="22"/>
        </w:rPr>
        <w:t xml:space="preserve">Every top-5 company has separated the commercial function from the founder. Whether through a CRO (HWG Sababa), market-split CSMOs (Carel), or a dedicated CCO (D-Orbit), the growth function has its own executive accountability.</w:t>
      </w:r>
    </w:p>
    <w:p>
      <w:pPr>
        <w:spacing w:after="160" w:before="0" w:line="276"/>
        <w:jc w:val="both"/>
      </w:pPr>
      <w:r>
        <w:rPr>
          <w:rFonts w:ascii="Arial" w:cs="Arial" w:eastAsia="Arial" w:hAnsi="Arial"/>
          <w:b/>
          <w:bCs/>
          <w:i w:val="false"/>
          <w:iCs w:val="false"/>
          <w:color w:val="333333"/>
          <w:sz w:val="22"/>
          <w:szCs w:val="22"/>
        </w:rPr>
        <w:t xml:space="preserve">Structured partner ecosystems. </w:t>
      </w:r>
      <w:r>
        <w:rPr>
          <w:rFonts w:ascii="Arial" w:cs="Arial" w:eastAsia="Arial" w:hAnsi="Arial"/>
          <w:b w:val="false"/>
          <w:bCs w:val="false"/>
          <w:i w:val="false"/>
          <w:iCs w:val="false"/>
          <w:color w:val="333333"/>
          <w:sz w:val="22"/>
          <w:szCs w:val="22"/>
        </w:rPr>
        <w:t xml:space="preserve">All five companies have formalised channel architectures with defined partner roles, co-marketing activity, and systematic enablement. None depends solely on direct sales.</w:t>
      </w:r>
    </w:p>
    <w:p>
      <w:pPr>
        <w:spacing w:after="160" w:before="0" w:line="276"/>
        <w:jc w:val="both"/>
      </w:pPr>
      <w:r>
        <w:rPr>
          <w:rFonts w:ascii="Arial" w:cs="Arial" w:eastAsia="Arial" w:hAnsi="Arial"/>
          <w:b/>
          <w:bCs/>
          <w:i w:val="false"/>
          <w:iCs w:val="false"/>
          <w:color w:val="333333"/>
          <w:sz w:val="22"/>
          <w:szCs w:val="22"/>
        </w:rPr>
        <w:t xml:space="preserve">Proprietary technology platforms. </w:t>
      </w:r>
      <w:r>
        <w:rPr>
          <w:rFonts w:ascii="Arial" w:cs="Arial" w:eastAsia="Arial" w:hAnsi="Arial"/>
          <w:b w:val="false"/>
          <w:bCs w:val="false"/>
          <w:i w:val="false"/>
          <w:iCs w:val="false"/>
          <w:color w:val="333333"/>
          <w:sz w:val="22"/>
          <w:szCs w:val="22"/>
        </w:rPr>
        <w:t xml:space="preserve">Each company has built a proprietary software or digital layer (Carel's STone/Kiona, Comau's in.Grid, Antares Vision's DIAMIND, HWG Sababa's HyperSOC/Pulse, D-Orbit's Aurora) that creates customer stickiness and recurring revenue.</w:t>
      </w:r>
    </w:p>
    <w:p>
      <w:pPr>
        <w:spacing w:after="160" w:before="0" w:line="276"/>
        <w:jc w:val="both"/>
      </w:pPr>
      <w:r>
        <w:rPr>
          <w:rFonts w:ascii="Arial" w:cs="Arial" w:eastAsia="Arial" w:hAnsi="Arial"/>
          <w:b/>
          <w:bCs/>
          <w:i w:val="false"/>
          <w:iCs w:val="false"/>
          <w:color w:val="333333"/>
          <w:sz w:val="22"/>
          <w:szCs w:val="22"/>
        </w:rPr>
        <w:t xml:space="preserve">Multi-stakeholder content. </w:t>
      </w:r>
      <w:r>
        <w:rPr>
          <w:rFonts w:ascii="Arial" w:cs="Arial" w:eastAsia="Arial" w:hAnsi="Arial"/>
          <w:b w:val="false"/>
          <w:bCs w:val="false"/>
          <w:i w:val="false"/>
          <w:iCs w:val="false"/>
          <w:color w:val="333333"/>
          <w:sz w:val="22"/>
          <w:szCs w:val="22"/>
        </w:rPr>
        <w:t xml:space="preserve">The top performers produce content that addresses different members of the buying committee, not just technical evaluators. Carel's white paper library, Comau's Academy programme, and Antares Vision's regulatory intelligence content all serve multiple buyer personas.</w:t>
      </w:r>
    </w:p>
    <w:p>
      <w:pPr>
        <w:spacing w:after="160" w:before="0" w:line="276"/>
        <w:jc w:val="both"/>
      </w:pPr>
      <w:r>
        <w:rPr>
          <w:rFonts w:ascii="Arial" w:cs="Arial" w:eastAsia="Arial" w:hAnsi="Arial"/>
          <w:b/>
          <w:bCs/>
          <w:i w:val="false"/>
          <w:iCs w:val="false"/>
          <w:color w:val="333333"/>
          <w:sz w:val="22"/>
          <w:szCs w:val="22"/>
        </w:rPr>
        <w:t xml:space="preserve">Regulatory positioning. </w:t>
      </w:r>
      <w:r>
        <w:rPr>
          <w:rFonts w:ascii="Arial" w:cs="Arial" w:eastAsia="Arial" w:hAnsi="Arial"/>
          <w:b w:val="false"/>
          <w:bCs w:val="false"/>
          <w:i w:val="false"/>
          <w:iCs w:val="false"/>
          <w:color w:val="333333"/>
          <w:sz w:val="22"/>
          <w:szCs w:val="22"/>
        </w:rPr>
        <w:t xml:space="preserve">Four of the five explicitly position around regulatory compliance (EU Machinery Regulation, NIS2, pharmaceutical serialisation, Cyber Resilience Act) to create purchasing urgency beyond discretionary budget cycles.</w:t>
      </w:r>
    </w:p>
    <w:p>
      <w:r>
        <w:br w:type="page"/>
      </w:r>
    </w:p>
    <w:p>
      <w:pPr>
        <w:pStyle w:val="Heading1"/>
        <w:spacing w:before="400" w:after="160"/>
      </w:pPr>
      <w:r>
        <w:rPr>
          <w:rFonts w:ascii="Arial" w:cs="Arial" w:eastAsia="Arial" w:hAnsi="Arial"/>
        </w:rPr>
        <w:t xml:space="preserve">About This Report</w:t>
      </w:r>
    </w:p>
    <w:p>
      <w:pPr>
        <w:spacing w:after="160" w:before="0" w:line="276"/>
        <w:jc w:val="both"/>
      </w:pPr>
      <w:r>
        <w:rPr>
          <w:rFonts w:ascii="Arial" w:cs="Arial" w:eastAsia="Arial" w:hAnsi="Arial"/>
          <w:b w:val="false"/>
          <w:bCs w:val="false"/>
          <w:i w:val="false"/>
          <w:iCs w:val="false"/>
          <w:color w:val="333333"/>
          <w:sz w:val="22"/>
          <w:szCs w:val="22"/>
        </w:rPr>
        <w:t xml:space="preserve">This benchmark was produced by OpsEvolution, a growth operations consultancy focused exclusively on the Italian industrial automation and robotics sector. OpsEvolution helps founders and commercial leaders at Italian industrial tech SMEs generate more pipeline, shorten sales cycles, and convert pilots into production deployments.</w:t>
      </w:r>
    </w:p>
    <w:p>
      <w:pPr>
        <w:spacing w:after="160" w:before="0" w:line="276"/>
        <w:jc w:val="both"/>
      </w:pPr>
      <w:r>
        <w:rPr>
          <w:rFonts w:ascii="Arial" w:cs="Arial" w:eastAsia="Arial" w:hAnsi="Arial"/>
          <w:b w:val="false"/>
          <w:bCs w:val="false"/>
          <w:i w:val="false"/>
          <w:iCs w:val="false"/>
          <w:color w:val="333333"/>
          <w:sz w:val="22"/>
          <w:szCs w:val="22"/>
        </w:rPr>
        <w:t xml:space="preserve">The 20 companies in this benchmark were selected to represent the breadth of the Italian industrial technology ecosystem: from publicly listed multinationals to pre-revenue deep-tech startups, from century-old heritage manufacturers to companies founded in the last three years. The analysis is based on the OpsEvolution Enterprise Excellence Analysis Framework, a proprietary seven-domain assessment methodology applied consistently across all 20 companies.</w:t>
      </w:r>
    </w:p>
    <w:p>
      <w:pPr>
        <w:spacing w:after="160" w:before="0" w:line="276"/>
        <w:jc w:val="both"/>
      </w:pPr>
      <w:r>
        <w:rPr>
          <w:rFonts w:ascii="Arial" w:cs="Arial" w:eastAsia="Arial" w:hAnsi="Arial"/>
          <w:b w:val="false"/>
          <w:bCs w:val="false"/>
          <w:i w:val="false"/>
          <w:iCs w:val="false"/>
          <w:color w:val="333333"/>
          <w:sz w:val="22"/>
          <w:szCs w:val="22"/>
        </w:rPr>
        <w:t xml:space="preserve">Every score in this report is derived from publicly available evidence. No company paid for inclusion, and no company was consulted during the scoring process. The benchmark is intended as an objective reference tool for founders and decision-makers who want to understand where they stand relative to peers.</w:t>
      </w:r>
    </w:p>
    <w:p>
      <w:pPr>
        <w:pStyle w:val="Heading2"/>
        <w:spacing w:before="240" w:after="160"/>
      </w:pPr>
      <w:r>
        <w:rPr>
          <w:rFonts w:ascii="Arial" w:cs="Arial" w:eastAsia="Arial" w:hAnsi="Arial"/>
        </w:rPr>
        <w:t xml:space="preserve">Get Your Own Assessment</w:t>
      </w:r>
    </w:p>
    <w:p>
      <w:pPr>
        <w:spacing w:after="160" w:before="0" w:line="276"/>
        <w:jc w:val="both"/>
      </w:pPr>
      <w:r>
        <w:rPr>
          <w:rFonts w:ascii="Arial" w:cs="Arial" w:eastAsia="Arial" w:hAnsi="Arial"/>
          <w:b w:val="false"/>
          <w:bCs w:val="false"/>
          <w:i w:val="false"/>
          <w:iCs w:val="false"/>
          <w:color w:val="333333"/>
          <w:sz w:val="22"/>
          <w:szCs w:val="22"/>
        </w:rPr>
        <w:t xml:space="preserve">This report presents aggregate findings. If you want to know your company's specific score, identify your highest-leverage improvement opportunities, and build a 90-day action plan to close the most impactful gaps, OpsEvolution offers individual Growth Operations Readiness Assessments for Italian industrial tech companies.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8793A" w:sz="1"/>
              <w:left w:val="single" w:color="E8793A" w:sz="12"/>
              <w:bottom w:val="single" w:color="E8793A" w:sz="1"/>
              <w:right w:val="single" w:color="E8793A" w:sz="1"/>
            </w:tcBorders>
            <w:shd w:fill="FFF8F0" w:val="clear"/>
            <w:tcMar>
              <w:top w:type="dxa" w:w="120"/>
              <w:left w:type="dxa" w:w="200"/>
              <w:bottom w:type="dxa" w:w="120"/>
              <w:right w:type="dxa" w:w="200"/>
            </w:tcMar>
          </w:tcPr>
          <w:p>
            <w:pPr>
              <w:spacing w:line="276"/>
            </w:pPr>
            <w:r>
              <w:rPr>
                <w:rFonts w:ascii="Arial" w:cs="Arial" w:eastAsia="Arial" w:hAnsi="Arial"/>
                <w:i/>
                <w:iCs/>
                <w:color w:val="333333"/>
                <w:sz w:val="21"/>
                <w:szCs w:val="21"/>
              </w:rPr>
              <w:t xml:space="preserve">To request your company's individual assessment, connect with Andreas on LinkedIn or visit opsevolution.com. No commitment required. The assessment itself delivers value regardless of whether you engage OpsEvolution for implementation.</w:t>
            </w:r>
          </w:p>
        </w:tc>
      </w:tr>
    </w:tbl>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6"/>
        <w:szCs w:val="16"/>
      </w:rPr>
      <w:t xml:space="preserve">Page </w:t>
    </w:r>
    <w:r>
      <w:rPr>
        <w:rFonts w:ascii="Arial" w:cs="Arial" w:eastAsia="Arial" w:hAnsi="Arial"/>
        <w:color w:val="999999"/>
        <w:sz w:val="16"/>
        <w:szCs w:val="16"/>
      </w:rPr>
      <w:fldChar w:fldCharType="begin"/>
      <w:instrText xml:space="preserve">PAGE</w:instrText>
      <w:fldChar w:fldCharType="separate"/>
      <w:fldChar w:fldCharType="end"/>
    </w:r>
    <w:r>
      <w:rPr>
        <w:rFonts w:ascii="Arial" w:cs="Arial" w:eastAsia="Arial" w:hAnsi="Arial"/>
        <w:color w:val="999999"/>
        <w:sz w:val="16"/>
        <w:szCs w:val="16"/>
      </w:rPr>
      <w:t xml:space="preserve">  |  Proprietary &amp; Confidential  |  March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E0E0E0" w:sz="2" w:space="4"/>
      </w:pBdr>
      <w:tabs>
        <w:tab w:val="right" w:pos="9026"/>
      </w:tabs>
      <w:spacing w:after="0"/>
    </w:pPr>
    <w:r>
      <w:rPr>
        <w:rFonts w:ascii="Arial" w:cs="Arial" w:eastAsia="Arial" w:hAnsi="Arial"/>
        <w:b/>
        <w:bCs/>
        <w:color w:val="2E75B6"/>
        <w:sz w:val="16"/>
        <w:szCs w:val="16"/>
      </w:rPr>
      <w:t xml:space="preserve">OpsEvolution</w:t>
    </w:r>
    <w:r>
      <w:rPr>
        <w:rFonts w:ascii="Arial" w:cs="Arial" w:eastAsia="Arial" w:hAnsi="Arial"/>
        <w:color w:val="999999"/>
        <w:sz w:val="16"/>
        <w:szCs w:val="16"/>
      </w:rPr>
      <w:t xml:space="preserve">	Growth Operations Maturity Benchmark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B2A4A"/>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2026-03-21T19:33:14.552Z</dcterms:created>
  <dcterms:modified xsi:type="dcterms:W3CDTF">2026-03-21T19:33:14.554Z</dcterms:modified>
</cp:coreProperties>
</file>

<file path=docProps/custom.xml><?xml version="1.0" encoding="utf-8"?>
<Properties xmlns="http://schemas.openxmlformats.org/officeDocument/2006/custom-properties" xmlns:vt="http://schemas.openxmlformats.org/officeDocument/2006/docPropsVTypes"/>
</file>