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000"/>
      </w:pPr>
    </w:p>
    <w:p>
      <w:pPr>
        <w:spacing w:after="80"/>
        <w:jc w:val="center"/>
      </w:pPr>
      <w:r>
        <w:rPr>
          <w:rFonts w:ascii="Arial" w:cs="Arial" w:eastAsia="Arial" w:hAnsi="Arial"/>
          <w:b/>
          <w:bCs/>
          <w:color w:val="1B2A4A"/>
          <w:spacing w:val="200"/>
          <w:sz w:val="36"/>
          <w:szCs w:val="36"/>
        </w:rPr>
        <w:t xml:space="preserve">OPSEVOLUTION</w:t>
      </w:r>
    </w:p>
    <w:p>
      <w:pPr>
        <w:spacing w:after="500"/>
        <w:jc w:val="center"/>
      </w:pPr>
      <w:r>
        <w:rPr>
          <w:rFonts w:ascii="Arial" w:cs="Arial" w:eastAsia="Arial" w:hAnsi="Arial"/>
          <w:color w:val="2E75B6"/>
          <w:sz w:val="24"/>
          <w:szCs w:val="24"/>
        </w:rPr>
        <w:t xml:space="preserve">Growth Operations for Industrial Tech &amp; Robotics</w:t>
      </w:r>
    </w:p>
    <w:p>
      <w:pPr>
        <w:pBdr>
          <w:bottom w:val="single" w:color="2E75B6" w:sz="6" w:space="1"/>
        </w:pBdr>
        <w:spacing w:after="500"/>
        <w:jc w:val="center"/>
      </w:pPr>
    </w:p>
    <w:p>
      <w:pPr>
        <w:spacing w:after="140"/>
        <w:jc w:val="center"/>
      </w:pPr>
      <w:r>
        <w:rPr>
          <w:rFonts w:ascii="Arial" w:cs="Arial" w:eastAsia="Arial" w:hAnsi="Arial"/>
          <w:b/>
          <w:bCs/>
          <w:color w:val="1B2A4A"/>
          <w:sz w:val="44"/>
          <w:szCs w:val="44"/>
        </w:rPr>
        <w:t xml:space="preserve">Service Package</w:t>
      </w:r>
    </w:p>
    <w:p>
      <w:pPr>
        <w:spacing w:after="100"/>
        <w:jc w:val="center"/>
      </w:pPr>
      <w:r>
        <w:rPr>
          <w:rFonts w:ascii="Arial" w:cs="Arial" w:eastAsia="Arial" w:hAnsi="Arial"/>
          <w:color w:val="D4652F"/>
          <w:sz w:val="28"/>
          <w:szCs w:val="28"/>
        </w:rPr>
        <w:t xml:space="preserve">More Pipeline. Faster Deals. Higher Conversion.</w:t>
      </w:r>
    </w:p>
    <w:p>
      <w:pPr>
        <w:spacing w:after="200"/>
        <w:jc w:val="center"/>
      </w:pPr>
      <w:r>
        <w:rPr>
          <w:rFonts w:ascii="Arial" w:cs="Arial" w:eastAsia="Arial" w:hAnsi="Arial"/>
          <w:color w:val="666666"/>
          <w:sz w:val="22"/>
          <w:szCs w:val="22"/>
        </w:rPr>
        <w:t xml:space="preserve">A step-by-step engagement model that takes robotics companies from
trade show dependency to predictable enterprise pipeline.</w:t>
      </w:r>
    </w:p>
    <w:p>
      <w:pPr>
        <w:spacing w:after="400"/>
      </w:pPr>
    </w:p>
    <w:p>
      <w:pPr>
        <w:jc w:val="center"/>
      </w:pPr>
      <w:r>
        <w:rPr>
          <w:rFonts w:ascii="Arial" w:cs="Arial" w:eastAsia="Arial" w:hAnsi="Arial"/>
          <w:color w:val="666666"/>
          <w:sz w:val="20"/>
          <w:szCs w:val="20"/>
        </w:rPr>
        <w:t xml:space="preserve">Prepared by Andreas  •  March 2026</w:t>
      </w:r>
    </w:p>
    <w:p>
      <w:r>
        <w:br w:type="page"/>
      </w:r>
    </w:p>
    <w:p>
      <w:pPr>
        <w:pStyle w:val="Heading1"/>
      </w:pPr>
      <w:r>
        <w:rPr>
          <w:color w:val="1B2A4A"/>
        </w:rPr>
        <w:t xml:space="preserve">The Three Problems This Package Solves</w:t>
      </w:r>
    </w:p>
    <w:p>
      <w:pPr>
        <w:spacing w:after="80"/>
      </w:pPr>
    </w:p>
    <w:p>
      <w:pPr>
        <w:spacing w:after="160" w:line="276"/>
      </w:pPr>
      <w:r>
        <w:rPr>
          <w:rFonts w:ascii="Arial" w:cs="Arial" w:eastAsia="Arial" w:hAnsi="Arial"/>
          <w:color w:val="333333"/>
          <w:sz w:val="22"/>
          <w:szCs w:val="22"/>
        </w:rPr>
        <w:t xml:space="preserve">This service package exists because robotics and industrial automation companies hit the same three walls once their technology is proven:</w:t>
      </w:r>
    </w:p>
    <w:p>
      <w:pPr>
        <w:spacing w:after="60"/>
      </w:pPr>
    </w:p>
    <w:p>
      <w:pPr>
        <w:pStyle w:val="Heading3"/>
      </w:pPr>
      <w:r>
        <w:rPr>
          <w:color w:val="2E75B6"/>
        </w:rPr>
        <w:t xml:space="preserve">1. Your pipeline depends on trade shows that cost a fortune and produce unmeasurable results.</w:t>
      </w:r>
    </w:p>
    <w:p>
      <w:pPr>
        <w:spacing w:after="160" w:line="276"/>
      </w:pPr>
      <w:r>
        <w:rPr>
          <w:rFonts w:ascii="Arial" w:cs="Arial" w:eastAsia="Arial" w:hAnsi="Arial"/>
          <w:color w:val="333333"/>
          <w:sz w:val="22"/>
          <w:szCs w:val="22"/>
        </w:rPr>
        <w:t xml:space="preserve">You spend €50K–€150K per major event. You collect business cards. The follow-up is inconsistent. Six months later, you cannot connect a single closed deal to the booth. You suspect the money is wasted, but you have no alternative.</w:t>
      </w:r>
    </w:p>
    <w:p>
      <w:pPr>
        <w:pStyle w:val="Heading3"/>
      </w:pPr>
      <w:r>
        <w:rPr>
          <w:color w:val="2E75B6"/>
        </w:rPr>
        <w:t xml:space="preserve">2. Your pilots succeed but don’t become production contracts.</w:t>
      </w:r>
    </w:p>
    <w:p>
      <w:pPr>
        <w:spacing w:after="160" w:line="276"/>
      </w:pPr>
      <w:r>
        <w:rPr>
          <w:rFonts w:ascii="Arial" w:cs="Arial" w:eastAsia="Arial" w:hAnsi="Arial"/>
          <w:color w:val="333333"/>
          <w:sz w:val="22"/>
          <w:szCs w:val="22"/>
        </w:rPr>
        <w:t xml:space="preserve">The technology works. The customer is impressed. Then the deal stalls in procurement, or the IT team raises integration concerns nobody planned for, or the internal champion changes roles. Industry-wide, 40–60% of automation pilots never reach production deployment. The failure is almost never technical.</w:t>
      </w:r>
    </w:p>
    <w:p>
      <w:pPr>
        <w:pStyle w:val="Heading3"/>
      </w:pPr>
      <w:r>
        <w:rPr>
          <w:color w:val="2E75B6"/>
        </w:rPr>
        <w:t xml:space="preserve">3. Every deal still requires the founder to personally walk it across the finish line.</w:t>
      </w:r>
    </w:p>
    <w:p>
      <w:pPr>
        <w:spacing w:after="160" w:line="276"/>
      </w:pPr>
      <w:r>
        <w:rPr>
          <w:rFonts w:ascii="Arial" w:cs="Arial" w:eastAsia="Arial" w:hAnsi="Arial"/>
          <w:color w:val="333333"/>
          <w:sz w:val="22"/>
          <w:szCs w:val="22"/>
        </w:rPr>
        <w:t xml:space="preserve">The CEO runs the demo, the CTO answers integration questions, the founder manages the relationship. Close rates are decent, but the company plateaus at €3M–€8M in revenue because the pipeline is bottlenecked by three people who are already stretched thin.</w:t>
      </w:r>
    </w:p>
    <w:p>
      <w:pPr>
        <w:spacing w:after="10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2E75B6" w:sz="1"/>
              <w:left w:val="single" w:color="2E75B6" w:sz="6"/>
              <w:bottom w:val="single" w:color="2E75B6" w:sz="1"/>
              <w:right w:val="single" w:color="2E75B6" w:sz="1"/>
            </w:tcBorders>
            <w:shd w:fill="D5E8F0" w:val="clear"/>
            <w:tcMar>
              <w:top w:type="dxa" w:w="160"/>
              <w:left w:type="dxa" w:w="220"/>
              <w:bottom w:type="dxa" w:w="160"/>
              <w:right w:type="dxa" w:w="220"/>
            </w:tcMar>
          </w:tcPr>
          <w:p>
            <w:pPr>
              <w:spacing w:after="80"/>
            </w:pPr>
            <w:r>
              <w:rPr>
                <w:rFonts w:ascii="Arial" w:cs="Arial" w:eastAsia="Arial" w:hAnsi="Arial"/>
                <w:b/>
                <w:bCs/>
                <w:color w:val="1B2A4A"/>
                <w:sz w:val="22"/>
                <w:szCs w:val="22"/>
              </w:rPr>
              <w:t xml:space="preserve">If any of these sound familiar, this package was built for you.</w:t>
            </w:r>
          </w:p>
          <w:p>
            <w:pPr>
              <w:spacing w:after="60" w:line="276"/>
            </w:pPr>
            <w:r>
              <w:rPr>
                <w:rFonts w:ascii="Arial" w:cs="Arial" w:eastAsia="Arial" w:hAnsi="Arial"/>
                <w:color w:val="333333"/>
                <w:sz w:val="22"/>
                <w:szCs w:val="22"/>
              </w:rPr>
              <w:t xml:space="preserve">Each service below attacks one or more of these problems directly. You choose where to start based on which problem is costing you the most revenue right now.</w:t>
            </w:r>
          </w:p>
        </w:tc>
      </w:tr>
    </w:tbl>
    <w:p>
      <w:r>
        <w:br w:type="page"/>
      </w:r>
    </w:p>
    <w:p>
      <w:pPr>
        <w:pStyle w:val="Heading1"/>
      </w:pPr>
      <w:r>
        <w:rPr>
          <w:color w:val="1B2A4A"/>
        </w:rPr>
        <w:t xml:space="preserve">How the Engagement Works</w:t>
      </w:r>
    </w:p>
    <w:p>
      <w:pPr>
        <w:spacing w:after="80"/>
      </w:pPr>
    </w:p>
    <w:p>
      <w:pPr>
        <w:spacing w:after="160" w:line="276"/>
      </w:pPr>
      <w:r>
        <w:rPr>
          <w:rFonts w:ascii="Arial" w:cs="Arial" w:eastAsia="Arial" w:hAnsi="Arial"/>
          <w:color w:val="333333"/>
          <w:sz w:val="22"/>
          <w:szCs w:val="22"/>
        </w:rPr>
        <w:t xml:space="preserve">This is not a multi-month commitment you sign before seeing any results. It is a ladder of escalating value where each step is useful on its own and builds the trust for the next:</w:t>
      </w:r>
    </w:p>
    <w:p>
      <w:pPr>
        <w:spacing w:after="8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200"/>
        <w:gridCol w:w="4026"/>
        <w:gridCol w:w="1600"/>
        <w:gridCol w:w="1200"/>
      </w:tblGrid>
      <w:tr>
        <w:tc>
          <w:tcPr>
            <w:tcW w:type="dxa" w:w="1200"/>
            <w:tcBorders>
              <w:top w:val="single" w:color="CCCCCC" w:sz="1"/>
              <w:left w:val="single" w:color="CCCCCC" w:sz="1"/>
              <w:bottom w:val="single" w:color="CCCCCC" w:sz="1"/>
              <w:right w:val="single" w:color="CCCCCC" w:sz="1"/>
            </w:tcBorders>
            <w:shd w:fill="1B2A4A" w:val="clear"/>
            <w:tcMar>
              <w:top w:type="dxa" w:w="100"/>
              <w:left w:type="dxa" w:w="150"/>
              <w:bottom w:type="dxa" w:w="100"/>
              <w:right w:type="dxa" w:w="150"/>
            </w:tcMar>
          </w:tcPr>
          <w:p>
            <w:pPr>
              <w:spacing w:after="40"/>
            </w:pPr>
            <w:r>
              <w:rPr>
                <w:rFonts w:ascii="Arial" w:cs="Arial" w:eastAsia="Arial" w:hAnsi="Arial"/>
                <w:b/>
                <w:bCs/>
                <w:color w:val="FFFFFF"/>
                <w:sz w:val="20"/>
                <w:szCs w:val="20"/>
              </w:rPr>
              <w:t xml:space="preserve">STEP</w:t>
            </w:r>
          </w:p>
        </w:tc>
        <w:tc>
          <w:tcPr>
            <w:tcW w:type="dxa" w:w="4026"/>
            <w:tcBorders>
              <w:top w:val="single" w:color="CCCCCC" w:sz="1"/>
              <w:left w:val="single" w:color="CCCCCC" w:sz="1"/>
              <w:bottom w:val="single" w:color="CCCCCC" w:sz="1"/>
              <w:right w:val="single" w:color="CCCCCC" w:sz="1"/>
            </w:tcBorders>
            <w:shd w:fill="1B2A4A" w:val="clear"/>
            <w:tcMar>
              <w:top w:type="dxa" w:w="100"/>
              <w:left w:type="dxa" w:w="150"/>
              <w:bottom w:type="dxa" w:w="100"/>
              <w:right w:type="dxa" w:w="150"/>
            </w:tcMar>
          </w:tcPr>
          <w:p>
            <w:pPr>
              <w:spacing w:after="40"/>
            </w:pPr>
            <w:r>
              <w:rPr>
                <w:rFonts w:ascii="Arial" w:cs="Arial" w:eastAsia="Arial" w:hAnsi="Arial"/>
                <w:b/>
                <w:bCs/>
                <w:color w:val="FFFFFF"/>
                <w:sz w:val="20"/>
                <w:szCs w:val="20"/>
              </w:rPr>
              <w:t xml:space="preserve">WHAT YOU GET</w:t>
            </w:r>
          </w:p>
        </w:tc>
        <w:tc>
          <w:tcPr>
            <w:tcW w:type="dxa" w:w="1600"/>
            <w:tcBorders>
              <w:top w:val="single" w:color="CCCCCC" w:sz="1"/>
              <w:left w:val="single" w:color="CCCCCC" w:sz="1"/>
              <w:bottom w:val="single" w:color="CCCCCC" w:sz="1"/>
              <w:right w:val="single" w:color="CCCCCC" w:sz="1"/>
            </w:tcBorders>
            <w:shd w:fill="1B2A4A" w:val="clear"/>
            <w:tcMar>
              <w:top w:type="dxa" w:w="100"/>
              <w:left w:type="dxa" w:w="150"/>
              <w:bottom w:type="dxa" w:w="100"/>
              <w:right w:type="dxa" w:w="150"/>
            </w:tcMar>
          </w:tcPr>
          <w:p>
            <w:pPr>
              <w:spacing w:after="40"/>
            </w:pPr>
            <w:r>
              <w:rPr>
                <w:rFonts w:ascii="Arial" w:cs="Arial" w:eastAsia="Arial" w:hAnsi="Arial"/>
                <w:b/>
                <w:bCs/>
                <w:color w:val="FFFFFF"/>
                <w:sz w:val="20"/>
                <w:szCs w:val="20"/>
              </w:rPr>
              <w:t xml:space="preserve">INVESTMENT</w:t>
            </w:r>
          </w:p>
        </w:tc>
        <w:tc>
          <w:tcPr>
            <w:tcW w:type="dxa" w:w="1200"/>
            <w:tcBorders>
              <w:top w:val="single" w:color="CCCCCC" w:sz="1"/>
              <w:left w:val="single" w:color="CCCCCC" w:sz="1"/>
              <w:bottom w:val="single" w:color="CCCCCC" w:sz="1"/>
              <w:right w:val="single" w:color="CCCCCC" w:sz="1"/>
            </w:tcBorders>
            <w:shd w:fill="1B2A4A" w:val="clear"/>
            <w:tcMar>
              <w:top w:type="dxa" w:w="100"/>
              <w:left w:type="dxa" w:w="150"/>
              <w:bottom w:type="dxa" w:w="100"/>
              <w:right w:type="dxa" w:w="150"/>
            </w:tcMar>
          </w:tcPr>
          <w:p>
            <w:pPr>
              <w:spacing w:after="40"/>
            </w:pPr>
            <w:r>
              <w:rPr>
                <w:rFonts w:ascii="Arial" w:cs="Arial" w:eastAsia="Arial" w:hAnsi="Arial"/>
                <w:b/>
                <w:bCs/>
                <w:color w:val="FFFFFF"/>
                <w:sz w:val="20"/>
                <w:szCs w:val="20"/>
              </w:rPr>
              <w:t xml:space="preserve">TIMELINE</w:t>
            </w:r>
          </w:p>
        </w:tc>
      </w:tr>
      <w:tr>
        <w:tc>
          <w:tcPr>
            <w:tcW w:type="dxa" w:w="1200"/>
            <w:tcBorders>
              <w:top w:val="single" w:color="CCCCCC" w:sz="1"/>
              <w:left w:val="single" w:color="CCCCCC" w:sz="1"/>
              <w:bottom w:val="single" w:color="CCCCCC" w:sz="1"/>
              <w:right w:val="single" w:color="CCCCCC" w:sz="1"/>
            </w:tcBorders>
            <w:shd w:fill="F2F2F2"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Start Here</w:t>
            </w:r>
          </w:p>
        </w:tc>
        <w:tc>
          <w:tcPr>
            <w:tcW w:type="dxa" w:w="4026"/>
            <w:tcBorders>
              <w:top w:val="single" w:color="CCCCCC" w:sz="1"/>
              <w:left w:val="single" w:color="CCCCCC" w:sz="1"/>
              <w:bottom w:val="single" w:color="CCCCCC" w:sz="1"/>
              <w:right w:val="single" w:color="CCCCCC" w:sz="1"/>
            </w:tcBorders>
            <w:shd w:fill="F2F2F2"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A focused audit that diagnoses your biggest growth bottleneck and tells you exactly what to fix</w:t>
            </w:r>
          </w:p>
        </w:tc>
        <w:tc>
          <w:tcPr>
            <w:tcW w:type="dxa" w:w="1600"/>
            <w:tcBorders>
              <w:top w:val="single" w:color="CCCCCC" w:sz="1"/>
              <w:left w:val="single" w:color="CCCCCC" w:sz="1"/>
              <w:bottom w:val="single" w:color="CCCCCC" w:sz="1"/>
              <w:right w:val="single" w:color="CCCCCC" w:sz="1"/>
            </w:tcBorders>
            <w:shd w:fill="F2F2F2"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€1,500–€3,500</w:t>
            </w:r>
          </w:p>
        </w:tc>
        <w:tc>
          <w:tcPr>
            <w:tcW w:type="dxa" w:w="1200"/>
            <w:tcBorders>
              <w:top w:val="single" w:color="CCCCCC" w:sz="1"/>
              <w:left w:val="single" w:color="CCCCCC" w:sz="1"/>
              <w:bottom w:val="single" w:color="CCCCCC" w:sz="1"/>
              <w:right w:val="single" w:color="CCCCCC" w:sz="1"/>
            </w:tcBorders>
            <w:shd w:fill="F2F2F2"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10–14 days</w:t>
            </w:r>
          </w:p>
        </w:tc>
      </w:tr>
      <w:tr>
        <w:tc>
          <w:tcPr>
            <w:tcW w:type="dxa" w:w="12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Quick Win</w:t>
            </w:r>
          </w:p>
        </w:tc>
        <w:tc>
          <w:tcPr>
            <w:tcW w:type="dxa" w:w="4026"/>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A concrete project that solves one specific problem and delivers measurable ROI</w:t>
            </w:r>
          </w:p>
        </w:tc>
        <w:tc>
          <w:tcPr>
            <w:tcW w:type="dxa" w:w="16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€3,000–€7,000</w:t>
            </w:r>
          </w:p>
        </w:tc>
        <w:tc>
          <w:tcPr>
            <w:tcW w:type="dxa" w:w="12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2–4 weeks</w:t>
            </w:r>
          </w:p>
        </w:tc>
      </w:tr>
      <w:tr>
        <w:tc>
          <w:tcPr>
            <w:tcW w:type="dxa" w:w="1200"/>
            <w:tcBorders>
              <w:top w:val="single" w:color="CCCCCC" w:sz="1"/>
              <w:left w:val="single" w:color="CCCCCC" w:sz="1"/>
              <w:bottom w:val="single" w:color="CCCCCC" w:sz="1"/>
              <w:right w:val="single" w:color="CCCCCC" w:sz="1"/>
            </w:tcBorders>
            <w:shd w:fill="F2F2F2"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Full Build</w:t>
            </w:r>
          </w:p>
        </w:tc>
        <w:tc>
          <w:tcPr>
            <w:tcW w:type="dxa" w:w="4026"/>
            <w:tcBorders>
              <w:top w:val="single" w:color="CCCCCC" w:sz="1"/>
              <w:left w:val="single" w:color="CCCCCC" w:sz="1"/>
              <w:bottom w:val="single" w:color="CCCCCC" w:sz="1"/>
              <w:right w:val="single" w:color="CCCCCC" w:sz="1"/>
            </w:tcBorders>
            <w:shd w:fill="F2F2F2"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A retained engagement that builds the complete pipeline and conversion engine</w:t>
            </w:r>
          </w:p>
        </w:tc>
        <w:tc>
          <w:tcPr>
            <w:tcW w:type="dxa" w:w="1600"/>
            <w:tcBorders>
              <w:top w:val="single" w:color="CCCCCC" w:sz="1"/>
              <w:left w:val="single" w:color="CCCCCC" w:sz="1"/>
              <w:bottom w:val="single" w:color="CCCCCC" w:sz="1"/>
              <w:right w:val="single" w:color="CCCCCC" w:sz="1"/>
            </w:tcBorders>
            <w:shd w:fill="F2F2F2"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€8,000–€15,000/mo</w:t>
            </w:r>
          </w:p>
        </w:tc>
        <w:tc>
          <w:tcPr>
            <w:tcW w:type="dxa" w:w="1200"/>
            <w:tcBorders>
              <w:top w:val="single" w:color="CCCCCC" w:sz="1"/>
              <w:left w:val="single" w:color="CCCCCC" w:sz="1"/>
              <w:bottom w:val="single" w:color="CCCCCC" w:sz="1"/>
              <w:right w:val="single" w:color="CCCCCC" w:sz="1"/>
            </w:tcBorders>
            <w:shd w:fill="F2F2F2"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3–6 months</w:t>
            </w:r>
          </w:p>
        </w:tc>
      </w:tr>
      <w:tr>
        <w:tc>
          <w:tcPr>
            <w:tcW w:type="dxa" w:w="12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Deep Partnership</w:t>
            </w:r>
          </w:p>
        </w:tc>
        <w:tc>
          <w:tcPr>
            <w:tcW w:type="dxa" w:w="4026"/>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Embedded field operations optimization and enterprise scaling</w:t>
            </w:r>
          </w:p>
        </w:tc>
        <w:tc>
          <w:tcPr>
            <w:tcW w:type="dxa" w:w="16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€15,000–€25,000/mo</w:t>
            </w:r>
          </w:p>
        </w:tc>
        <w:tc>
          <w:tcPr>
            <w:tcW w:type="dxa" w:w="12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Ongoing</w:t>
            </w:r>
          </w:p>
        </w:tc>
      </w:tr>
    </w:tbl>
    <w:p>
      <w:pPr>
        <w:spacing w:after="120"/>
      </w:pPr>
    </w:p>
    <w:p>
      <w:pPr>
        <w:spacing w:after="160" w:line="276"/>
      </w:pPr>
      <w:r>
        <w:rPr>
          <w:rFonts w:ascii="Arial" w:cs="Arial" w:eastAsia="Arial" w:hAnsi="Arial"/>
          <w:b/>
          <w:bCs/>
          <w:color w:val="333333"/>
          <w:sz w:val="22"/>
          <w:szCs w:val="22"/>
        </w:rPr>
        <w:t xml:space="preserve">Every step is profitable on its own. </w:t>
      </w:r>
      <w:r>
        <w:rPr>
          <w:rFonts w:ascii="Arial" w:cs="Arial" w:eastAsia="Arial" w:hAnsi="Arial"/>
          <w:color w:val="333333"/>
          <w:sz w:val="22"/>
          <w:szCs w:val="22"/>
        </w:rPr>
        <w:t xml:space="preserve">You get a tangible deliverable at each level, and you decide whether to continue based on the results — not on a pre-sold commitment. Most clients start with an audit and move forward because the findings make the next step obvious.</w:t>
      </w:r>
    </w:p>
    <w:p>
      <w:r>
        <w:br w:type="page"/>
      </w:r>
    </w:p>
    <w:p>
      <w:pPr>
        <w:pStyle w:val="Heading1"/>
      </w:pPr>
      <w:r>
        <w:rPr>
          <w:color w:val="1B2A4A"/>
        </w:rPr>
        <w:t xml:space="preserve">Service 1: Diagnostic Audits</w:t>
      </w:r>
    </w:p>
    <w:p>
      <w:pPr>
        <w:spacing w:after="60"/>
      </w:pPr>
      <w:r>
        <w:rPr>
          <w:rFonts w:ascii="Arial" w:cs="Arial" w:eastAsia="Arial" w:hAnsi="Arial"/>
          <w:b/>
          <w:bCs/>
          <w:color w:val="D4652F"/>
          <w:sz w:val="22"/>
          <w:szCs w:val="22"/>
        </w:rPr>
        <w:t xml:space="preserve">START HERE  </w:t>
      </w:r>
      <w:r>
        <w:rPr>
          <w:rFonts w:ascii="Arial" w:cs="Arial" w:eastAsia="Arial" w:hAnsi="Arial"/>
          <w:color w:val="333333"/>
          <w:sz w:val="22"/>
          <w:szCs w:val="22"/>
        </w:rPr>
        <w:t xml:space="preserve">|  €1,500–€3,500  |  10–14 days  |  Standalone deliverable</w:t>
      </w:r>
    </w:p>
    <w:p>
      <w:pPr>
        <w:spacing w:after="80"/>
      </w:pPr>
    </w:p>
    <w:p>
      <w:pPr>
        <w:spacing w:after="160" w:line="276"/>
      </w:pPr>
      <w:r>
        <w:rPr>
          <w:rFonts w:ascii="Arial" w:cs="Arial" w:eastAsia="Arial" w:hAnsi="Arial"/>
          <w:b/>
          <w:bCs/>
          <w:color w:val="333333"/>
          <w:sz w:val="22"/>
          <w:szCs w:val="22"/>
        </w:rPr>
        <w:t xml:space="preserve">The outcome: </w:t>
      </w:r>
      <w:r>
        <w:rPr>
          <w:rFonts w:ascii="Arial" w:cs="Arial" w:eastAsia="Arial" w:hAnsi="Arial"/>
          <w:color w:val="333333"/>
          <w:sz w:val="22"/>
          <w:szCs w:val="22"/>
        </w:rPr>
        <w:t xml:space="preserve">You get a clear, data-backed diagnosis of where and why you’re losing revenue — with a prioritized action plan you can execute immediately, with or without further engagement from me.</w:t>
      </w:r>
    </w:p>
    <w:p>
      <w:pPr>
        <w:spacing w:after="60"/>
      </w:pPr>
    </w:p>
    <w:p>
      <w:pPr>
        <w:pStyle w:val="Heading2"/>
      </w:pPr>
      <w:r>
        <w:rPr>
          <w:color w:val="1B2A4A"/>
        </w:rPr>
        <w:t xml:space="preserve">Audit A: Pilot Conversion Diagnosis</w:t>
      </w:r>
    </w:p>
    <w:p>
      <w:pPr>
        <w:spacing w:after="160" w:line="276"/>
      </w:pPr>
      <w:r>
        <w:rPr>
          <w:rFonts w:ascii="Arial" w:cs="Arial" w:eastAsia="Arial" w:hAnsi="Arial"/>
          <w:i/>
          <w:iCs/>
          <w:color w:val="666666"/>
          <w:sz w:val="22"/>
          <w:szCs w:val="22"/>
        </w:rPr>
        <w:t xml:space="preserve">"Find out exactly why your pilots aren’t becoming production contracts — and what to fix first."</w:t>
      </w:r>
    </w:p>
    <w:p>
      <w:pPr>
        <w:spacing w:after="40"/>
      </w:pPr>
    </w:p>
    <w:p>
      <w:pPr>
        <w:spacing w:after="160" w:line="276"/>
      </w:pPr>
      <w:r>
        <w:rPr>
          <w:rFonts w:ascii="Arial" w:cs="Arial" w:eastAsia="Arial" w:hAnsi="Arial"/>
          <w:b/>
          <w:bCs/>
          <w:color w:val="333333"/>
          <w:sz w:val="22"/>
          <w:szCs w:val="22"/>
        </w:rPr>
        <w:t xml:space="preserve">What I do for you:</w:t>
      </w:r>
    </w:p>
    <w:p>
      <w:pPr>
        <w:pStyle w:val="ListParagraph"/>
        <w:numPr>
          <w:ilvl w:val="0"/>
          <w:numId w:val="2"/>
        </w:numPr>
        <w:spacing w:after="60" w:line="260"/>
      </w:pPr>
      <w:r>
        <w:rPr>
          <w:rFonts w:ascii="Arial" w:cs="Arial" w:eastAsia="Arial" w:hAnsi="Arial"/>
          <w:color w:val="333333"/>
          <w:sz w:val="22"/>
          <w:szCs w:val="22"/>
        </w:rPr>
        <w:t xml:space="preserve">Review your last 3–5 pilot engagements that stalled, were delayed, or failed to convert to production contracts</w:t>
      </w:r>
    </w:p>
    <w:p>
      <w:pPr>
        <w:pStyle w:val="ListParagraph"/>
        <w:numPr>
          <w:ilvl w:val="0"/>
          <w:numId w:val="2"/>
        </w:numPr>
        <w:spacing w:after="60" w:line="260"/>
      </w:pPr>
      <w:r>
        <w:rPr>
          <w:rFonts w:ascii="Arial" w:cs="Arial" w:eastAsia="Arial" w:hAnsi="Arial"/>
          <w:color w:val="333333"/>
          <w:sz w:val="22"/>
          <w:szCs w:val="22"/>
        </w:rPr>
        <w:t xml:space="preserve">Interview your sales lead, deployment lead, and customer success contact (2–3 structured calls, 45 minutes each)</w:t>
      </w:r>
    </w:p>
    <w:p>
      <w:pPr>
        <w:pStyle w:val="ListParagraph"/>
        <w:numPr>
          <w:ilvl w:val="0"/>
          <w:numId w:val="2"/>
        </w:numPr>
        <w:spacing w:after="60" w:line="260"/>
      </w:pPr>
      <w:r>
        <w:rPr>
          <w:rFonts w:ascii="Arial" w:cs="Arial" w:eastAsia="Arial" w:hAnsi="Arial"/>
          <w:color w:val="333333"/>
          <w:sz w:val="22"/>
          <w:szCs w:val="22"/>
        </w:rPr>
        <w:t xml:space="preserve">Map the complete pilot lifecycle for each case: from initial customer interest through pilot execution to the point where momentum was lost</w:t>
      </w:r>
    </w:p>
    <w:p>
      <w:pPr>
        <w:pStyle w:val="ListParagraph"/>
        <w:numPr>
          <w:ilvl w:val="0"/>
          <w:numId w:val="2"/>
        </w:numPr>
        <w:spacing w:after="60" w:line="260"/>
      </w:pPr>
      <w:r>
        <w:rPr>
          <w:rFonts w:ascii="Arial" w:cs="Arial" w:eastAsia="Arial" w:hAnsi="Arial"/>
          <w:color w:val="333333"/>
          <w:sz w:val="22"/>
          <w:szCs w:val="22"/>
        </w:rPr>
        <w:t xml:space="preserve">Identify every failure point by category: technical integration gaps, stakeholder misalignment, procurement friction, operational readiness gaps, expectation management failures, or internal champion loss</w:t>
      </w:r>
    </w:p>
    <w:p>
      <w:pPr>
        <w:pStyle w:val="ListParagraph"/>
        <w:numPr>
          <w:ilvl w:val="0"/>
          <w:numId w:val="2"/>
        </w:numPr>
        <w:spacing w:after="60" w:line="260"/>
      </w:pPr>
      <w:r>
        <w:rPr>
          <w:rFonts w:ascii="Arial" w:cs="Arial" w:eastAsia="Arial" w:hAnsi="Arial"/>
          <w:color w:val="333333"/>
          <w:sz w:val="22"/>
          <w:szCs w:val="22"/>
        </w:rPr>
        <w:t xml:space="preserve">Score each failure point by revenue impact: how much revenue was at stake, and what was the probability of recovery if the gap had been addressed</w:t>
      </w:r>
    </w:p>
    <w:p>
      <w:pPr>
        <w:pStyle w:val="ListParagraph"/>
        <w:numPr>
          <w:ilvl w:val="0"/>
          <w:numId w:val="2"/>
        </w:numPr>
        <w:spacing w:after="60" w:line="260"/>
      </w:pPr>
      <w:r>
        <w:rPr>
          <w:rFonts w:ascii="Arial" w:cs="Arial" w:eastAsia="Arial" w:hAnsi="Arial"/>
          <w:color w:val="333333"/>
          <w:sz w:val="22"/>
          <w:szCs w:val="22"/>
        </w:rPr>
        <w:t xml:space="preserve">Analyze your customer’s internal buying committee for each stalled pilot: which stakeholders were engaged, which were missing, and which raised objections that were never answered</w:t>
      </w:r>
    </w:p>
    <w:p>
      <w:pPr>
        <w:pStyle w:val="ListParagraph"/>
        <w:numPr>
          <w:ilvl w:val="0"/>
          <w:numId w:val="2"/>
        </w:numPr>
        <w:spacing w:after="60" w:line="260"/>
      </w:pPr>
      <w:r>
        <w:rPr>
          <w:rFonts w:ascii="Arial" w:cs="Arial" w:eastAsia="Arial" w:hAnsi="Arial"/>
          <w:color w:val="333333"/>
          <w:sz w:val="22"/>
          <w:szCs w:val="22"/>
        </w:rPr>
        <w:t xml:space="preserve">Assess your pre-pilot qualification process: were these customers genuinely ready for production, or were they rushed into pilots without readiness validation?</w:t>
      </w:r>
    </w:p>
    <w:p>
      <w:pPr>
        <w:pStyle w:val="ListParagraph"/>
        <w:numPr>
          <w:ilvl w:val="0"/>
          <w:numId w:val="2"/>
        </w:numPr>
        <w:spacing w:after="60" w:line="260"/>
      </w:pPr>
      <w:r>
        <w:rPr>
          <w:rFonts w:ascii="Arial" w:cs="Arial" w:eastAsia="Arial" w:hAnsi="Arial"/>
          <w:color w:val="333333"/>
          <w:sz w:val="22"/>
          <w:szCs w:val="22"/>
        </w:rPr>
        <w:t xml:space="preserve">Evaluate your post-pilot communication cadence: how quickly did you follow up? What materials did you provide to support the internal business case?</w:t>
      </w:r>
    </w:p>
    <w:p>
      <w:pPr>
        <w:pStyle w:val="ListParagraph"/>
        <w:numPr>
          <w:ilvl w:val="0"/>
          <w:numId w:val="2"/>
        </w:numPr>
        <w:spacing w:after="60" w:line="260"/>
      </w:pPr>
      <w:r>
        <w:rPr>
          <w:rFonts w:ascii="Arial" w:cs="Arial" w:eastAsia="Arial" w:hAnsi="Arial"/>
          <w:color w:val="333333"/>
          <w:sz w:val="22"/>
          <w:szCs w:val="22"/>
        </w:rPr>
        <w:t xml:space="preserve">Benchmark your pilot-to-production conversion rate against industry data (40–60% is typical; top performers hit 75%+)</w:t>
      </w:r>
    </w:p>
    <w:p>
      <w:pPr>
        <w:pStyle w:val="ListParagraph"/>
        <w:numPr>
          <w:ilvl w:val="0"/>
          <w:numId w:val="2"/>
        </w:numPr>
        <w:spacing w:after="60" w:line="260"/>
      </w:pPr>
      <w:r>
        <w:rPr>
          <w:rFonts w:ascii="Arial" w:cs="Arial" w:eastAsia="Arial" w:hAnsi="Arial"/>
          <w:color w:val="333333"/>
          <w:sz w:val="22"/>
          <w:szCs w:val="22"/>
        </w:rPr>
        <w:t xml:space="preserve">Identify patterns across all reviewed pilots: are the same failure points recurring? Is there a systemic issue or are failures idiosyncratic?</w:t>
      </w:r>
    </w:p>
    <w:p>
      <w:pPr>
        <w:pStyle w:val="ListParagraph"/>
        <w:numPr>
          <w:ilvl w:val="0"/>
          <w:numId w:val="2"/>
        </w:numPr>
        <w:spacing w:after="60" w:line="260"/>
      </w:pPr>
      <w:r>
        <w:rPr>
          <w:rFonts w:ascii="Arial" w:cs="Arial" w:eastAsia="Arial" w:hAnsi="Arial"/>
          <w:color w:val="333333"/>
          <w:sz w:val="22"/>
          <w:szCs w:val="22"/>
        </w:rPr>
        <w:t xml:space="preserve">Deliver a scored Pilot Conversion Report ranking every identified gap by revenue impact and fix difficulty</w:t>
      </w:r>
    </w:p>
    <w:p>
      <w:pPr>
        <w:pStyle w:val="ListParagraph"/>
        <w:numPr>
          <w:ilvl w:val="0"/>
          <w:numId w:val="2"/>
        </w:numPr>
        <w:spacing w:after="60" w:line="260"/>
      </w:pPr>
      <w:r>
        <w:rPr>
          <w:rFonts w:ascii="Arial" w:cs="Arial" w:eastAsia="Arial" w:hAnsi="Arial"/>
          <w:color w:val="333333"/>
          <w:sz w:val="22"/>
          <w:szCs w:val="22"/>
        </w:rPr>
        <w:t xml:space="preserve">Provide a prioritized action plan: the top 3 changes that will have the greatest impact on your conversion rate, with specific implementation steps</w:t>
      </w:r>
    </w:p>
    <w:p>
      <w:pPr>
        <w:pStyle w:val="ListParagraph"/>
        <w:numPr>
          <w:ilvl w:val="0"/>
          <w:numId w:val="2"/>
        </w:numPr>
        <w:spacing w:after="60" w:line="260"/>
      </w:pPr>
      <w:r>
        <w:rPr>
          <w:rFonts w:ascii="Arial" w:cs="Arial" w:eastAsia="Arial" w:hAnsi="Arial"/>
          <w:color w:val="333333"/>
          <w:sz w:val="22"/>
          <w:szCs w:val="22"/>
        </w:rPr>
        <w:t xml:space="preserve">Conduct a 60-minute executive debrief walking your leadership team through the findings and answering questions</w:t>
      </w:r>
    </w:p>
    <w:p>
      <w:pPr>
        <w:pStyle w:val="ListParagraph"/>
        <w:numPr>
          <w:ilvl w:val="0"/>
          <w:numId w:val="2"/>
        </w:numPr>
        <w:spacing w:after="60" w:line="260"/>
      </w:pPr>
      <w:r>
        <w:rPr>
          <w:rFonts w:ascii="Arial" w:cs="Arial" w:eastAsia="Arial" w:hAnsi="Arial"/>
          <w:color w:val="333333"/>
          <w:sz w:val="22"/>
          <w:szCs w:val="22"/>
        </w:rPr>
        <w:t xml:space="preserve">Include a 30-day follow-up check-in call to review whether recommended actions have been implemented and troubleshoot obstacles</w:t>
      </w:r>
    </w:p>
    <w:p>
      <w:pPr>
        <w:spacing w:after="100"/>
      </w:pPr>
    </w:p>
    <w:p>
      <w:pPr>
        <w:pStyle w:val="Heading2"/>
      </w:pPr>
      <w:r>
        <w:rPr>
          <w:color w:val="1B2A4A"/>
        </w:rPr>
        <w:t xml:space="preserve">Audit B: Trade Show ROI Diagnosis</w:t>
      </w:r>
    </w:p>
    <w:p>
      <w:pPr>
        <w:spacing w:after="160" w:line="276"/>
      </w:pPr>
      <w:r>
        <w:rPr>
          <w:rFonts w:ascii="Arial" w:cs="Arial" w:eastAsia="Arial" w:hAnsi="Arial"/>
          <w:i/>
          <w:iCs/>
          <w:color w:val="666666"/>
          <w:sz w:val="22"/>
          <w:szCs w:val="22"/>
        </w:rPr>
        <w:t xml:space="preserve">"Find out what your last 3 trade shows actually produced — and whether you should keep going."</w:t>
      </w:r>
    </w:p>
    <w:p>
      <w:pPr>
        <w:spacing w:after="40"/>
      </w:pPr>
    </w:p>
    <w:p>
      <w:pPr>
        <w:spacing w:after="160" w:line="276"/>
      </w:pPr>
      <w:r>
        <w:rPr>
          <w:rFonts w:ascii="Arial" w:cs="Arial" w:eastAsia="Arial" w:hAnsi="Arial"/>
          <w:b/>
          <w:bCs/>
          <w:color w:val="333333"/>
          <w:sz w:val="22"/>
          <w:szCs w:val="22"/>
        </w:rPr>
        <w:t xml:space="preserve">What I do for you:</w:t>
      </w:r>
    </w:p>
    <w:p>
      <w:pPr>
        <w:pStyle w:val="ListParagraph"/>
        <w:numPr>
          <w:ilvl w:val="0"/>
          <w:numId w:val="2"/>
        </w:numPr>
        <w:spacing w:after="60" w:line="260"/>
      </w:pPr>
      <w:r>
        <w:rPr>
          <w:rFonts w:ascii="Arial" w:cs="Arial" w:eastAsia="Arial" w:hAnsi="Arial"/>
          <w:color w:val="333333"/>
          <w:sz w:val="22"/>
          <w:szCs w:val="22"/>
        </w:rPr>
        <w:t xml:space="preserve">Collect complete cost data for your last 2–3 major trade show appearances: booth design, space rental, equipment transport, travel, staffing, collateral, and opportunity cost of team time</w:t>
      </w:r>
    </w:p>
    <w:p>
      <w:pPr>
        <w:pStyle w:val="ListParagraph"/>
        <w:numPr>
          <w:ilvl w:val="0"/>
          <w:numId w:val="2"/>
        </w:numPr>
        <w:spacing w:after="60" w:line="260"/>
      </w:pPr>
      <w:r>
        <w:rPr>
          <w:rFonts w:ascii="Arial" w:cs="Arial" w:eastAsia="Arial" w:hAnsi="Arial"/>
          <w:color w:val="333333"/>
          <w:sz w:val="22"/>
          <w:szCs w:val="22"/>
        </w:rPr>
        <w:t xml:space="preserve">Audit your lead capture process for each event: how were leads collected? Badge scanners, business cards, manual entry, app-based capture?</w:t>
      </w:r>
    </w:p>
    <w:p>
      <w:pPr>
        <w:pStyle w:val="ListParagraph"/>
        <w:numPr>
          <w:ilvl w:val="0"/>
          <w:numId w:val="2"/>
        </w:numPr>
        <w:spacing w:after="60" w:line="260"/>
      </w:pPr>
      <w:r>
        <w:rPr>
          <w:rFonts w:ascii="Arial" w:cs="Arial" w:eastAsia="Arial" w:hAnsi="Arial"/>
          <w:color w:val="333333"/>
          <w:sz w:val="22"/>
          <w:szCs w:val="22"/>
        </w:rPr>
        <w:t xml:space="preserve">Track what happened to every captured lead: were they entered into CRM? Were they scored? Were they assigned to a salesperson? Did anyone follow up within 48 hours? Within a week? Within a month?</w:t>
      </w:r>
    </w:p>
    <w:p>
      <w:pPr>
        <w:pStyle w:val="ListParagraph"/>
        <w:numPr>
          <w:ilvl w:val="0"/>
          <w:numId w:val="2"/>
        </w:numPr>
        <w:spacing w:after="60" w:line="260"/>
      </w:pPr>
      <w:r>
        <w:rPr>
          <w:rFonts w:ascii="Arial" w:cs="Arial" w:eastAsia="Arial" w:hAnsi="Arial"/>
          <w:color w:val="333333"/>
          <w:sz w:val="22"/>
          <w:szCs w:val="22"/>
        </w:rPr>
        <w:t xml:space="preserve">Map any leads that progressed to qualified opportunity, proposal, or closed deal — and calculate the actual attribution path from booth interaction to revenue</w:t>
      </w:r>
    </w:p>
    <w:p>
      <w:pPr>
        <w:pStyle w:val="ListParagraph"/>
        <w:numPr>
          <w:ilvl w:val="0"/>
          <w:numId w:val="2"/>
        </w:numPr>
        <w:spacing w:after="60" w:line="260"/>
      </w:pPr>
      <w:r>
        <w:rPr>
          <w:rFonts w:ascii="Arial" w:cs="Arial" w:eastAsia="Arial" w:hAnsi="Arial"/>
          <w:color w:val="333333"/>
          <w:sz w:val="22"/>
          <w:szCs w:val="22"/>
        </w:rPr>
        <w:t xml:space="preserve">Calculate your true cost-per-qualified-lead from trade shows versus any digital channels you currently use</w:t>
      </w:r>
    </w:p>
    <w:p>
      <w:pPr>
        <w:pStyle w:val="ListParagraph"/>
        <w:numPr>
          <w:ilvl w:val="0"/>
          <w:numId w:val="2"/>
        </w:numPr>
        <w:spacing w:after="60" w:line="260"/>
      </w:pPr>
      <w:r>
        <w:rPr>
          <w:rFonts w:ascii="Arial" w:cs="Arial" w:eastAsia="Arial" w:hAnsi="Arial"/>
          <w:color w:val="333333"/>
          <w:sz w:val="22"/>
          <w:szCs w:val="22"/>
        </w:rPr>
        <w:t xml:space="preserve">Analyze your pre-show outreach: did you contact target accounts before the event? Did you schedule booth meetings? Did you have a hit list of priority prospects?</w:t>
      </w:r>
    </w:p>
    <w:p>
      <w:pPr>
        <w:pStyle w:val="ListParagraph"/>
        <w:numPr>
          <w:ilvl w:val="0"/>
          <w:numId w:val="2"/>
        </w:numPr>
        <w:spacing w:after="60" w:line="260"/>
      </w:pPr>
      <w:r>
        <w:rPr>
          <w:rFonts w:ascii="Arial" w:cs="Arial" w:eastAsia="Arial" w:hAnsi="Arial"/>
          <w:color w:val="333333"/>
          <w:sz w:val="22"/>
          <w:szCs w:val="22"/>
        </w:rPr>
        <w:t xml:space="preserve">Evaluate your on-site qualification process: did everyone get the same follow-up, or were high-value prospects treated differently?</w:t>
      </w:r>
    </w:p>
    <w:p>
      <w:pPr>
        <w:pStyle w:val="ListParagraph"/>
        <w:numPr>
          <w:ilvl w:val="0"/>
          <w:numId w:val="2"/>
        </w:numPr>
        <w:spacing w:after="60" w:line="260"/>
      </w:pPr>
      <w:r>
        <w:rPr>
          <w:rFonts w:ascii="Arial" w:cs="Arial" w:eastAsia="Arial" w:hAnsi="Arial"/>
          <w:color w:val="333333"/>
          <w:sz w:val="22"/>
          <w:szCs w:val="22"/>
        </w:rPr>
        <w:t xml:space="preserve">Assess your post-show nurture infrastructure: do you have email sequences, content drip campaigns, or retargeting for event leads?</w:t>
      </w:r>
    </w:p>
    <w:p>
      <w:pPr>
        <w:pStyle w:val="ListParagraph"/>
        <w:numPr>
          <w:ilvl w:val="0"/>
          <w:numId w:val="2"/>
        </w:numPr>
        <w:spacing w:after="60" w:line="260"/>
      </w:pPr>
      <w:r>
        <w:rPr>
          <w:rFonts w:ascii="Arial" w:cs="Arial" w:eastAsia="Arial" w:hAnsi="Arial"/>
          <w:color w:val="333333"/>
          <w:sz w:val="22"/>
          <w:szCs w:val="22"/>
        </w:rPr>
        <w:t xml:space="preserve">Review your trade show content assets: are your booth materials, demos, and collateral designed to address multiple stakeholder types, or do they speak only to engineers?</w:t>
      </w:r>
    </w:p>
    <w:p>
      <w:pPr>
        <w:pStyle w:val="ListParagraph"/>
        <w:numPr>
          <w:ilvl w:val="0"/>
          <w:numId w:val="2"/>
        </w:numPr>
        <w:spacing w:after="60" w:line="260"/>
      </w:pPr>
      <w:r>
        <w:rPr>
          <w:rFonts w:ascii="Arial" w:cs="Arial" w:eastAsia="Arial" w:hAnsi="Arial"/>
          <w:color w:val="333333"/>
          <w:sz w:val="22"/>
          <w:szCs w:val="22"/>
        </w:rPr>
        <w:t xml:space="preserve">Benchmark your trade show ROI against industry averages and against the cost of alternative pipeline generation methods</w:t>
      </w:r>
    </w:p>
    <w:p>
      <w:pPr>
        <w:pStyle w:val="ListParagraph"/>
        <w:numPr>
          <w:ilvl w:val="0"/>
          <w:numId w:val="2"/>
        </w:numPr>
        <w:spacing w:after="60" w:line="260"/>
      </w:pPr>
      <w:r>
        <w:rPr>
          <w:rFonts w:ascii="Arial" w:cs="Arial" w:eastAsia="Arial" w:hAnsi="Arial"/>
          <w:color w:val="333333"/>
          <w:sz w:val="22"/>
          <w:szCs w:val="22"/>
        </w:rPr>
        <w:t xml:space="preserve">Deliver a one-page Trade Show ROI Report with hard numbers: cost per lead, cost per qualified opportunity, cost per closed deal, and a comparison to non-event channels</w:t>
      </w:r>
    </w:p>
    <w:p>
      <w:pPr>
        <w:pStyle w:val="ListParagraph"/>
        <w:numPr>
          <w:ilvl w:val="0"/>
          <w:numId w:val="2"/>
        </w:numPr>
        <w:spacing w:after="60" w:line="260"/>
      </w:pPr>
      <w:r>
        <w:rPr>
          <w:rFonts w:ascii="Arial" w:cs="Arial" w:eastAsia="Arial" w:hAnsi="Arial"/>
          <w:color w:val="333333"/>
          <w:sz w:val="22"/>
          <w:szCs w:val="22"/>
        </w:rPr>
        <w:t xml:space="preserve">Provide a clear recommendation: increase, reduce, restructure, or eliminate trade show investment — with specific reasoning and alternative allocation suggestions</w:t>
      </w:r>
    </w:p>
    <w:p>
      <w:pPr>
        <w:pStyle w:val="ListParagraph"/>
        <w:numPr>
          <w:ilvl w:val="0"/>
          <w:numId w:val="2"/>
        </w:numPr>
        <w:spacing w:after="60" w:line="260"/>
      </w:pPr>
      <w:r>
        <w:rPr>
          <w:rFonts w:ascii="Arial" w:cs="Arial" w:eastAsia="Arial" w:hAnsi="Arial"/>
          <w:color w:val="333333"/>
          <w:sz w:val="22"/>
          <w:szCs w:val="22"/>
        </w:rPr>
        <w:t xml:space="preserve">Include a Trade Show Optimization Checklist: if you continue attending events, these are the 10 specific changes that will maximize your return</w:t>
      </w:r>
    </w:p>
    <w:p>
      <w:pPr>
        <w:pStyle w:val="ListParagraph"/>
        <w:numPr>
          <w:ilvl w:val="0"/>
          <w:numId w:val="2"/>
        </w:numPr>
        <w:spacing w:after="60" w:line="260"/>
      </w:pPr>
      <w:r>
        <w:rPr>
          <w:rFonts w:ascii="Arial" w:cs="Arial" w:eastAsia="Arial" w:hAnsi="Arial"/>
          <w:color w:val="333333"/>
          <w:sz w:val="22"/>
          <w:szCs w:val="22"/>
        </w:rPr>
        <w:t xml:space="preserve">Conduct a 45-minute debrief call walking through findings and recommendations</w:t>
      </w:r>
    </w:p>
    <w:p>
      <w:pPr>
        <w:spacing w:after="100"/>
      </w:pPr>
    </w:p>
    <w:p>
      <w:pPr>
        <w:pStyle w:val="Heading2"/>
      </w:pPr>
      <w:r>
        <w:rPr>
          <w:color w:val="1B2A4A"/>
        </w:rPr>
        <w:t xml:space="preserve">Audit C: Enterprise Sales Cycle Diagnosis</w:t>
      </w:r>
    </w:p>
    <w:p>
      <w:pPr>
        <w:spacing w:after="160" w:line="276"/>
      </w:pPr>
      <w:r>
        <w:rPr>
          <w:rFonts w:ascii="Arial" w:cs="Arial" w:eastAsia="Arial" w:hAnsi="Arial"/>
          <w:i/>
          <w:iCs/>
          <w:color w:val="666666"/>
          <w:sz w:val="22"/>
          <w:szCs w:val="22"/>
        </w:rPr>
        <w:t xml:space="preserve">"Find out why your deals take 12+ months and where you’re losing stakeholders."</w:t>
      </w:r>
    </w:p>
    <w:p>
      <w:pPr>
        <w:spacing w:after="40"/>
      </w:pPr>
    </w:p>
    <w:p>
      <w:pPr>
        <w:spacing w:after="160" w:line="276"/>
      </w:pPr>
      <w:r>
        <w:rPr>
          <w:rFonts w:ascii="Arial" w:cs="Arial" w:eastAsia="Arial" w:hAnsi="Arial"/>
          <w:b/>
          <w:bCs/>
          <w:color w:val="333333"/>
          <w:sz w:val="22"/>
          <w:szCs w:val="22"/>
        </w:rPr>
        <w:t xml:space="preserve">What I do for you:</w:t>
      </w:r>
    </w:p>
    <w:p>
      <w:pPr>
        <w:pStyle w:val="ListParagraph"/>
        <w:numPr>
          <w:ilvl w:val="0"/>
          <w:numId w:val="2"/>
        </w:numPr>
        <w:spacing w:after="60" w:line="260"/>
      </w:pPr>
      <w:r>
        <w:rPr>
          <w:rFonts w:ascii="Arial" w:cs="Arial" w:eastAsia="Arial" w:hAnsi="Arial"/>
          <w:color w:val="333333"/>
          <w:sz w:val="22"/>
          <w:szCs w:val="22"/>
        </w:rPr>
        <w:t xml:space="preserve">Review your last 5–10 enterprise deals in detail: both won and lost, including deal value, timeline, stakeholders involved, and outcome</w:t>
      </w:r>
    </w:p>
    <w:p>
      <w:pPr>
        <w:pStyle w:val="ListParagraph"/>
        <w:numPr>
          <w:ilvl w:val="0"/>
          <w:numId w:val="2"/>
        </w:numPr>
        <w:spacing w:after="60" w:line="260"/>
      </w:pPr>
      <w:r>
        <w:rPr>
          <w:rFonts w:ascii="Arial" w:cs="Arial" w:eastAsia="Arial" w:hAnsi="Arial"/>
          <w:color w:val="333333"/>
          <w:sz w:val="22"/>
          <w:szCs w:val="22"/>
        </w:rPr>
        <w:t xml:space="preserve">Map the complete stakeholder landscape for each deal: who was involved, what role did they play, what were their evaluation criteria, and at what point did they engage or disengage?</w:t>
      </w:r>
    </w:p>
    <w:p>
      <w:pPr>
        <w:pStyle w:val="ListParagraph"/>
        <w:numPr>
          <w:ilvl w:val="0"/>
          <w:numId w:val="2"/>
        </w:numPr>
        <w:spacing w:after="60" w:line="260"/>
      </w:pPr>
      <w:r>
        <w:rPr>
          <w:rFonts w:ascii="Arial" w:cs="Arial" w:eastAsia="Arial" w:hAnsi="Arial"/>
          <w:color w:val="333333"/>
          <w:sz w:val="22"/>
          <w:szCs w:val="22"/>
        </w:rPr>
        <w:t xml:space="preserve">Identify which stakeholder types you consistently reach (typically: CTO, engineering leads) and which you consistently miss (typically: CFO, procurement, safety, operations directors)</w:t>
      </w:r>
    </w:p>
    <w:p>
      <w:pPr>
        <w:pStyle w:val="ListParagraph"/>
        <w:numPr>
          <w:ilvl w:val="0"/>
          <w:numId w:val="2"/>
        </w:numPr>
        <w:spacing w:after="60" w:line="260"/>
      </w:pPr>
      <w:r>
        <w:rPr>
          <w:rFonts w:ascii="Arial" w:cs="Arial" w:eastAsia="Arial" w:hAnsi="Arial"/>
          <w:color w:val="333333"/>
          <w:sz w:val="22"/>
          <w:szCs w:val="22"/>
        </w:rPr>
        <w:t xml:space="preserve">Analyze the specific stage in your pipeline where deals stall most frequently: is it after first demo? During technical evaluation? At procurement? During committee review?</w:t>
      </w:r>
    </w:p>
    <w:p>
      <w:pPr>
        <w:pStyle w:val="ListParagraph"/>
        <w:numPr>
          <w:ilvl w:val="0"/>
          <w:numId w:val="2"/>
        </w:numPr>
        <w:spacing w:after="60" w:line="260"/>
      </w:pPr>
      <w:r>
        <w:rPr>
          <w:rFonts w:ascii="Arial" w:cs="Arial" w:eastAsia="Arial" w:hAnsi="Arial"/>
          <w:color w:val="333333"/>
          <w:sz w:val="22"/>
          <w:szCs w:val="22"/>
        </w:rPr>
        <w:t xml:space="preserve">Calculate your average deal velocity by stage: how long does each phase take, and which phases are disproportionately slow?</w:t>
      </w:r>
    </w:p>
    <w:p>
      <w:pPr>
        <w:pStyle w:val="ListParagraph"/>
        <w:numPr>
          <w:ilvl w:val="0"/>
          <w:numId w:val="2"/>
        </w:numPr>
        <w:spacing w:after="60" w:line="260"/>
      </w:pPr>
      <w:r>
        <w:rPr>
          <w:rFonts w:ascii="Arial" w:cs="Arial" w:eastAsia="Arial" w:hAnsi="Arial"/>
          <w:color w:val="333333"/>
          <w:sz w:val="22"/>
          <w:szCs w:val="22"/>
        </w:rPr>
        <w:t xml:space="preserve">Assess your sales content and collateral against each stakeholder type: do you have dedicated materials that address the CFO’s concerns? The safety officer’s? Procurement’s?</w:t>
      </w:r>
    </w:p>
    <w:p>
      <w:pPr>
        <w:pStyle w:val="ListParagraph"/>
        <w:numPr>
          <w:ilvl w:val="0"/>
          <w:numId w:val="2"/>
        </w:numPr>
        <w:spacing w:after="60" w:line="260"/>
      </w:pPr>
      <w:r>
        <w:rPr>
          <w:rFonts w:ascii="Arial" w:cs="Arial" w:eastAsia="Arial" w:hAnsi="Arial"/>
          <w:color w:val="333333"/>
          <w:sz w:val="22"/>
          <w:szCs w:val="22"/>
        </w:rPr>
        <w:t xml:space="preserve">Evaluate your internal champion enablement: when your primary contact needs to sell the deal internally, what materials and arguments do you provide them?</w:t>
      </w:r>
    </w:p>
    <w:p>
      <w:pPr>
        <w:pStyle w:val="ListParagraph"/>
        <w:numPr>
          <w:ilvl w:val="0"/>
          <w:numId w:val="2"/>
        </w:numPr>
        <w:spacing w:after="60" w:line="260"/>
      </w:pPr>
      <w:r>
        <w:rPr>
          <w:rFonts w:ascii="Arial" w:cs="Arial" w:eastAsia="Arial" w:hAnsi="Arial"/>
          <w:color w:val="333333"/>
          <w:sz w:val="22"/>
          <w:szCs w:val="22"/>
        </w:rPr>
        <w:t xml:space="preserve">Review your CRM data hygiene and pipeline management: are deals accurately staged? Are stakeholder contacts tracked? Is engagement history recorded?</w:t>
      </w:r>
    </w:p>
    <w:p>
      <w:pPr>
        <w:pStyle w:val="ListParagraph"/>
        <w:numPr>
          <w:ilvl w:val="0"/>
          <w:numId w:val="2"/>
        </w:numPr>
        <w:spacing w:after="60" w:line="260"/>
      </w:pPr>
      <w:r>
        <w:rPr>
          <w:rFonts w:ascii="Arial" w:cs="Arial" w:eastAsia="Arial" w:hAnsi="Arial"/>
          <w:color w:val="333333"/>
          <w:sz w:val="22"/>
          <w:szCs w:val="22"/>
        </w:rPr>
        <w:t xml:space="preserve">Identify competitive losses: in deals you lost, what was the competitor’s advantage? Was it price, positioning, stakeholder coverage, or something else?</w:t>
      </w:r>
    </w:p>
    <w:p>
      <w:pPr>
        <w:pStyle w:val="ListParagraph"/>
        <w:numPr>
          <w:ilvl w:val="0"/>
          <w:numId w:val="2"/>
        </w:numPr>
        <w:spacing w:after="60" w:line="260"/>
      </w:pPr>
      <w:r>
        <w:rPr>
          <w:rFonts w:ascii="Arial" w:cs="Arial" w:eastAsia="Arial" w:hAnsi="Arial"/>
          <w:color w:val="333333"/>
          <w:sz w:val="22"/>
          <w:szCs w:val="22"/>
        </w:rPr>
        <w:t xml:space="preserve">Analyze your proposal and pricing presentation: does your pricing structure align with how enterprise buying committees evaluate capital expenditure vs. operational expenditure?</w:t>
      </w:r>
    </w:p>
    <w:p>
      <w:pPr>
        <w:pStyle w:val="ListParagraph"/>
        <w:numPr>
          <w:ilvl w:val="0"/>
          <w:numId w:val="2"/>
        </w:numPr>
        <w:spacing w:after="60" w:line="260"/>
      </w:pPr>
      <w:r>
        <w:rPr>
          <w:rFonts w:ascii="Arial" w:cs="Arial" w:eastAsia="Arial" w:hAnsi="Arial"/>
          <w:color w:val="333333"/>
          <w:sz w:val="22"/>
          <w:szCs w:val="22"/>
        </w:rPr>
        <w:t xml:space="preserve">Map the gap between your sales promises and your actual deployment capabilities: are you overselling timelines? Under-communicating integration complexity?</w:t>
      </w:r>
    </w:p>
    <w:p>
      <w:pPr>
        <w:pStyle w:val="ListParagraph"/>
        <w:numPr>
          <w:ilvl w:val="0"/>
          <w:numId w:val="2"/>
        </w:numPr>
        <w:spacing w:after="60" w:line="260"/>
      </w:pPr>
      <w:r>
        <w:rPr>
          <w:rFonts w:ascii="Arial" w:cs="Arial" w:eastAsia="Arial" w:hAnsi="Arial"/>
          <w:color w:val="333333"/>
          <w:sz w:val="22"/>
          <w:szCs w:val="22"/>
        </w:rPr>
        <w:t xml:space="preserve">Benchmark your sales cycle length, win rate, and deal velocity against industry data for comparable robotics/automation companies</w:t>
      </w:r>
    </w:p>
    <w:p>
      <w:pPr>
        <w:pStyle w:val="ListParagraph"/>
        <w:numPr>
          <w:ilvl w:val="0"/>
          <w:numId w:val="2"/>
        </w:numPr>
        <w:spacing w:after="60" w:line="260"/>
      </w:pPr>
      <w:r>
        <w:rPr>
          <w:rFonts w:ascii="Arial" w:cs="Arial" w:eastAsia="Arial" w:hAnsi="Arial"/>
          <w:color w:val="333333"/>
          <w:sz w:val="22"/>
          <w:szCs w:val="22"/>
        </w:rPr>
        <w:t xml:space="preserve">Deliver a Deal Velocity Report showing exactly where time is being lost, which stakeholders are being missed, and the revenue impact of each gap</w:t>
      </w:r>
    </w:p>
    <w:p>
      <w:pPr>
        <w:pStyle w:val="ListParagraph"/>
        <w:numPr>
          <w:ilvl w:val="0"/>
          <w:numId w:val="2"/>
        </w:numPr>
        <w:spacing w:after="60" w:line="260"/>
      </w:pPr>
      <w:r>
        <w:rPr>
          <w:rFonts w:ascii="Arial" w:cs="Arial" w:eastAsia="Arial" w:hAnsi="Arial"/>
          <w:color w:val="333333"/>
          <w:sz w:val="22"/>
          <w:szCs w:val="22"/>
        </w:rPr>
        <w:t xml:space="preserve">Provide a prioritized recommendation: the single highest-impact change you can make to your sales process to compress cycles and increase win rates</w:t>
      </w:r>
    </w:p>
    <w:p>
      <w:pPr>
        <w:pStyle w:val="ListParagraph"/>
        <w:numPr>
          <w:ilvl w:val="0"/>
          <w:numId w:val="2"/>
        </w:numPr>
        <w:spacing w:after="60" w:line="260"/>
      </w:pPr>
      <w:r>
        <w:rPr>
          <w:rFonts w:ascii="Arial" w:cs="Arial" w:eastAsia="Arial" w:hAnsi="Arial"/>
          <w:color w:val="333333"/>
          <w:sz w:val="22"/>
          <w:szCs w:val="22"/>
        </w:rPr>
        <w:t xml:space="preserve">Conduct a 60-minute debrief with your sales leadership reviewing findings and discussing implementation priorities</w:t>
      </w:r>
    </w:p>
    <w:p>
      <w:pPr>
        <w:spacing w:after="12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2E75B6" w:sz="1"/>
              <w:left w:val="single" w:color="2E75B6" w:sz="6"/>
              <w:bottom w:val="single" w:color="2E75B6" w:sz="1"/>
              <w:right w:val="single" w:color="2E75B6" w:sz="1"/>
            </w:tcBorders>
            <w:shd w:fill="D5E8F0" w:val="clear"/>
            <w:tcMar>
              <w:top w:type="dxa" w:w="160"/>
              <w:left w:type="dxa" w:w="220"/>
              <w:bottom w:type="dxa" w:w="160"/>
              <w:right w:type="dxa" w:w="220"/>
            </w:tcMar>
          </w:tcPr>
          <w:p>
            <w:pPr>
              <w:spacing w:after="80"/>
            </w:pPr>
            <w:r>
              <w:rPr>
                <w:rFonts w:ascii="Arial" w:cs="Arial" w:eastAsia="Arial" w:hAnsi="Arial"/>
                <w:b/>
                <w:bCs/>
                <w:color w:val="1B2A4A"/>
                <w:sz w:val="22"/>
                <w:szCs w:val="22"/>
              </w:rPr>
              <w:t xml:space="preserve">Why Start Here</w:t>
            </w:r>
          </w:p>
          <w:p>
            <w:pPr>
              <w:spacing w:after="60" w:line="276"/>
            </w:pPr>
            <w:r>
              <w:rPr>
                <w:rFonts w:ascii="Arial" w:cs="Arial" w:eastAsia="Arial" w:hAnsi="Arial"/>
                <w:color w:val="333333"/>
                <w:sz w:val="22"/>
                <w:szCs w:val="22"/>
              </w:rPr>
              <w:t xml:space="preserve">At €1,500–€3,500, this is less than 5% of what you spend on a single trade show — and it tells you exactly where your revenue is leaking. The findings are useful regardless of whether you engage me further. But in practice, the diagnosis makes the next step obvious.</w:t>
            </w:r>
          </w:p>
        </w:tc>
      </w:tr>
    </w:tbl>
    <w:p>
      <w:r>
        <w:br w:type="page"/>
      </w:r>
    </w:p>
    <w:p>
      <w:pPr>
        <w:pStyle w:val="Heading1"/>
      </w:pPr>
      <w:r>
        <w:rPr>
          <w:color w:val="1B2A4A"/>
        </w:rPr>
        <w:t xml:space="preserve">Service 2: Quick-Win Projects</w:t>
      </w:r>
    </w:p>
    <w:p>
      <w:pPr>
        <w:spacing w:after="60"/>
      </w:pPr>
      <w:r>
        <w:rPr>
          <w:rFonts w:ascii="Arial" w:cs="Arial" w:eastAsia="Arial" w:hAnsi="Arial"/>
          <w:b/>
          <w:bCs/>
          <w:color w:val="D4652F"/>
          <w:sz w:val="22"/>
          <w:szCs w:val="22"/>
        </w:rPr>
        <w:t xml:space="preserve">PROVE ROI  </w:t>
      </w:r>
      <w:r>
        <w:rPr>
          <w:rFonts w:ascii="Arial" w:cs="Arial" w:eastAsia="Arial" w:hAnsi="Arial"/>
          <w:color w:val="333333"/>
          <w:sz w:val="22"/>
          <w:szCs w:val="22"/>
        </w:rPr>
        <w:t xml:space="preserve">|  €3,000–€7,000  |  2–4 weeks  |  Permanent asset you keep</w:t>
      </w:r>
    </w:p>
    <w:p>
      <w:pPr>
        <w:spacing w:after="80"/>
      </w:pPr>
    </w:p>
    <w:p>
      <w:pPr>
        <w:spacing w:after="160" w:line="276"/>
      </w:pPr>
      <w:r>
        <w:rPr>
          <w:rFonts w:ascii="Arial" w:cs="Arial" w:eastAsia="Arial" w:hAnsi="Arial"/>
          <w:b/>
          <w:bCs/>
          <w:color w:val="333333"/>
          <w:sz w:val="22"/>
          <w:szCs w:val="22"/>
        </w:rPr>
        <w:t xml:space="preserve">The outcome: </w:t>
      </w:r>
      <w:r>
        <w:rPr>
          <w:rFonts w:ascii="Arial" w:cs="Arial" w:eastAsia="Arial" w:hAnsi="Arial"/>
          <w:color w:val="333333"/>
          <w:sz w:val="22"/>
          <w:szCs w:val="22"/>
        </w:rPr>
        <w:t xml:space="preserve">You get a concrete, working deliverable that solves one specific problem identified in the audit. You keep it forever. You use it immediately. You measure the impact within 30 days.</w:t>
      </w:r>
    </w:p>
    <w:p>
      <w:pPr>
        <w:spacing w:after="60"/>
      </w:pPr>
    </w:p>
    <w:p>
      <w:pPr>
        <w:pStyle w:val="Heading2"/>
      </w:pPr>
      <w:r>
        <w:rPr>
          <w:color w:val="1B2A4A"/>
        </w:rPr>
        <w:t xml:space="preserve">Project A: Custom ROI Calculator Build</w:t>
      </w:r>
    </w:p>
    <w:p>
      <w:pPr>
        <w:spacing w:after="160" w:line="276"/>
      </w:pPr>
      <w:r>
        <w:rPr>
          <w:rFonts w:ascii="Arial" w:cs="Arial" w:eastAsia="Arial" w:hAnsi="Arial"/>
          <w:i/>
          <w:iCs/>
          <w:color w:val="666666"/>
          <w:sz w:val="22"/>
          <w:szCs w:val="22"/>
        </w:rPr>
        <w:t xml:space="preserve">"Give your sales team a tool that pre-qualifies every prospect and shortens every deal."</w:t>
      </w:r>
    </w:p>
    <w:p>
      <w:pPr>
        <w:spacing w:after="60"/>
      </w:pPr>
      <w:r>
        <w:rPr>
          <w:rFonts w:ascii="Arial" w:cs="Arial" w:eastAsia="Arial" w:hAnsi="Arial"/>
          <w:b/>
          <w:bCs/>
          <w:color w:val="333333"/>
          <w:sz w:val="22"/>
          <w:szCs w:val="22"/>
        </w:rPr>
        <w:t xml:space="preserve">€4,000–€7,000  |  3–4 weeks</w:t>
      </w:r>
    </w:p>
    <w:p>
      <w:pPr>
        <w:spacing w:after="40"/>
      </w:pPr>
    </w:p>
    <w:p>
      <w:pPr>
        <w:spacing w:after="160" w:line="276"/>
      </w:pPr>
      <w:r>
        <w:rPr>
          <w:rFonts w:ascii="Arial" w:cs="Arial" w:eastAsia="Arial" w:hAnsi="Arial"/>
          <w:b/>
          <w:bCs/>
          <w:color w:val="333333"/>
          <w:sz w:val="22"/>
          <w:szCs w:val="22"/>
        </w:rPr>
        <w:t xml:space="preserve">What I do for you:</w:t>
      </w:r>
    </w:p>
    <w:p>
      <w:pPr>
        <w:pStyle w:val="ListParagraph"/>
        <w:numPr>
          <w:ilvl w:val="0"/>
          <w:numId w:val="2"/>
        </w:numPr>
        <w:spacing w:after="60" w:line="260"/>
      </w:pPr>
      <w:r>
        <w:rPr>
          <w:rFonts w:ascii="Arial" w:cs="Arial" w:eastAsia="Arial" w:hAnsi="Arial"/>
          <w:color w:val="333333"/>
          <w:sz w:val="22"/>
          <w:szCs w:val="22"/>
        </w:rPr>
        <w:t xml:space="preserve">Research your specific robot type, target industries, and competitive landscape to calibrate the calculator to real-world data</w:t>
      </w:r>
    </w:p>
    <w:p>
      <w:pPr>
        <w:pStyle w:val="ListParagraph"/>
        <w:numPr>
          <w:ilvl w:val="0"/>
          <w:numId w:val="2"/>
        </w:numPr>
        <w:spacing w:after="60" w:line="260"/>
      </w:pPr>
      <w:r>
        <w:rPr>
          <w:rFonts w:ascii="Arial" w:cs="Arial" w:eastAsia="Arial" w:hAnsi="Arial"/>
          <w:color w:val="333333"/>
          <w:sz w:val="22"/>
          <w:szCs w:val="22"/>
        </w:rPr>
        <w:t xml:space="preserve">Interview your sales team to understand which financial arguments close deals and which objections stall them</w:t>
      </w:r>
    </w:p>
    <w:p>
      <w:pPr>
        <w:pStyle w:val="ListParagraph"/>
        <w:numPr>
          <w:ilvl w:val="0"/>
          <w:numId w:val="2"/>
        </w:numPr>
        <w:spacing w:after="60" w:line="260"/>
      </w:pPr>
      <w:r>
        <w:rPr>
          <w:rFonts w:ascii="Arial" w:cs="Arial" w:eastAsia="Arial" w:hAnsi="Arial"/>
          <w:color w:val="333333"/>
          <w:sz w:val="22"/>
          <w:szCs w:val="22"/>
        </w:rPr>
        <w:t xml:space="preserve">Gather your actual deployment data: labor cost savings achieved, productivity gains measured, quality improvements documented, downtime reduction verified</w:t>
      </w:r>
    </w:p>
    <w:p>
      <w:pPr>
        <w:pStyle w:val="ListParagraph"/>
        <w:numPr>
          <w:ilvl w:val="0"/>
          <w:numId w:val="2"/>
        </w:numPr>
        <w:spacing w:after="60" w:line="260"/>
      </w:pPr>
      <w:r>
        <w:rPr>
          <w:rFonts w:ascii="Arial" w:cs="Arial" w:eastAsia="Arial" w:hAnsi="Arial"/>
          <w:color w:val="333333"/>
          <w:sz w:val="22"/>
          <w:szCs w:val="22"/>
        </w:rPr>
        <w:t xml:space="preserve">Design the user input flow: what operational parameters does a prospect need to enter? (shift patterns, labor costs, throughput targets, error rates, overtime hours, turnover rates)</w:t>
      </w:r>
    </w:p>
    <w:p>
      <w:pPr>
        <w:pStyle w:val="ListParagraph"/>
        <w:numPr>
          <w:ilvl w:val="0"/>
          <w:numId w:val="2"/>
        </w:numPr>
        <w:spacing w:after="60" w:line="260"/>
      </w:pPr>
      <w:r>
        <w:rPr>
          <w:rFonts w:ascii="Arial" w:cs="Arial" w:eastAsia="Arial" w:hAnsi="Arial"/>
          <w:color w:val="333333"/>
          <w:sz w:val="22"/>
          <w:szCs w:val="22"/>
        </w:rPr>
        <w:t xml:space="preserve">Build a labor cost savings model with shift-level granularity: base wages, overtime premiums, benefits costs, turnover and retraining costs, and seasonal labor fluctuations</w:t>
      </w:r>
    </w:p>
    <w:p>
      <w:pPr>
        <w:pStyle w:val="ListParagraph"/>
        <w:numPr>
          <w:ilvl w:val="0"/>
          <w:numId w:val="2"/>
        </w:numPr>
        <w:spacing w:after="60" w:line="260"/>
      </w:pPr>
      <w:r>
        <w:rPr>
          <w:rFonts w:ascii="Arial" w:cs="Arial" w:eastAsia="Arial" w:hAnsi="Arial"/>
          <w:color w:val="333333"/>
          <w:sz w:val="22"/>
          <w:szCs w:val="22"/>
        </w:rPr>
        <w:t xml:space="preserve">Build a productivity gains projection module: units per hour improvement, cycle time reduction, throughput increases, based on your real deployment benchmarks</w:t>
      </w:r>
    </w:p>
    <w:p>
      <w:pPr>
        <w:pStyle w:val="ListParagraph"/>
        <w:numPr>
          <w:ilvl w:val="0"/>
          <w:numId w:val="2"/>
        </w:numPr>
        <w:spacing w:after="60" w:line="260"/>
      </w:pPr>
      <w:r>
        <w:rPr>
          <w:rFonts w:ascii="Arial" w:cs="Arial" w:eastAsia="Arial" w:hAnsi="Arial"/>
          <w:color w:val="333333"/>
          <w:sz w:val="22"/>
          <w:szCs w:val="22"/>
        </w:rPr>
        <w:t xml:space="preserve">Build a quality improvement calculator: defect rate reduction, rework cost elimination, consistency improvements, and scrap rate impact</w:t>
      </w:r>
    </w:p>
    <w:p>
      <w:pPr>
        <w:pStyle w:val="ListParagraph"/>
        <w:numPr>
          <w:ilvl w:val="0"/>
          <w:numId w:val="2"/>
        </w:numPr>
        <w:spacing w:after="60" w:line="260"/>
      </w:pPr>
      <w:r>
        <w:rPr>
          <w:rFonts w:ascii="Arial" w:cs="Arial" w:eastAsia="Arial" w:hAnsi="Arial"/>
          <w:color w:val="333333"/>
          <w:sz w:val="22"/>
          <w:szCs w:val="22"/>
        </w:rPr>
        <w:t xml:space="preserve">Build a downtime comparison module: robot uptime vs. human availability, scheduled maintenance windows vs. unplanned absences, mean time between failures</w:t>
      </w:r>
    </w:p>
    <w:p>
      <w:pPr>
        <w:pStyle w:val="ListParagraph"/>
        <w:numPr>
          <w:ilvl w:val="0"/>
          <w:numId w:val="2"/>
        </w:numPr>
        <w:spacing w:after="60" w:line="260"/>
      </w:pPr>
      <w:r>
        <w:rPr>
          <w:rFonts w:ascii="Arial" w:cs="Arial" w:eastAsia="Arial" w:hAnsi="Arial"/>
          <w:color w:val="333333"/>
          <w:sz w:val="22"/>
          <w:szCs w:val="22"/>
        </w:rPr>
        <w:t xml:space="preserve">Incorporate Italian-specific data where applicable: Italian labor costs by region, Transizione 5.0 tax credit calculations, ANIE Automazione benchmarks, and MIMIT incentive eligibility</w:t>
      </w:r>
    </w:p>
    <w:p>
      <w:pPr>
        <w:pStyle w:val="ListParagraph"/>
        <w:numPr>
          <w:ilvl w:val="0"/>
          <w:numId w:val="2"/>
        </w:numPr>
        <w:spacing w:after="60" w:line="260"/>
      </w:pPr>
      <w:r>
        <w:rPr>
          <w:rFonts w:ascii="Arial" w:cs="Arial" w:eastAsia="Arial" w:hAnsi="Arial"/>
          <w:color w:val="333333"/>
          <w:sz w:val="22"/>
          <w:szCs w:val="22"/>
        </w:rPr>
        <w:t xml:space="preserve">Build a payback period visualization: interactive chart showing months to breakeven under conservative, moderate, and aggressive scenarios</w:t>
      </w:r>
    </w:p>
    <w:p>
      <w:pPr>
        <w:pStyle w:val="ListParagraph"/>
        <w:numPr>
          <w:ilvl w:val="0"/>
          <w:numId w:val="2"/>
        </w:numPr>
        <w:spacing w:after="60" w:line="260"/>
      </w:pPr>
      <w:r>
        <w:rPr>
          <w:rFonts w:ascii="Arial" w:cs="Arial" w:eastAsia="Arial" w:hAnsi="Arial"/>
          <w:color w:val="333333"/>
          <w:sz w:val="22"/>
          <w:szCs w:val="22"/>
        </w:rPr>
        <w:t xml:space="preserve">Build a total cost of ownership comparison: CapEx purchase vs. RaaS/subscription vs. lease, with cash flow projections across 3–5 years</w:t>
      </w:r>
    </w:p>
    <w:p>
      <w:pPr>
        <w:pStyle w:val="ListParagraph"/>
        <w:numPr>
          <w:ilvl w:val="0"/>
          <w:numId w:val="2"/>
        </w:numPr>
        <w:spacing w:after="60" w:line="260"/>
      </w:pPr>
      <w:r>
        <w:rPr>
          <w:rFonts w:ascii="Arial" w:cs="Arial" w:eastAsia="Arial" w:hAnsi="Arial"/>
          <w:color w:val="333333"/>
          <w:sz w:val="22"/>
          <w:szCs w:val="22"/>
        </w:rPr>
        <w:t xml:space="preserve">Design the output report: a professionally formatted PDF the prospect can download and share with their buying committee</w:t>
      </w:r>
    </w:p>
    <w:p>
      <w:pPr>
        <w:pStyle w:val="ListParagraph"/>
        <w:numPr>
          <w:ilvl w:val="0"/>
          <w:numId w:val="2"/>
        </w:numPr>
        <w:spacing w:after="60" w:line="260"/>
      </w:pPr>
      <w:r>
        <w:rPr>
          <w:rFonts w:ascii="Arial" w:cs="Arial" w:eastAsia="Arial" w:hAnsi="Arial"/>
          <w:color w:val="333333"/>
          <w:sz w:val="22"/>
          <w:szCs w:val="22"/>
        </w:rPr>
        <w:t xml:space="preserve">Build lead capture into the tool: when a prospect completes the calculator, their operational profile and contact information feed directly into your CRM with full context</w:t>
      </w:r>
    </w:p>
    <w:p>
      <w:pPr>
        <w:pStyle w:val="ListParagraph"/>
        <w:numPr>
          <w:ilvl w:val="0"/>
          <w:numId w:val="2"/>
        </w:numPr>
        <w:spacing w:after="60" w:line="260"/>
      </w:pPr>
      <w:r>
        <w:rPr>
          <w:rFonts w:ascii="Arial" w:cs="Arial" w:eastAsia="Arial" w:hAnsi="Arial"/>
          <w:color w:val="333333"/>
          <w:sz w:val="22"/>
          <w:szCs w:val="22"/>
        </w:rPr>
        <w:t xml:space="preserve">Add qualification scoring: based on the data the prospect inputs, automatically score them on budget fit, operational readiness, and strategic alignment</w:t>
      </w:r>
    </w:p>
    <w:p>
      <w:pPr>
        <w:pStyle w:val="ListParagraph"/>
        <w:numPr>
          <w:ilvl w:val="0"/>
          <w:numId w:val="2"/>
        </w:numPr>
        <w:spacing w:after="60" w:line="260"/>
      </w:pPr>
      <w:r>
        <w:rPr>
          <w:rFonts w:ascii="Arial" w:cs="Arial" w:eastAsia="Arial" w:hAnsi="Arial"/>
          <w:color w:val="333333"/>
          <w:sz w:val="22"/>
          <w:szCs w:val="22"/>
        </w:rPr>
        <w:t xml:space="preserve">Build the calculator as a responsive web application: works on desktop, tablet, and mobile, embeddable on your website or usable as a standalone link</w:t>
      </w:r>
    </w:p>
    <w:p>
      <w:pPr>
        <w:pStyle w:val="ListParagraph"/>
        <w:numPr>
          <w:ilvl w:val="0"/>
          <w:numId w:val="2"/>
        </w:numPr>
        <w:spacing w:after="60" w:line="260"/>
      </w:pPr>
      <w:r>
        <w:rPr>
          <w:rFonts w:ascii="Arial" w:cs="Arial" w:eastAsia="Arial" w:hAnsi="Arial"/>
          <w:color w:val="333333"/>
          <w:sz w:val="22"/>
          <w:szCs w:val="22"/>
        </w:rPr>
        <w:t xml:space="preserve">Integrate with your existing CRM (HubSpot, Salesforce, Pipedrive, or equivalent): leads appear automatically with all calculator inputs attached</w:t>
      </w:r>
    </w:p>
    <w:p>
      <w:pPr>
        <w:pStyle w:val="ListParagraph"/>
        <w:numPr>
          <w:ilvl w:val="0"/>
          <w:numId w:val="2"/>
        </w:numPr>
        <w:spacing w:after="60" w:line="260"/>
      </w:pPr>
      <w:r>
        <w:rPr>
          <w:rFonts w:ascii="Arial" w:cs="Arial" w:eastAsia="Arial" w:hAnsi="Arial"/>
          <w:color w:val="333333"/>
          <w:sz w:val="22"/>
          <w:szCs w:val="22"/>
        </w:rPr>
        <w:t xml:space="preserve">Create email notification triggers: when a high-scoring prospect completes the calculator, your sales team gets an immediate alert with the prospect’s full profile</w:t>
      </w:r>
    </w:p>
    <w:p>
      <w:pPr>
        <w:pStyle w:val="ListParagraph"/>
        <w:numPr>
          <w:ilvl w:val="0"/>
          <w:numId w:val="2"/>
        </w:numPr>
        <w:spacing w:after="60" w:line="260"/>
      </w:pPr>
      <w:r>
        <w:rPr>
          <w:rFonts w:ascii="Arial" w:cs="Arial" w:eastAsia="Arial" w:hAnsi="Arial"/>
          <w:color w:val="333333"/>
          <w:sz w:val="22"/>
          <w:szCs w:val="22"/>
        </w:rPr>
        <w:t xml:space="preserve">Design a follow-up email sequence: 3 automated emails that go to prospects after calculator completion, providing additional relevant content based on their inputs</w:t>
      </w:r>
    </w:p>
    <w:p>
      <w:pPr>
        <w:pStyle w:val="ListParagraph"/>
        <w:numPr>
          <w:ilvl w:val="0"/>
          <w:numId w:val="2"/>
        </w:numPr>
        <w:spacing w:after="60" w:line="260"/>
      </w:pPr>
      <w:r>
        <w:rPr>
          <w:rFonts w:ascii="Arial" w:cs="Arial" w:eastAsia="Arial" w:hAnsi="Arial"/>
          <w:color w:val="333333"/>
          <w:sz w:val="22"/>
          <w:szCs w:val="22"/>
        </w:rPr>
        <w:t xml:space="preserve">Write a sales team briefing document: how to use the calculator in live conversations, how to interpret the output, and how to handle objections the calculator surfaces</w:t>
      </w:r>
    </w:p>
    <w:p>
      <w:pPr>
        <w:pStyle w:val="ListParagraph"/>
        <w:numPr>
          <w:ilvl w:val="0"/>
          <w:numId w:val="2"/>
        </w:numPr>
        <w:spacing w:after="60" w:line="260"/>
      </w:pPr>
      <w:r>
        <w:rPr>
          <w:rFonts w:ascii="Arial" w:cs="Arial" w:eastAsia="Arial" w:hAnsi="Arial"/>
          <w:color w:val="333333"/>
          <w:sz w:val="22"/>
          <w:szCs w:val="22"/>
        </w:rPr>
        <w:t xml:space="preserve">Test the calculator with 3–5 real scenarios from your existing customer base to verify accuracy and calibrate assumptions</w:t>
      </w:r>
    </w:p>
    <w:p>
      <w:pPr>
        <w:pStyle w:val="ListParagraph"/>
        <w:numPr>
          <w:ilvl w:val="0"/>
          <w:numId w:val="2"/>
        </w:numPr>
        <w:spacing w:after="60" w:line="260"/>
      </w:pPr>
      <w:r>
        <w:rPr>
          <w:rFonts w:ascii="Arial" w:cs="Arial" w:eastAsia="Arial" w:hAnsi="Arial"/>
          <w:color w:val="333333"/>
          <w:sz w:val="22"/>
          <w:szCs w:val="22"/>
        </w:rPr>
        <w:t xml:space="preserve">Deploy and configure analytics tracking: monitor completion rates, drop-off points, and lead quality scores</w:t>
      </w:r>
    </w:p>
    <w:p>
      <w:pPr>
        <w:pStyle w:val="ListParagraph"/>
        <w:numPr>
          <w:ilvl w:val="0"/>
          <w:numId w:val="2"/>
        </w:numPr>
        <w:spacing w:after="60" w:line="260"/>
      </w:pPr>
      <w:r>
        <w:rPr>
          <w:rFonts w:ascii="Arial" w:cs="Arial" w:eastAsia="Arial" w:hAnsi="Arial"/>
          <w:color w:val="333333"/>
          <w:sz w:val="22"/>
          <w:szCs w:val="22"/>
        </w:rPr>
        <w:t xml:space="preserve">Conduct a 30-day post-launch performance review: how many leads has it generated? What’s the completion rate? What’s the quality score distribution? What needs adjustment?</w:t>
      </w:r>
    </w:p>
    <w:p>
      <w:pPr>
        <w:spacing w:after="120"/>
      </w:pPr>
    </w:p>
    <w:p>
      <w:pPr>
        <w:pStyle w:val="Heading2"/>
      </w:pPr>
      <w:r>
        <w:rPr>
          <w:color w:val="1B2A4A"/>
        </w:rPr>
        <w:t xml:space="preserve">Project B: Pilot-to-Production Conversion Playbook</w:t>
      </w:r>
    </w:p>
    <w:p>
      <w:pPr>
        <w:spacing w:after="160" w:line="276"/>
      </w:pPr>
      <w:r>
        <w:rPr>
          <w:rFonts w:ascii="Arial" w:cs="Arial" w:eastAsia="Arial" w:hAnsi="Arial"/>
          <w:i/>
          <w:iCs/>
          <w:color w:val="666666"/>
          <w:sz w:val="22"/>
          <w:szCs w:val="22"/>
        </w:rPr>
        <w:t xml:space="preserve">"A repeatable system for turning successful pilots into signed production contracts."</w:t>
      </w:r>
    </w:p>
    <w:p>
      <w:pPr>
        <w:spacing w:after="60"/>
      </w:pPr>
      <w:r>
        <w:rPr>
          <w:rFonts w:ascii="Arial" w:cs="Arial" w:eastAsia="Arial" w:hAnsi="Arial"/>
          <w:b/>
          <w:bCs/>
          <w:color w:val="333333"/>
          <w:sz w:val="22"/>
          <w:szCs w:val="22"/>
        </w:rPr>
        <w:t xml:space="preserve">€5,000–€7,000  |  3–4 weeks</w:t>
      </w:r>
    </w:p>
    <w:p>
      <w:pPr>
        <w:spacing w:after="40"/>
      </w:pPr>
    </w:p>
    <w:p>
      <w:pPr>
        <w:spacing w:after="160" w:line="276"/>
      </w:pPr>
      <w:r>
        <w:rPr>
          <w:rFonts w:ascii="Arial" w:cs="Arial" w:eastAsia="Arial" w:hAnsi="Arial"/>
          <w:b/>
          <w:bCs/>
          <w:color w:val="333333"/>
          <w:sz w:val="22"/>
          <w:szCs w:val="22"/>
        </w:rPr>
        <w:t xml:space="preserve">What I do for you:</w:t>
      </w:r>
    </w:p>
    <w:p>
      <w:pPr>
        <w:pStyle w:val="ListParagraph"/>
        <w:numPr>
          <w:ilvl w:val="0"/>
          <w:numId w:val="2"/>
        </w:numPr>
        <w:spacing w:after="60" w:line="260"/>
      </w:pPr>
      <w:r>
        <w:rPr>
          <w:rFonts w:ascii="Arial" w:cs="Arial" w:eastAsia="Arial" w:hAnsi="Arial"/>
          <w:color w:val="333333"/>
          <w:sz w:val="22"/>
          <w:szCs w:val="22"/>
        </w:rPr>
        <w:t xml:space="preserve">Map your current pilot-to-production process end-to-end: from pilot agreement through deployment, evaluation, and production decision</w:t>
      </w:r>
    </w:p>
    <w:p>
      <w:pPr>
        <w:pStyle w:val="ListParagraph"/>
        <w:numPr>
          <w:ilvl w:val="0"/>
          <w:numId w:val="2"/>
        </w:numPr>
        <w:spacing w:after="60" w:line="260"/>
      </w:pPr>
      <w:r>
        <w:rPr>
          <w:rFonts w:ascii="Arial" w:cs="Arial" w:eastAsia="Arial" w:hAnsi="Arial"/>
          <w:color w:val="333333"/>
          <w:sz w:val="22"/>
          <w:szCs w:val="22"/>
        </w:rPr>
        <w:t xml:space="preserve">Identify every handoff point between teams: sales to deployment, deployment to customer success, customer success to account management</w:t>
      </w:r>
    </w:p>
    <w:p>
      <w:pPr>
        <w:pStyle w:val="ListParagraph"/>
        <w:numPr>
          <w:ilvl w:val="0"/>
          <w:numId w:val="2"/>
        </w:numPr>
        <w:spacing w:after="60" w:line="260"/>
      </w:pPr>
      <w:r>
        <w:rPr>
          <w:rFonts w:ascii="Arial" w:cs="Arial" w:eastAsia="Arial" w:hAnsi="Arial"/>
          <w:color w:val="333333"/>
          <w:sz w:val="22"/>
          <w:szCs w:val="22"/>
        </w:rPr>
        <w:t xml:space="preserve">Design a Pre-Pilot Readiness Assessment: a structured scoring framework that evaluates every customer across 5 dimensions before the pilot begins (infrastructure compatibility, facility readiness, organizational readiness, data infrastructure, change management preparedness)</w:t>
      </w:r>
    </w:p>
    <w:p>
      <w:pPr>
        <w:pStyle w:val="ListParagraph"/>
        <w:numPr>
          <w:ilvl w:val="0"/>
          <w:numId w:val="2"/>
        </w:numPr>
        <w:spacing w:after="60" w:line="260"/>
      </w:pPr>
      <w:r>
        <w:rPr>
          <w:rFonts w:ascii="Arial" w:cs="Arial" w:eastAsia="Arial" w:hAnsi="Arial"/>
          <w:color w:val="333333"/>
          <w:sz w:val="22"/>
          <w:szCs w:val="22"/>
        </w:rPr>
        <w:t xml:space="preserve">Build an infrastructure compatibility scoring tool: can their existing WMS/ERP/MES/SCADA systems integrate with your robots? What middleware is required? What’s the estimated integration timeline?</w:t>
      </w:r>
    </w:p>
    <w:p>
      <w:pPr>
        <w:pStyle w:val="ListParagraph"/>
        <w:numPr>
          <w:ilvl w:val="0"/>
          <w:numId w:val="2"/>
        </w:numPr>
        <w:spacing w:after="60" w:line="260"/>
      </w:pPr>
      <w:r>
        <w:rPr>
          <w:rFonts w:ascii="Arial" w:cs="Arial" w:eastAsia="Arial" w:hAnsi="Arial"/>
          <w:color w:val="333333"/>
          <w:sz w:val="22"/>
          <w:szCs w:val="22"/>
        </w:rPr>
        <w:t xml:space="preserve">Build a facility readiness checklist: floor layout requirements, power and network infrastructure, environmental conditions (lighting, temperature, obstacles), safety zone requirements</w:t>
      </w:r>
    </w:p>
    <w:p>
      <w:pPr>
        <w:pStyle w:val="ListParagraph"/>
        <w:numPr>
          <w:ilvl w:val="0"/>
          <w:numId w:val="2"/>
        </w:numPr>
        <w:spacing w:after="60" w:line="260"/>
      </w:pPr>
      <w:r>
        <w:rPr>
          <w:rFonts w:ascii="Arial" w:cs="Arial" w:eastAsia="Arial" w:hAnsi="Arial"/>
          <w:color w:val="333333"/>
          <w:sz w:val="22"/>
          <w:szCs w:val="22"/>
        </w:rPr>
        <w:t xml:space="preserve">Build an organizational readiness assessment: does the customer have trained maintenance staff? Do shift supervisors understand human-robot workflows? Is there executive sponsorship beyond the pilot phase?</w:t>
      </w:r>
    </w:p>
    <w:p>
      <w:pPr>
        <w:pStyle w:val="ListParagraph"/>
        <w:numPr>
          <w:ilvl w:val="0"/>
          <w:numId w:val="2"/>
        </w:numPr>
        <w:spacing w:after="60" w:line="260"/>
      </w:pPr>
      <w:r>
        <w:rPr>
          <w:rFonts w:ascii="Arial" w:cs="Arial" w:eastAsia="Arial" w:hAnsi="Arial"/>
          <w:color w:val="333333"/>
          <w:sz w:val="22"/>
          <w:szCs w:val="22"/>
        </w:rPr>
        <w:t xml:space="preserve">Design milestone definitions for each phase of the pilot: what constitutes a successful week 1? Week 4? Week 8? What metrics determine pilot success?</w:t>
      </w:r>
    </w:p>
    <w:p>
      <w:pPr>
        <w:pStyle w:val="ListParagraph"/>
        <w:numPr>
          <w:ilvl w:val="0"/>
          <w:numId w:val="2"/>
        </w:numPr>
        <w:spacing w:after="60" w:line="260"/>
      </w:pPr>
      <w:r>
        <w:rPr>
          <w:rFonts w:ascii="Arial" w:cs="Arial" w:eastAsia="Arial" w:hAnsi="Arial"/>
          <w:color w:val="333333"/>
          <w:sz w:val="22"/>
          <w:szCs w:val="22"/>
        </w:rPr>
        <w:t xml:space="preserve">Create decision gates between pilot phases: clear criteria that must be met before advancing from Phase 1 (setup) to Phase 2 (evaluation) to Phase 3 (production decision)</w:t>
      </w:r>
    </w:p>
    <w:p>
      <w:pPr>
        <w:pStyle w:val="ListParagraph"/>
        <w:numPr>
          <w:ilvl w:val="0"/>
          <w:numId w:val="2"/>
        </w:numPr>
        <w:spacing w:after="60" w:line="260"/>
      </w:pPr>
      <w:r>
        <w:rPr>
          <w:rFonts w:ascii="Arial" w:cs="Arial" w:eastAsia="Arial" w:hAnsi="Arial"/>
          <w:color w:val="333333"/>
          <w:sz w:val="22"/>
          <w:szCs w:val="22"/>
        </w:rPr>
        <w:t xml:space="preserve">Build escalation procedures: when a pilot runs into trouble, who is notified? What’s the response timeline? What are the intervention options?</w:t>
      </w:r>
    </w:p>
    <w:p>
      <w:pPr>
        <w:pStyle w:val="ListParagraph"/>
        <w:numPr>
          <w:ilvl w:val="0"/>
          <w:numId w:val="2"/>
        </w:numPr>
        <w:spacing w:after="60" w:line="260"/>
      </w:pPr>
      <w:r>
        <w:rPr>
          <w:rFonts w:ascii="Arial" w:cs="Arial" w:eastAsia="Arial" w:hAnsi="Arial"/>
          <w:color w:val="333333"/>
          <w:sz w:val="22"/>
          <w:szCs w:val="22"/>
        </w:rPr>
        <w:t xml:space="preserve">Create stakeholder communication templates for each phase: progress updates for the operations director, financial impact summaries for the CFO, technical status reports for the CTO, compliance updates for the safety officer</w:t>
      </w:r>
    </w:p>
    <w:p>
      <w:pPr>
        <w:pStyle w:val="ListParagraph"/>
        <w:numPr>
          <w:ilvl w:val="0"/>
          <w:numId w:val="2"/>
        </w:numPr>
        <w:spacing w:after="60" w:line="260"/>
      </w:pPr>
      <w:r>
        <w:rPr>
          <w:rFonts w:ascii="Arial" w:cs="Arial" w:eastAsia="Arial" w:hAnsi="Arial"/>
          <w:color w:val="333333"/>
          <w:sz w:val="22"/>
          <w:szCs w:val="22"/>
        </w:rPr>
        <w:t xml:space="preserve">Design a customer success scorecard: a weekly health check that monitors pilot KPIs and flags deviations before they become terminal</w:t>
      </w:r>
    </w:p>
    <w:p>
      <w:pPr>
        <w:pStyle w:val="ListParagraph"/>
        <w:numPr>
          <w:ilvl w:val="0"/>
          <w:numId w:val="2"/>
        </w:numPr>
        <w:spacing w:after="60" w:line="260"/>
      </w:pPr>
      <w:r>
        <w:rPr>
          <w:rFonts w:ascii="Arial" w:cs="Arial" w:eastAsia="Arial" w:hAnsi="Arial"/>
          <w:color w:val="333333"/>
          <w:sz w:val="22"/>
          <w:szCs w:val="22"/>
        </w:rPr>
        <w:t xml:space="preserve">Build an internal business case template: a document your customer’s champion can use to present the pilot results to their buying committee and recommend production expansion</w:t>
      </w:r>
    </w:p>
    <w:p>
      <w:pPr>
        <w:pStyle w:val="ListParagraph"/>
        <w:numPr>
          <w:ilvl w:val="0"/>
          <w:numId w:val="2"/>
        </w:numPr>
        <w:spacing w:after="60" w:line="260"/>
      </w:pPr>
      <w:r>
        <w:rPr>
          <w:rFonts w:ascii="Arial" w:cs="Arial" w:eastAsia="Arial" w:hAnsi="Arial"/>
          <w:color w:val="333333"/>
          <w:sz w:val="22"/>
          <w:szCs w:val="22"/>
        </w:rPr>
        <w:t xml:space="preserve">Create a competitive defense playbook: when a competitor tries to poach a pilot account, what’s the response protocol? What materials does the champion need?</w:t>
      </w:r>
    </w:p>
    <w:p>
      <w:pPr>
        <w:pStyle w:val="ListParagraph"/>
        <w:numPr>
          <w:ilvl w:val="0"/>
          <w:numId w:val="2"/>
        </w:numPr>
        <w:spacing w:after="60" w:line="260"/>
      </w:pPr>
      <w:r>
        <w:rPr>
          <w:rFonts w:ascii="Arial" w:cs="Arial" w:eastAsia="Arial" w:hAnsi="Arial"/>
          <w:color w:val="333333"/>
          <w:sz w:val="22"/>
          <w:szCs w:val="22"/>
        </w:rPr>
        <w:t xml:space="preserve">Build a production contract transition checklist: every operational, legal, procurement, and technical step required to move from pilot to signed production agreement</w:t>
      </w:r>
    </w:p>
    <w:p>
      <w:pPr>
        <w:pStyle w:val="ListParagraph"/>
        <w:numPr>
          <w:ilvl w:val="0"/>
          <w:numId w:val="2"/>
        </w:numPr>
        <w:spacing w:after="60" w:line="260"/>
      </w:pPr>
      <w:r>
        <w:rPr>
          <w:rFonts w:ascii="Arial" w:cs="Arial" w:eastAsia="Arial" w:hAnsi="Arial"/>
          <w:color w:val="333333"/>
          <w:sz w:val="22"/>
          <w:szCs w:val="22"/>
        </w:rPr>
        <w:t xml:space="preserve">Design a post-pilot retrospective framework: what worked? What didn’t? What would you do differently? How does this feed back into future pilot planning?</w:t>
      </w:r>
    </w:p>
    <w:p>
      <w:pPr>
        <w:pStyle w:val="ListParagraph"/>
        <w:numPr>
          <w:ilvl w:val="0"/>
          <w:numId w:val="2"/>
        </w:numPr>
        <w:spacing w:after="60" w:line="260"/>
      </w:pPr>
      <w:r>
        <w:rPr>
          <w:rFonts w:ascii="Arial" w:cs="Arial" w:eastAsia="Arial" w:hAnsi="Arial"/>
          <w:color w:val="333333"/>
          <w:sz w:val="22"/>
          <w:szCs w:val="22"/>
        </w:rPr>
        <w:t xml:space="preserve">Write the complete playbook as a formatted operational document your team can use immediately</w:t>
      </w:r>
    </w:p>
    <w:p>
      <w:pPr>
        <w:pStyle w:val="ListParagraph"/>
        <w:numPr>
          <w:ilvl w:val="0"/>
          <w:numId w:val="2"/>
        </w:numPr>
        <w:spacing w:after="60" w:line="260"/>
      </w:pPr>
      <w:r>
        <w:rPr>
          <w:rFonts w:ascii="Arial" w:cs="Arial" w:eastAsia="Arial" w:hAnsi="Arial"/>
          <w:color w:val="333333"/>
          <w:sz w:val="22"/>
          <w:szCs w:val="22"/>
        </w:rPr>
        <w:t xml:space="preserve">Conduct a 90-minute team training session: walk your sales, deployment, and customer success teams through the playbook and role-play common scenarios</w:t>
      </w:r>
    </w:p>
    <w:p>
      <w:pPr>
        <w:pStyle w:val="ListParagraph"/>
        <w:numPr>
          <w:ilvl w:val="0"/>
          <w:numId w:val="2"/>
        </w:numPr>
        <w:spacing w:after="60" w:line="260"/>
      </w:pPr>
      <w:r>
        <w:rPr>
          <w:rFonts w:ascii="Arial" w:cs="Arial" w:eastAsia="Arial" w:hAnsi="Arial"/>
          <w:color w:val="333333"/>
          <w:sz w:val="22"/>
          <w:szCs w:val="22"/>
        </w:rPr>
        <w:t xml:space="preserve">Provide a 30-day implementation check-in: review how the playbook is being applied, troubleshoot adoption issues, refine based on first real-world use</w:t>
      </w:r>
    </w:p>
    <w:p>
      <w:pPr>
        <w:spacing w:after="120"/>
      </w:pPr>
    </w:p>
    <w:p>
      <w:pPr>
        <w:pStyle w:val="Heading2"/>
      </w:pPr>
      <w:r>
        <w:rPr>
          <w:color w:val="1B2A4A"/>
        </w:rPr>
        <w:t xml:space="preserve">Project C: Trade Show Pipeline System</w:t>
      </w:r>
    </w:p>
    <w:p>
      <w:pPr>
        <w:spacing w:after="160" w:line="276"/>
      </w:pPr>
      <w:r>
        <w:rPr>
          <w:rFonts w:ascii="Arial" w:cs="Arial" w:eastAsia="Arial" w:hAnsi="Arial"/>
          <w:i/>
          <w:iCs/>
          <w:color w:val="666666"/>
          <w:sz w:val="22"/>
          <w:szCs w:val="22"/>
        </w:rPr>
        <w:t xml:space="preserve">"Turn your next event from a €50K cost into a 12-month pipeline engine."</w:t>
      </w:r>
    </w:p>
    <w:p>
      <w:pPr>
        <w:spacing w:after="60"/>
      </w:pPr>
      <w:r>
        <w:rPr>
          <w:rFonts w:ascii="Arial" w:cs="Arial" w:eastAsia="Arial" w:hAnsi="Arial"/>
          <w:b/>
          <w:bCs/>
          <w:color w:val="333333"/>
          <w:sz w:val="22"/>
          <w:szCs w:val="22"/>
        </w:rPr>
        <w:t xml:space="preserve">€3,000–€5,000  |  2–3 weeks (before your next event)</w:t>
      </w:r>
    </w:p>
    <w:p>
      <w:pPr>
        <w:spacing w:after="40"/>
      </w:pPr>
    </w:p>
    <w:p>
      <w:pPr>
        <w:spacing w:after="160" w:line="276"/>
      </w:pPr>
      <w:r>
        <w:rPr>
          <w:rFonts w:ascii="Arial" w:cs="Arial" w:eastAsia="Arial" w:hAnsi="Arial"/>
          <w:b/>
          <w:bCs/>
          <w:color w:val="333333"/>
          <w:sz w:val="22"/>
          <w:szCs w:val="22"/>
        </w:rPr>
        <w:t xml:space="preserve">What I do for you:</w:t>
      </w:r>
    </w:p>
    <w:p>
      <w:pPr>
        <w:pStyle w:val="ListParagraph"/>
        <w:numPr>
          <w:ilvl w:val="0"/>
          <w:numId w:val="2"/>
        </w:numPr>
        <w:spacing w:after="60" w:line="260"/>
      </w:pPr>
      <w:r>
        <w:rPr>
          <w:rFonts w:ascii="Arial" w:cs="Arial" w:eastAsia="Arial" w:hAnsi="Arial"/>
          <w:color w:val="333333"/>
          <w:sz w:val="22"/>
          <w:szCs w:val="22"/>
        </w:rPr>
        <w:t xml:space="preserve">Review the upcoming event’s exhibitor list and attendee profile to identify your highest-value target accounts</w:t>
      </w:r>
    </w:p>
    <w:p>
      <w:pPr>
        <w:pStyle w:val="ListParagraph"/>
        <w:numPr>
          <w:ilvl w:val="0"/>
          <w:numId w:val="2"/>
        </w:numPr>
        <w:spacing w:after="60" w:line="260"/>
      </w:pPr>
      <w:r>
        <w:rPr>
          <w:rFonts w:ascii="Arial" w:cs="Arial" w:eastAsia="Arial" w:hAnsi="Arial"/>
          <w:color w:val="333333"/>
          <w:sz w:val="22"/>
          <w:szCs w:val="22"/>
        </w:rPr>
        <w:t xml:space="preserve">Build a pre-show hit list: the 20–50 specific companies and contacts you most want to meet at the event, prioritized by deal potential</w:t>
      </w:r>
    </w:p>
    <w:p>
      <w:pPr>
        <w:pStyle w:val="ListParagraph"/>
        <w:numPr>
          <w:ilvl w:val="0"/>
          <w:numId w:val="2"/>
        </w:numPr>
        <w:spacing w:after="60" w:line="260"/>
      </w:pPr>
      <w:r>
        <w:rPr>
          <w:rFonts w:ascii="Arial" w:cs="Arial" w:eastAsia="Arial" w:hAnsi="Arial"/>
          <w:color w:val="333333"/>
          <w:sz w:val="22"/>
          <w:szCs w:val="22"/>
        </w:rPr>
        <w:t xml:space="preserve">Write a pre-show outreach campaign: personalized emails and LinkedIn messages to target contacts, designed to schedule booth meetings before the event begins</w:t>
      </w:r>
    </w:p>
    <w:p>
      <w:pPr>
        <w:pStyle w:val="ListParagraph"/>
        <w:numPr>
          <w:ilvl w:val="0"/>
          <w:numId w:val="2"/>
        </w:numPr>
        <w:spacing w:after="60" w:line="260"/>
      </w:pPr>
      <w:r>
        <w:rPr>
          <w:rFonts w:ascii="Arial" w:cs="Arial" w:eastAsia="Arial" w:hAnsi="Arial"/>
          <w:color w:val="333333"/>
          <w:sz w:val="22"/>
          <w:szCs w:val="22"/>
        </w:rPr>
        <w:t xml:space="preserve">Create a pre-show content piece: a short, data-driven asset (industry benchmark, ROI snapshot, or competitive comparison) you can offer as a conversation starter in outreach</w:t>
      </w:r>
    </w:p>
    <w:p>
      <w:pPr>
        <w:pStyle w:val="ListParagraph"/>
        <w:numPr>
          <w:ilvl w:val="0"/>
          <w:numId w:val="2"/>
        </w:numPr>
        <w:spacing w:after="60" w:line="260"/>
      </w:pPr>
      <w:r>
        <w:rPr>
          <w:rFonts w:ascii="Arial" w:cs="Arial" w:eastAsia="Arial" w:hAnsi="Arial"/>
          <w:color w:val="333333"/>
          <w:sz w:val="22"/>
          <w:szCs w:val="22"/>
        </w:rPr>
        <w:t xml:space="preserve">Design an on-site lead capture system: structured forms (digital or physical) that capture not just contact information but qualification data — budget range, timeline, decision-making authority, specific pain points discussed</w:t>
      </w:r>
    </w:p>
    <w:p>
      <w:pPr>
        <w:pStyle w:val="ListParagraph"/>
        <w:numPr>
          <w:ilvl w:val="0"/>
          <w:numId w:val="2"/>
        </w:numPr>
        <w:spacing w:after="60" w:line="260"/>
      </w:pPr>
      <w:r>
        <w:rPr>
          <w:rFonts w:ascii="Arial" w:cs="Arial" w:eastAsia="Arial" w:hAnsi="Arial"/>
          <w:color w:val="333333"/>
          <w:sz w:val="22"/>
          <w:szCs w:val="22"/>
        </w:rPr>
        <w:t xml:space="preserve">Build a lead scoring rubric for on-site use: a simple system your booth team can use in real time to categorize visitors as hot, warm, or cold based on conversation signals</w:t>
      </w:r>
    </w:p>
    <w:p>
      <w:pPr>
        <w:pStyle w:val="ListParagraph"/>
        <w:numPr>
          <w:ilvl w:val="0"/>
          <w:numId w:val="2"/>
        </w:numPr>
        <w:spacing w:after="60" w:line="260"/>
      </w:pPr>
      <w:r>
        <w:rPr>
          <w:rFonts w:ascii="Arial" w:cs="Arial" w:eastAsia="Arial" w:hAnsi="Arial"/>
          <w:color w:val="333333"/>
          <w:sz w:val="22"/>
          <w:szCs w:val="22"/>
        </w:rPr>
        <w:t xml:space="preserve">Write a booth team briefing document: talking points, qualification questions, common objections and responses, and hand-off protocols for high-value conversations</w:t>
      </w:r>
    </w:p>
    <w:p>
      <w:pPr>
        <w:pStyle w:val="ListParagraph"/>
        <w:numPr>
          <w:ilvl w:val="0"/>
          <w:numId w:val="2"/>
        </w:numPr>
        <w:spacing w:after="60" w:line="260"/>
      </w:pPr>
      <w:r>
        <w:rPr>
          <w:rFonts w:ascii="Arial" w:cs="Arial" w:eastAsia="Arial" w:hAnsi="Arial"/>
          <w:color w:val="333333"/>
          <w:sz w:val="22"/>
          <w:szCs w:val="22"/>
        </w:rPr>
        <w:t xml:space="preserve">Design immediate post-conversation follow-up: an email that goes out within 2 hours of each qualifying booth meeting, referencing the specific conversation and providing the relevant next-step content</w:t>
      </w:r>
    </w:p>
    <w:p>
      <w:pPr>
        <w:pStyle w:val="ListParagraph"/>
        <w:numPr>
          <w:ilvl w:val="0"/>
          <w:numId w:val="2"/>
        </w:numPr>
        <w:spacing w:after="60" w:line="260"/>
      </w:pPr>
      <w:r>
        <w:rPr>
          <w:rFonts w:ascii="Arial" w:cs="Arial" w:eastAsia="Arial" w:hAnsi="Arial"/>
          <w:color w:val="333333"/>
          <w:sz w:val="22"/>
          <w:szCs w:val="22"/>
        </w:rPr>
        <w:t xml:space="preserve">Build CRM integration for captured leads: every lead entered at the booth appears in your CRM within 24 hours with full qualification data, conversation notes, and assigned follow-up owner</w:t>
      </w:r>
    </w:p>
    <w:p>
      <w:pPr>
        <w:pStyle w:val="ListParagraph"/>
        <w:numPr>
          <w:ilvl w:val="0"/>
          <w:numId w:val="2"/>
        </w:numPr>
        <w:spacing w:after="60" w:line="260"/>
      </w:pPr>
      <w:r>
        <w:rPr>
          <w:rFonts w:ascii="Arial" w:cs="Arial" w:eastAsia="Arial" w:hAnsi="Arial"/>
          <w:color w:val="333333"/>
          <w:sz w:val="22"/>
          <w:szCs w:val="22"/>
        </w:rPr>
        <w:t xml:space="preserve">Create a post-show email nurture sequence: 5–7 emails spaced over 3 months, designed for the 6–18-month enterprise sales cycle, with content progressively moving the prospect from awareness to evaluation</w:t>
      </w:r>
    </w:p>
    <w:p>
      <w:pPr>
        <w:pStyle w:val="ListParagraph"/>
        <w:numPr>
          <w:ilvl w:val="0"/>
          <w:numId w:val="2"/>
        </w:numPr>
        <w:spacing w:after="60" w:line="260"/>
      </w:pPr>
      <w:r>
        <w:rPr>
          <w:rFonts w:ascii="Arial" w:cs="Arial" w:eastAsia="Arial" w:hAnsi="Arial"/>
          <w:color w:val="333333"/>
          <w:sz w:val="22"/>
          <w:szCs w:val="22"/>
        </w:rPr>
        <w:t xml:space="preserve">Design stakeholder-specific follow-up tracks: different email sequences depending on the prospect’s role (technical buyer gets integration content, financial buyer gets ROI content, operations buyer gets deployment content)</w:t>
      </w:r>
    </w:p>
    <w:p>
      <w:pPr>
        <w:pStyle w:val="ListParagraph"/>
        <w:numPr>
          <w:ilvl w:val="0"/>
          <w:numId w:val="2"/>
        </w:numPr>
        <w:spacing w:after="60" w:line="260"/>
      </w:pPr>
      <w:r>
        <w:rPr>
          <w:rFonts w:ascii="Arial" w:cs="Arial" w:eastAsia="Arial" w:hAnsi="Arial"/>
          <w:color w:val="333333"/>
          <w:sz w:val="22"/>
          <w:szCs w:val="22"/>
        </w:rPr>
        <w:t xml:space="preserve">Build a post-show social media amplification plan: LinkedIn posts referencing event conversations (anonymized), creating multiple touchpoints with prospects who visited your booth</w:t>
      </w:r>
    </w:p>
    <w:p>
      <w:pPr>
        <w:pStyle w:val="ListParagraph"/>
        <w:numPr>
          <w:ilvl w:val="0"/>
          <w:numId w:val="2"/>
        </w:numPr>
        <w:spacing w:after="60" w:line="260"/>
      </w:pPr>
      <w:r>
        <w:rPr>
          <w:rFonts w:ascii="Arial" w:cs="Arial" w:eastAsia="Arial" w:hAnsi="Arial"/>
          <w:color w:val="333333"/>
          <w:sz w:val="22"/>
          <w:szCs w:val="22"/>
        </w:rPr>
        <w:t xml:space="preserve">Create a trade show ROI tracking dashboard: a simple framework that connects event leads to pipeline progression and eventually to closed revenue, giving you real attribution data for the first time</w:t>
      </w:r>
    </w:p>
    <w:p>
      <w:pPr>
        <w:pStyle w:val="ListParagraph"/>
        <w:numPr>
          <w:ilvl w:val="0"/>
          <w:numId w:val="2"/>
        </w:numPr>
        <w:spacing w:after="60" w:line="260"/>
      </w:pPr>
      <w:r>
        <w:rPr>
          <w:rFonts w:ascii="Arial" w:cs="Arial" w:eastAsia="Arial" w:hAnsi="Arial"/>
          <w:color w:val="333333"/>
          <w:sz w:val="22"/>
          <w:szCs w:val="22"/>
        </w:rPr>
        <w:t xml:space="preserve">Set up a 90-day post-event pipeline review: scheduled assessment of how many event leads progressed, what the actual pipeline value is, and what the true cost-per-opportunity was for this event</w:t>
      </w:r>
    </w:p>
    <w:p>
      <w:pPr>
        <w:pStyle w:val="ListParagraph"/>
        <w:numPr>
          <w:ilvl w:val="0"/>
          <w:numId w:val="2"/>
        </w:numPr>
        <w:spacing w:after="60" w:line="260"/>
      </w:pPr>
      <w:r>
        <w:rPr>
          <w:rFonts w:ascii="Arial" w:cs="Arial" w:eastAsia="Arial" w:hAnsi="Arial"/>
          <w:color w:val="333333"/>
          <w:sz w:val="22"/>
          <w:szCs w:val="22"/>
        </w:rPr>
        <w:t xml:space="preserve">Deliver a post-event analysis report: what worked, what didn’t, and specific recommendations for the next event</w:t>
      </w:r>
    </w:p>
    <w:p>
      <w:r>
        <w:br w:type="page"/>
      </w:r>
    </w:p>
    <w:p>
      <w:pPr>
        <w:pStyle w:val="Heading1"/>
      </w:pPr>
      <w:r>
        <w:rPr>
          <w:color w:val="1B2A4A"/>
        </w:rPr>
        <w:t xml:space="preserve">Service 3: Full Pipeline &amp; Conversion Build</w:t>
      </w:r>
    </w:p>
    <w:p>
      <w:pPr>
        <w:spacing w:after="60"/>
      </w:pPr>
      <w:r>
        <w:rPr>
          <w:rFonts w:ascii="Arial" w:cs="Arial" w:eastAsia="Arial" w:hAnsi="Arial"/>
          <w:b/>
          <w:bCs/>
          <w:color w:val="D4652F"/>
          <w:sz w:val="22"/>
          <w:szCs w:val="22"/>
        </w:rPr>
        <w:t xml:space="preserve">SCALE  </w:t>
      </w:r>
      <w:r>
        <w:rPr>
          <w:rFonts w:ascii="Arial" w:cs="Arial" w:eastAsia="Arial" w:hAnsi="Arial"/>
          <w:color w:val="333333"/>
          <w:sz w:val="22"/>
          <w:szCs w:val="22"/>
        </w:rPr>
        <w:t xml:space="preserve">|  €8,000–€15,000/month  |  3–6 months  |  Complete growth engine</w:t>
      </w:r>
    </w:p>
    <w:p>
      <w:pPr>
        <w:spacing w:after="80"/>
      </w:pPr>
    </w:p>
    <w:p>
      <w:pPr>
        <w:spacing w:after="160" w:line="276"/>
      </w:pPr>
      <w:r>
        <w:rPr>
          <w:rFonts w:ascii="Arial" w:cs="Arial" w:eastAsia="Arial" w:hAnsi="Arial"/>
          <w:b/>
          <w:bCs/>
          <w:color w:val="333333"/>
          <w:sz w:val="22"/>
          <w:szCs w:val="22"/>
        </w:rPr>
        <w:t xml:space="preserve">The outcome: </w:t>
      </w:r>
      <w:r>
        <w:rPr>
          <w:rFonts w:ascii="Arial" w:cs="Arial" w:eastAsia="Arial" w:hAnsi="Arial"/>
          <w:color w:val="333333"/>
          <w:sz w:val="22"/>
          <w:szCs w:val="22"/>
        </w:rPr>
        <w:t xml:space="preserve">Within 90 days, your company generates 10+ qualified enterprise leads per month from digital channels, your sales cycles are 15–25% shorter, and your pilot-to-production conversion rate is climbing toward 70%+ — all without adding headcount.</w:t>
      </w:r>
    </w:p>
    <w:p>
      <w:pPr>
        <w:spacing w:after="80"/>
      </w:pPr>
    </w:p>
    <w:p>
      <w:pPr>
        <w:spacing w:after="160" w:line="276"/>
      </w:pPr>
      <w:r>
        <w:rPr>
          <w:rFonts w:ascii="Arial" w:cs="Arial" w:eastAsia="Arial" w:hAnsi="Arial"/>
          <w:color w:val="333333"/>
          <w:sz w:val="22"/>
          <w:szCs w:val="22"/>
        </w:rPr>
        <w:t xml:space="preserve">This is the retained engagement where everything comes together. By this point, you’ve been through an audit, you’ve seen a quick-win project deliver results, and you know the quality of the work. This stage builds the full engine.</w:t>
      </w:r>
    </w:p>
    <w:p>
      <w:pPr>
        <w:spacing w:after="60"/>
      </w:pPr>
    </w:p>
    <w:p>
      <w:pPr>
        <w:pStyle w:val="Heading2"/>
      </w:pPr>
      <w:r>
        <w:rPr>
          <w:color w:val="1B2A4A"/>
        </w:rPr>
        <w:t xml:space="preserve">Phase A: Generate Qualified Pipeline (Months 1–2)</w:t>
      </w:r>
    </w:p>
    <w:p>
      <w:pPr>
        <w:spacing w:after="160" w:line="276"/>
      </w:pPr>
      <w:r>
        <w:rPr>
          <w:rFonts w:ascii="Arial" w:cs="Arial" w:eastAsia="Arial" w:hAnsi="Arial"/>
          <w:i/>
          <w:iCs/>
          <w:color w:val="666666"/>
          <w:sz w:val="22"/>
          <w:szCs w:val="22"/>
        </w:rPr>
        <w:t xml:space="preserve">Goal: Build a digital lead generation engine that produces qualified enterprise prospects every month, independent of trade shows.</w:t>
      </w:r>
    </w:p>
    <w:p>
      <w:pPr>
        <w:spacing w:after="40"/>
      </w:pPr>
    </w:p>
    <w:p>
      <w:pPr>
        <w:spacing w:after="160" w:line="276"/>
      </w:pPr>
      <w:r>
        <w:rPr>
          <w:rFonts w:ascii="Arial" w:cs="Arial" w:eastAsia="Arial" w:hAnsi="Arial"/>
          <w:b/>
          <w:bCs/>
          <w:color w:val="333333"/>
          <w:sz w:val="22"/>
          <w:szCs w:val="22"/>
        </w:rPr>
        <w:t xml:space="preserve">What I do for you:</w:t>
      </w:r>
    </w:p>
    <w:p>
      <w:pPr>
        <w:pStyle w:val="ListParagraph"/>
        <w:numPr>
          <w:ilvl w:val="0"/>
          <w:numId w:val="2"/>
        </w:numPr>
        <w:spacing w:after="60" w:line="260"/>
      </w:pPr>
      <w:r>
        <w:rPr>
          <w:rFonts w:ascii="Arial" w:cs="Arial" w:eastAsia="Arial" w:hAnsi="Arial"/>
          <w:color w:val="333333"/>
          <w:sz w:val="22"/>
          <w:szCs w:val="22"/>
        </w:rPr>
        <w:t xml:space="preserve">Build or refine the ROI calculator (if not already completed as a Quick-Win project) with full CRM integration and lead scoring</w:t>
      </w:r>
    </w:p>
    <w:p>
      <w:pPr>
        <w:pStyle w:val="ListParagraph"/>
        <w:numPr>
          <w:ilvl w:val="0"/>
          <w:numId w:val="2"/>
        </w:numPr>
        <w:spacing w:after="60" w:line="260"/>
      </w:pPr>
      <w:r>
        <w:rPr>
          <w:rFonts w:ascii="Arial" w:cs="Arial" w:eastAsia="Arial" w:hAnsi="Arial"/>
          <w:color w:val="333333"/>
          <w:sz w:val="22"/>
          <w:szCs w:val="22"/>
        </w:rPr>
        <w:t xml:space="preserve">Create an interactive payback period tool customized to each of your target industries (manufacturing, logistics, food &amp; beverage, pharmaceutical, etc.)</w:t>
      </w:r>
    </w:p>
    <w:p>
      <w:pPr>
        <w:pStyle w:val="ListParagraph"/>
        <w:numPr>
          <w:ilvl w:val="0"/>
          <w:numId w:val="2"/>
        </w:numPr>
        <w:spacing w:after="60" w:line="260"/>
      </w:pPr>
      <w:r>
        <w:rPr>
          <w:rFonts w:ascii="Arial" w:cs="Arial" w:eastAsia="Arial" w:hAnsi="Arial"/>
          <w:color w:val="333333"/>
          <w:sz w:val="22"/>
          <w:szCs w:val="22"/>
        </w:rPr>
        <w:t xml:space="preserve">Build a total cost of ownership comparison tool: robot purchase vs. lease vs. RaaS, with cash flow projections your prospects’ CFOs can use directly in budget approval</w:t>
      </w:r>
    </w:p>
    <w:p>
      <w:pPr>
        <w:pStyle w:val="ListParagraph"/>
        <w:numPr>
          <w:ilvl w:val="0"/>
          <w:numId w:val="2"/>
        </w:numPr>
        <w:spacing w:after="60" w:line="260"/>
      </w:pPr>
      <w:r>
        <w:rPr>
          <w:rFonts w:ascii="Arial" w:cs="Arial" w:eastAsia="Arial" w:hAnsi="Arial"/>
          <w:color w:val="333333"/>
          <w:sz w:val="22"/>
          <w:szCs w:val="22"/>
        </w:rPr>
        <w:t xml:space="preserve">Write and produce a technical content library: 8–12 gated assets including white papers on industry-specific applications, integration architecture guides (WMS, ERP, MES, SCADA), specification comparison matrices, and compliance documentation</w:t>
      </w:r>
    </w:p>
    <w:p>
      <w:pPr>
        <w:pStyle w:val="ListParagraph"/>
        <w:numPr>
          <w:ilvl w:val="0"/>
          <w:numId w:val="2"/>
        </w:numPr>
        <w:spacing w:after="60" w:line="260"/>
      </w:pPr>
      <w:r>
        <w:rPr>
          <w:rFonts w:ascii="Arial" w:cs="Arial" w:eastAsia="Arial" w:hAnsi="Arial"/>
          <w:color w:val="333333"/>
          <w:sz w:val="22"/>
          <w:szCs w:val="22"/>
        </w:rPr>
        <w:t xml:space="preserve">Create industry-specific deployment case studies using your actual customer data: quantified outcomes, implementation timelines, integration details, and lessons learned</w:t>
      </w:r>
    </w:p>
    <w:p>
      <w:pPr>
        <w:pStyle w:val="ListParagraph"/>
        <w:numPr>
          <w:ilvl w:val="0"/>
          <w:numId w:val="2"/>
        </w:numPr>
        <w:spacing w:after="60" w:line="260"/>
      </w:pPr>
      <w:r>
        <w:rPr>
          <w:rFonts w:ascii="Arial" w:cs="Arial" w:eastAsia="Arial" w:hAnsi="Arial"/>
          <w:color w:val="333333"/>
          <w:sz w:val="22"/>
          <w:szCs w:val="22"/>
        </w:rPr>
        <w:t xml:space="preserve">Design and build a proof-of-concept funnel: a structured pilot program application system with automated qualification scoring (operational readiness, budget authority, integration complexity, strategic fit)</w:t>
      </w:r>
    </w:p>
    <w:p>
      <w:pPr>
        <w:pStyle w:val="ListParagraph"/>
        <w:numPr>
          <w:ilvl w:val="0"/>
          <w:numId w:val="2"/>
        </w:numPr>
        <w:spacing w:after="60" w:line="260"/>
      </w:pPr>
      <w:r>
        <w:rPr>
          <w:rFonts w:ascii="Arial" w:cs="Arial" w:eastAsia="Arial" w:hAnsi="Arial"/>
          <w:color w:val="333333"/>
          <w:sz w:val="22"/>
          <w:szCs w:val="22"/>
        </w:rPr>
        <w:t xml:space="preserve">Build pre-show and post-show campaign infrastructure for your next 2–3 trade shows: outreach sequences, lead capture, CRM integration, and nurture automation</w:t>
      </w:r>
    </w:p>
    <w:p>
      <w:pPr>
        <w:pStyle w:val="ListParagraph"/>
        <w:numPr>
          <w:ilvl w:val="0"/>
          <w:numId w:val="2"/>
        </w:numPr>
        <w:spacing w:after="60" w:line="260"/>
      </w:pPr>
      <w:r>
        <w:rPr>
          <w:rFonts w:ascii="Arial" w:cs="Arial" w:eastAsia="Arial" w:hAnsi="Arial"/>
          <w:color w:val="333333"/>
          <w:sz w:val="22"/>
          <w:szCs w:val="22"/>
        </w:rPr>
        <w:t xml:space="preserve">Set up content distribution: automated delivery of the right content to the right prospect based on their role, industry, and buying stage</w:t>
      </w:r>
    </w:p>
    <w:p>
      <w:pPr>
        <w:pStyle w:val="ListParagraph"/>
        <w:numPr>
          <w:ilvl w:val="0"/>
          <w:numId w:val="2"/>
        </w:numPr>
        <w:spacing w:after="60" w:line="260"/>
      </w:pPr>
      <w:r>
        <w:rPr>
          <w:rFonts w:ascii="Arial" w:cs="Arial" w:eastAsia="Arial" w:hAnsi="Arial"/>
          <w:color w:val="333333"/>
          <w:sz w:val="22"/>
          <w:szCs w:val="22"/>
        </w:rPr>
        <w:t xml:space="preserve">Implement lead scoring and routing: qualified leads are automatically scored, assigned, and alerted to your sales team with full context</w:t>
      </w:r>
    </w:p>
    <w:p>
      <w:pPr>
        <w:pStyle w:val="ListParagraph"/>
        <w:numPr>
          <w:ilvl w:val="0"/>
          <w:numId w:val="2"/>
        </w:numPr>
        <w:spacing w:after="60" w:line="260"/>
      </w:pPr>
      <w:r>
        <w:rPr>
          <w:rFonts w:ascii="Arial" w:cs="Arial" w:eastAsia="Arial" w:hAnsi="Arial"/>
          <w:color w:val="333333"/>
          <w:sz w:val="22"/>
          <w:szCs w:val="22"/>
        </w:rPr>
        <w:t xml:space="preserve">Create a competitor monitoring framework: track what your top 3–5 competitors are publishing, how they position to each stakeholder type, and where their gaps create opportunities for you</w:t>
      </w:r>
    </w:p>
    <w:p>
      <w:pPr>
        <w:pStyle w:val="ListParagraph"/>
        <w:numPr>
          <w:ilvl w:val="0"/>
          <w:numId w:val="2"/>
        </w:numPr>
        <w:spacing w:after="60" w:line="260"/>
      </w:pPr>
      <w:r>
        <w:rPr>
          <w:rFonts w:ascii="Arial" w:cs="Arial" w:eastAsia="Arial" w:hAnsi="Arial"/>
          <w:color w:val="333333"/>
          <w:sz w:val="22"/>
          <w:szCs w:val="22"/>
        </w:rPr>
        <w:t xml:space="preserve">Build a LinkedIn content engine: 2–4 posts per week of data-driven, industry-specific content designed to attract technical decision-makers in your target industries</w:t>
      </w:r>
    </w:p>
    <w:p>
      <w:pPr>
        <w:pStyle w:val="ListParagraph"/>
        <w:numPr>
          <w:ilvl w:val="0"/>
          <w:numId w:val="2"/>
        </w:numPr>
        <w:spacing w:after="60" w:line="260"/>
      </w:pPr>
      <w:r>
        <w:rPr>
          <w:rFonts w:ascii="Arial" w:cs="Arial" w:eastAsia="Arial" w:hAnsi="Arial"/>
          <w:color w:val="333333"/>
          <w:sz w:val="22"/>
          <w:szCs w:val="22"/>
        </w:rPr>
        <w:t xml:space="preserve">Set up attribution tracking: connect every content download, calculator completion, and demo request to the lead source so you know exactly which channels produce pipeline</w:t>
      </w:r>
    </w:p>
    <w:p>
      <w:pPr>
        <w:pStyle w:val="ListParagraph"/>
        <w:numPr>
          <w:ilvl w:val="0"/>
          <w:numId w:val="2"/>
        </w:numPr>
        <w:spacing w:after="60" w:line="260"/>
      </w:pPr>
      <w:r>
        <w:rPr>
          <w:rFonts w:ascii="Arial" w:cs="Arial" w:eastAsia="Arial" w:hAnsi="Arial"/>
          <w:color w:val="333333"/>
          <w:sz w:val="22"/>
          <w:szCs w:val="22"/>
        </w:rPr>
        <w:t xml:space="preserve">Deploy analytics dashboards: real-time visibility into lead generation volume, lead quality, content performance, and pipeline attribution</w:t>
      </w:r>
    </w:p>
    <w:p>
      <w:pPr>
        <w:pStyle w:val="ListParagraph"/>
        <w:numPr>
          <w:ilvl w:val="0"/>
          <w:numId w:val="2"/>
        </w:numPr>
        <w:spacing w:after="60" w:line="260"/>
      </w:pPr>
      <w:r>
        <w:rPr>
          <w:rFonts w:ascii="Arial" w:cs="Arial" w:eastAsia="Arial" w:hAnsi="Arial"/>
          <w:color w:val="333333"/>
          <w:sz w:val="22"/>
          <w:szCs w:val="22"/>
        </w:rPr>
        <w:t xml:space="preserve">Conduct weekly optimization reviews: analyze performance data and adjust content, targeting, and distribution based on what’s working</w:t>
      </w:r>
    </w:p>
    <w:p>
      <w:pPr>
        <w:spacing w:after="120"/>
      </w:pPr>
    </w:p>
    <w:p>
      <w:pPr>
        <w:pStyle w:val="Heading2"/>
      </w:pPr>
      <w:r>
        <w:rPr>
          <w:color w:val="1B2A4A"/>
        </w:rPr>
        <w:t xml:space="preserve">Phase B: Shorten Sales Cycles and Increase Win Rates (Months 2–4)</w:t>
      </w:r>
    </w:p>
    <w:p>
      <w:pPr>
        <w:spacing w:after="160" w:line="276"/>
      </w:pPr>
      <w:r>
        <w:rPr>
          <w:rFonts w:ascii="Arial" w:cs="Arial" w:eastAsia="Arial" w:hAnsi="Arial"/>
          <w:i/>
          <w:iCs/>
          <w:color w:val="666666"/>
          <w:sz w:val="22"/>
          <w:szCs w:val="22"/>
        </w:rPr>
        <w:t xml:space="preserve">Goal: Give your sales team the assets and intelligence to close deals faster by reaching every stakeholder in the buying committee.</w:t>
      </w:r>
    </w:p>
    <w:p>
      <w:pPr>
        <w:spacing w:after="40"/>
      </w:pPr>
    </w:p>
    <w:p>
      <w:pPr>
        <w:spacing w:after="160" w:line="276"/>
      </w:pPr>
      <w:r>
        <w:rPr>
          <w:rFonts w:ascii="Arial" w:cs="Arial" w:eastAsia="Arial" w:hAnsi="Arial"/>
          <w:b/>
          <w:bCs/>
          <w:color w:val="333333"/>
          <w:sz w:val="22"/>
          <w:szCs w:val="22"/>
        </w:rPr>
        <w:t xml:space="preserve">What I do for you:</w:t>
      </w:r>
    </w:p>
    <w:p>
      <w:pPr>
        <w:pStyle w:val="ListParagraph"/>
        <w:numPr>
          <w:ilvl w:val="0"/>
          <w:numId w:val="2"/>
        </w:numPr>
        <w:spacing w:after="60" w:line="260"/>
      </w:pPr>
      <w:r>
        <w:rPr>
          <w:rFonts w:ascii="Arial" w:cs="Arial" w:eastAsia="Arial" w:hAnsi="Arial"/>
          <w:color w:val="333333"/>
          <w:sz w:val="22"/>
          <w:szCs w:val="22"/>
        </w:rPr>
        <w:t xml:space="preserve">Map the complete enterprise buying committee for your target customer segments: every stakeholder role, their evaluation criteria, their objection patterns, and their information preferences</w:t>
      </w:r>
    </w:p>
    <w:p>
      <w:pPr>
        <w:pStyle w:val="ListParagraph"/>
        <w:numPr>
          <w:ilvl w:val="0"/>
          <w:numId w:val="2"/>
        </w:numPr>
        <w:spacing w:after="60" w:line="260"/>
      </w:pPr>
      <w:r>
        <w:rPr>
          <w:rFonts w:ascii="Arial" w:cs="Arial" w:eastAsia="Arial" w:hAnsi="Arial"/>
          <w:color w:val="333333"/>
          <w:sz w:val="22"/>
          <w:szCs w:val="22"/>
        </w:rPr>
        <w:t xml:space="preserve">Build dedicated landing pages for each stakeholder type: a CFO page leading with payback period and CapEx justification; a CTO page with integration architecture and API documentation; an Operations Director page with workflow impact analysis and deployment timelines; a Safety Officer page with compliance certifications and risk frameworks; a Procurement page with vendor qualification packages and SLA templates</w:t>
      </w:r>
    </w:p>
    <w:p>
      <w:pPr>
        <w:pStyle w:val="ListParagraph"/>
        <w:numPr>
          <w:ilvl w:val="0"/>
          <w:numId w:val="2"/>
        </w:numPr>
        <w:spacing w:after="60" w:line="260"/>
      </w:pPr>
      <w:r>
        <w:rPr>
          <w:rFonts w:ascii="Arial" w:cs="Arial" w:eastAsia="Arial" w:hAnsi="Arial"/>
          <w:color w:val="333333"/>
          <w:sz w:val="22"/>
          <w:szCs w:val="22"/>
        </w:rPr>
        <w:t xml:space="preserve">Create a financial impact model suite for the CFO: total cost of ownership calculators, lease vs. buy comparisons, ROI projections calibrated to Italian tax incentives (Transizione 5.0), and capital expenditure justification templates</w:t>
      </w:r>
    </w:p>
    <w:p>
      <w:pPr>
        <w:pStyle w:val="ListParagraph"/>
        <w:numPr>
          <w:ilvl w:val="0"/>
          <w:numId w:val="2"/>
        </w:numPr>
        <w:spacing w:after="60" w:line="260"/>
      </w:pPr>
      <w:r>
        <w:rPr>
          <w:rFonts w:ascii="Arial" w:cs="Arial" w:eastAsia="Arial" w:hAnsi="Arial"/>
          <w:color w:val="333333"/>
          <w:sz w:val="22"/>
          <w:szCs w:val="22"/>
        </w:rPr>
        <w:t xml:space="preserve">Build integration architecture documentation for the CTO: detailed diagrams of how your system connects with common enterprise platforms (SAP, Oracle, Manhattan Associates, Infor, Siemens MindSphere), API specifications, security compliance reports, and implementation timelines</w:t>
      </w:r>
    </w:p>
    <w:p>
      <w:pPr>
        <w:pStyle w:val="ListParagraph"/>
        <w:numPr>
          <w:ilvl w:val="0"/>
          <w:numId w:val="2"/>
        </w:numPr>
        <w:spacing w:after="60" w:line="260"/>
      </w:pPr>
      <w:r>
        <w:rPr>
          <w:rFonts w:ascii="Arial" w:cs="Arial" w:eastAsia="Arial" w:hAnsi="Arial"/>
          <w:color w:val="333333"/>
          <w:sz w:val="22"/>
          <w:szCs w:val="22"/>
        </w:rPr>
        <w:t xml:space="preserve">Write deployment playbooks for the Operations Director: step-by-step transition plans, shift-by-shift changeover schedules, productivity benchmarking tools, and change management guides with training curricula</w:t>
      </w:r>
    </w:p>
    <w:p>
      <w:pPr>
        <w:pStyle w:val="ListParagraph"/>
        <w:numPr>
          <w:ilvl w:val="0"/>
          <w:numId w:val="2"/>
        </w:numPr>
        <w:spacing w:after="60" w:line="260"/>
      </w:pPr>
      <w:r>
        <w:rPr>
          <w:rFonts w:ascii="Arial" w:cs="Arial" w:eastAsia="Arial" w:hAnsi="Arial"/>
          <w:color w:val="333333"/>
          <w:sz w:val="22"/>
          <w:szCs w:val="22"/>
        </w:rPr>
        <w:t xml:space="preserve">Compile compliance documentation packages for the Safety Officer: CE marking documentation, machinery directive compliance, ISO safety standards adherence, risk assessment frameworks, and incident response procedures</w:t>
      </w:r>
    </w:p>
    <w:p>
      <w:pPr>
        <w:pStyle w:val="ListParagraph"/>
        <w:numPr>
          <w:ilvl w:val="0"/>
          <w:numId w:val="2"/>
        </w:numPr>
        <w:spacing w:after="60" w:line="260"/>
      </w:pPr>
      <w:r>
        <w:rPr>
          <w:rFonts w:ascii="Arial" w:cs="Arial" w:eastAsia="Arial" w:hAnsi="Arial"/>
          <w:color w:val="333333"/>
          <w:sz w:val="22"/>
          <w:szCs w:val="22"/>
        </w:rPr>
        <w:t xml:space="preserve">Prepare vendor qualification packages for Procurement: company credentials, reference customer directories, SLA template frameworks, maintenance agreement structures, and performance guarantee documentation</w:t>
      </w:r>
    </w:p>
    <w:p>
      <w:pPr>
        <w:pStyle w:val="ListParagraph"/>
        <w:numPr>
          <w:ilvl w:val="0"/>
          <w:numId w:val="2"/>
        </w:numPr>
        <w:spacing w:after="60" w:line="260"/>
      </w:pPr>
      <w:r>
        <w:rPr>
          <w:rFonts w:ascii="Arial" w:cs="Arial" w:eastAsia="Arial" w:hAnsi="Arial"/>
          <w:color w:val="333333"/>
          <w:sz w:val="22"/>
          <w:szCs w:val="22"/>
        </w:rPr>
        <w:t xml:space="preserve">Build a stakeholder mapping tool: a CRM-integrated system for tracking every contact in each active deal, their role, their engagement level, their concerns, and the content they’ve received</w:t>
      </w:r>
    </w:p>
    <w:p>
      <w:pPr>
        <w:pStyle w:val="ListParagraph"/>
        <w:numPr>
          <w:ilvl w:val="0"/>
          <w:numId w:val="2"/>
        </w:numPr>
        <w:spacing w:after="60" w:line="260"/>
      </w:pPr>
      <w:r>
        <w:rPr>
          <w:rFonts w:ascii="Arial" w:cs="Arial" w:eastAsia="Arial" w:hAnsi="Arial"/>
          <w:color w:val="333333"/>
          <w:sz w:val="22"/>
          <w:szCs w:val="22"/>
        </w:rPr>
        <w:t xml:space="preserve">Create a business case builder tool: a self-service platform the internal champion can use to assemble a compelling proposal for their own buying committee, pulling from your content library automatically</w:t>
      </w:r>
    </w:p>
    <w:p>
      <w:pPr>
        <w:pStyle w:val="ListParagraph"/>
        <w:numPr>
          <w:ilvl w:val="0"/>
          <w:numId w:val="2"/>
        </w:numPr>
        <w:spacing w:after="60" w:line="260"/>
      </w:pPr>
      <w:r>
        <w:rPr>
          <w:rFonts w:ascii="Arial" w:cs="Arial" w:eastAsia="Arial" w:hAnsi="Arial"/>
          <w:color w:val="333333"/>
          <w:sz w:val="22"/>
          <w:szCs w:val="22"/>
        </w:rPr>
        <w:t xml:space="preserve">Design champion enablement kits: pre-packaged sets of materials your primary contact can forward to each stakeholder on the committee, each tailored to that role’s concerns</w:t>
      </w:r>
    </w:p>
    <w:p>
      <w:pPr>
        <w:pStyle w:val="ListParagraph"/>
        <w:numPr>
          <w:ilvl w:val="0"/>
          <w:numId w:val="2"/>
        </w:numPr>
        <w:spacing w:after="60" w:line="260"/>
      </w:pPr>
      <w:r>
        <w:rPr>
          <w:rFonts w:ascii="Arial" w:cs="Arial" w:eastAsia="Arial" w:hAnsi="Arial"/>
          <w:color w:val="333333"/>
          <w:sz w:val="22"/>
          <w:szCs w:val="22"/>
        </w:rPr>
        <w:t xml:space="preserve">Build deal intelligence dashboards: visibility into which stakeholders are engaged, which content has been viewed, and which gaps remain in committee coverage for each active deal</w:t>
      </w:r>
    </w:p>
    <w:p>
      <w:pPr>
        <w:pStyle w:val="ListParagraph"/>
        <w:numPr>
          <w:ilvl w:val="0"/>
          <w:numId w:val="2"/>
        </w:numPr>
        <w:spacing w:after="60" w:line="260"/>
      </w:pPr>
      <w:r>
        <w:rPr>
          <w:rFonts w:ascii="Arial" w:cs="Arial" w:eastAsia="Arial" w:hAnsi="Arial"/>
          <w:color w:val="333333"/>
          <w:sz w:val="22"/>
          <w:szCs w:val="22"/>
        </w:rPr>
        <w:t xml:space="preserve">Create email sequences for multi-stakeholder nurturing: automated, role-specific content delivery that keeps every member of the buying committee engaged throughout the 6–18-month sales cycle</w:t>
      </w:r>
    </w:p>
    <w:p>
      <w:pPr>
        <w:pStyle w:val="ListParagraph"/>
        <w:numPr>
          <w:ilvl w:val="0"/>
          <w:numId w:val="2"/>
        </w:numPr>
        <w:spacing w:after="60" w:line="260"/>
      </w:pPr>
      <w:r>
        <w:rPr>
          <w:rFonts w:ascii="Arial" w:cs="Arial" w:eastAsia="Arial" w:hAnsi="Arial"/>
          <w:color w:val="333333"/>
          <w:sz w:val="22"/>
          <w:szCs w:val="22"/>
        </w:rPr>
        <w:t xml:space="preserve">Write objection-handling playbooks for your sales team: the 15–20 most common objections by stakeholder type, with data-driven responses and supporting content</w:t>
      </w:r>
    </w:p>
    <w:p>
      <w:pPr>
        <w:pStyle w:val="ListParagraph"/>
        <w:numPr>
          <w:ilvl w:val="0"/>
          <w:numId w:val="2"/>
        </w:numPr>
        <w:spacing w:after="60" w:line="260"/>
      </w:pPr>
      <w:r>
        <w:rPr>
          <w:rFonts w:ascii="Arial" w:cs="Arial" w:eastAsia="Arial" w:hAnsi="Arial"/>
          <w:color w:val="333333"/>
          <w:sz w:val="22"/>
          <w:szCs w:val="22"/>
        </w:rPr>
        <w:t xml:space="preserve">Develop competitive battle cards: for each of your top 3–5 competitors, a concise guide to their strengths, weaknesses, pricing, and how to position against them with each stakeholder type</w:t>
      </w:r>
    </w:p>
    <w:p>
      <w:pPr>
        <w:pStyle w:val="ListParagraph"/>
        <w:numPr>
          <w:ilvl w:val="0"/>
          <w:numId w:val="2"/>
        </w:numPr>
        <w:spacing w:after="60" w:line="260"/>
      </w:pPr>
      <w:r>
        <w:rPr>
          <w:rFonts w:ascii="Arial" w:cs="Arial" w:eastAsia="Arial" w:hAnsi="Arial"/>
          <w:color w:val="333333"/>
          <w:sz w:val="22"/>
          <w:szCs w:val="22"/>
        </w:rPr>
        <w:t xml:space="preserve">Set up deal review cadences: structured weekly or biweekly pipeline reviews using the stakeholder mapping and deal intelligence data to identify at-risk deals and intervention priorities</w:t>
      </w:r>
    </w:p>
    <w:p>
      <w:pPr>
        <w:spacing w:after="120"/>
      </w:pPr>
    </w:p>
    <w:p>
      <w:pPr>
        <w:pStyle w:val="Heading2"/>
      </w:pPr>
      <w:r>
        <w:rPr>
          <w:color w:val="1B2A4A"/>
        </w:rPr>
        <w:t xml:space="preserve">Phase C: Convert More Pilots to Production (Months 3–5)</w:t>
      </w:r>
    </w:p>
    <w:p>
      <w:pPr>
        <w:spacing w:after="160" w:line="276"/>
      </w:pPr>
      <w:r>
        <w:rPr>
          <w:rFonts w:ascii="Arial" w:cs="Arial" w:eastAsia="Arial" w:hAnsi="Arial"/>
          <w:i/>
          <w:iCs/>
          <w:color w:val="666666"/>
          <w:sz w:val="22"/>
          <w:szCs w:val="22"/>
        </w:rPr>
        <w:t xml:space="preserve">Goal: Turn your pilot-to-production conversion rate from the industry average (40–60%) to 70%+ by building the operational infrastructure that guides every pilot to a production decision.</w:t>
      </w:r>
    </w:p>
    <w:p>
      <w:pPr>
        <w:spacing w:after="40"/>
      </w:pPr>
    </w:p>
    <w:p>
      <w:pPr>
        <w:spacing w:after="160" w:line="276"/>
      </w:pPr>
      <w:r>
        <w:rPr>
          <w:rFonts w:ascii="Arial" w:cs="Arial" w:eastAsia="Arial" w:hAnsi="Arial"/>
          <w:b/>
          <w:bCs/>
          <w:color w:val="333333"/>
          <w:sz w:val="22"/>
          <w:szCs w:val="22"/>
        </w:rPr>
        <w:t xml:space="preserve">What I do for you:</w:t>
      </w:r>
    </w:p>
    <w:p>
      <w:pPr>
        <w:pStyle w:val="ListParagraph"/>
        <w:numPr>
          <w:ilvl w:val="0"/>
          <w:numId w:val="2"/>
        </w:numPr>
        <w:spacing w:after="60" w:line="260"/>
      </w:pPr>
      <w:r>
        <w:rPr>
          <w:rFonts w:ascii="Arial" w:cs="Arial" w:eastAsia="Arial" w:hAnsi="Arial"/>
          <w:color w:val="333333"/>
          <w:sz w:val="22"/>
          <w:szCs w:val="22"/>
        </w:rPr>
        <w:t xml:space="preserve">Deploy the Pilot-to-Production Conversion Playbook (if not already delivered as a Quick-Win project) and train your team on execution</w:t>
      </w:r>
    </w:p>
    <w:p>
      <w:pPr>
        <w:pStyle w:val="ListParagraph"/>
        <w:numPr>
          <w:ilvl w:val="0"/>
          <w:numId w:val="2"/>
        </w:numPr>
        <w:spacing w:after="60" w:line="260"/>
      </w:pPr>
      <w:r>
        <w:rPr>
          <w:rFonts w:ascii="Arial" w:cs="Arial" w:eastAsia="Arial" w:hAnsi="Arial"/>
          <w:color w:val="333333"/>
          <w:sz w:val="22"/>
          <w:szCs w:val="22"/>
        </w:rPr>
        <w:t xml:space="preserve">Build a structured onboarding system for new customers: a repeatable, milestone-driven process from contract signature through production go-live, with defined handoffs between sales, deployment engineering, customer success, and field operations</w:t>
      </w:r>
    </w:p>
    <w:p>
      <w:pPr>
        <w:pStyle w:val="ListParagraph"/>
        <w:numPr>
          <w:ilvl w:val="0"/>
          <w:numId w:val="2"/>
        </w:numPr>
        <w:spacing w:after="60" w:line="260"/>
      </w:pPr>
      <w:r>
        <w:rPr>
          <w:rFonts w:ascii="Arial" w:cs="Arial" w:eastAsia="Arial" w:hAnsi="Arial"/>
          <w:color w:val="333333"/>
          <w:sz w:val="22"/>
          <w:szCs w:val="22"/>
        </w:rPr>
        <w:t xml:space="preserve">Create pre-deployment readiness assessments: structured evaluations of each customer’s facility, infrastructure, and organizational readiness before equipment ships</w:t>
      </w:r>
    </w:p>
    <w:p>
      <w:pPr>
        <w:pStyle w:val="ListParagraph"/>
        <w:numPr>
          <w:ilvl w:val="0"/>
          <w:numId w:val="2"/>
        </w:numPr>
        <w:spacing w:after="60" w:line="260"/>
      </w:pPr>
      <w:r>
        <w:rPr>
          <w:rFonts w:ascii="Arial" w:cs="Arial" w:eastAsia="Arial" w:hAnsi="Arial"/>
          <w:color w:val="333333"/>
          <w:sz w:val="22"/>
          <w:szCs w:val="22"/>
        </w:rPr>
        <w:t xml:space="preserve">Build integration planning documentation for every active deployment: detailed mapping of how your system connects with each customer’s specific WMS, ERP, and MES, with clear ownership assignments and timeline commitments</w:t>
      </w:r>
    </w:p>
    <w:p>
      <w:pPr>
        <w:pStyle w:val="ListParagraph"/>
        <w:numPr>
          <w:ilvl w:val="0"/>
          <w:numId w:val="2"/>
        </w:numPr>
        <w:spacing w:after="60" w:line="260"/>
      </w:pPr>
      <w:r>
        <w:rPr>
          <w:rFonts w:ascii="Arial" w:cs="Arial" w:eastAsia="Arial" w:hAnsi="Arial"/>
          <w:color w:val="333333"/>
          <w:sz w:val="22"/>
          <w:szCs w:val="22"/>
        </w:rPr>
        <w:t xml:space="preserve">Design automated milestone tracking and stakeholder communication: progress updates that go to all customer stakeholders at each phase, with clear success criteria and next steps</w:t>
      </w:r>
    </w:p>
    <w:p>
      <w:pPr>
        <w:pStyle w:val="ListParagraph"/>
        <w:numPr>
          <w:ilvl w:val="0"/>
          <w:numId w:val="2"/>
        </w:numPr>
        <w:spacing w:after="60" w:line="260"/>
      </w:pPr>
      <w:r>
        <w:rPr>
          <w:rFonts w:ascii="Arial" w:cs="Arial" w:eastAsia="Arial" w:hAnsi="Arial"/>
          <w:color w:val="333333"/>
          <w:sz w:val="22"/>
          <w:szCs w:val="22"/>
        </w:rPr>
        <w:t xml:space="preserve">Build escalation and risk management protocols: defined triggers for when a deployment is going off track, with response procedures, communication templates, and intervention playbooks</w:t>
      </w:r>
    </w:p>
    <w:p>
      <w:pPr>
        <w:pStyle w:val="ListParagraph"/>
        <w:numPr>
          <w:ilvl w:val="0"/>
          <w:numId w:val="2"/>
        </w:numPr>
        <w:spacing w:after="60" w:line="260"/>
      </w:pPr>
      <w:r>
        <w:rPr>
          <w:rFonts w:ascii="Arial" w:cs="Arial" w:eastAsia="Arial" w:hAnsi="Arial"/>
          <w:color w:val="333333"/>
          <w:sz w:val="22"/>
          <w:szCs w:val="22"/>
        </w:rPr>
        <w:t xml:space="preserve">Create a customer health scoring system: a data-driven framework that monitors every deployment across utilization metrics (are robots being used at projected capacity?), performance benchmarks (how does this deployment compare to similar ones?), support trends (is ticket volume decreasing or increasing?), expansion signals (requests for additional units or new use cases), and risk indicators (leadership changes, budget freezes, competitor evaluations)</w:t>
      </w:r>
    </w:p>
    <w:p>
      <w:pPr>
        <w:pStyle w:val="ListParagraph"/>
        <w:numPr>
          <w:ilvl w:val="0"/>
          <w:numId w:val="2"/>
        </w:numPr>
        <w:spacing w:after="60" w:line="260"/>
      </w:pPr>
      <w:r>
        <w:rPr>
          <w:rFonts w:ascii="Arial" w:cs="Arial" w:eastAsia="Arial" w:hAnsi="Arial"/>
          <w:color w:val="333333"/>
          <w:sz w:val="22"/>
          <w:szCs w:val="22"/>
        </w:rPr>
        <w:t xml:space="preserve">Build a churn prediction and intervention framework: proactive identification of at-risk deployments with structured intervention playbooks that trigger before the customer signals dissatisfaction</w:t>
      </w:r>
    </w:p>
    <w:p>
      <w:pPr>
        <w:pStyle w:val="ListParagraph"/>
        <w:numPr>
          <w:ilvl w:val="0"/>
          <w:numId w:val="2"/>
        </w:numPr>
        <w:spacing w:after="60" w:line="260"/>
      </w:pPr>
      <w:r>
        <w:rPr>
          <w:rFonts w:ascii="Arial" w:cs="Arial" w:eastAsia="Arial" w:hAnsi="Arial"/>
          <w:color w:val="333333"/>
          <w:sz w:val="22"/>
          <w:szCs w:val="22"/>
        </w:rPr>
        <w:t xml:space="preserve">Design expansion playbooks for three growth paths: additional units in the same facility, deployment to new facilities within the same enterprise, and new use cases for the existing fleet</w:t>
      </w:r>
    </w:p>
    <w:p>
      <w:pPr>
        <w:pStyle w:val="ListParagraph"/>
        <w:numPr>
          <w:ilvl w:val="0"/>
          <w:numId w:val="2"/>
        </w:numPr>
        <w:spacing w:after="60" w:line="260"/>
      </w:pPr>
      <w:r>
        <w:rPr>
          <w:rFonts w:ascii="Arial" w:cs="Arial" w:eastAsia="Arial" w:hAnsi="Arial"/>
          <w:color w:val="333333"/>
          <w:sz w:val="22"/>
          <w:szCs w:val="22"/>
        </w:rPr>
        <w:t xml:space="preserve">Create an internal business case library: templates and data packages that help your customer’s internal champion justify expansion to their buying committee</w:t>
      </w:r>
    </w:p>
    <w:p>
      <w:pPr>
        <w:pStyle w:val="ListParagraph"/>
        <w:numPr>
          <w:ilvl w:val="0"/>
          <w:numId w:val="2"/>
        </w:numPr>
        <w:spacing w:after="60" w:line="260"/>
      </w:pPr>
      <w:r>
        <w:rPr>
          <w:rFonts w:ascii="Arial" w:cs="Arial" w:eastAsia="Arial" w:hAnsi="Arial"/>
          <w:color w:val="333333"/>
          <w:sz w:val="22"/>
          <w:szCs w:val="22"/>
        </w:rPr>
        <w:t xml:space="preserve">Build post-deployment ROI documentation: structured capture of measurable customer outcomes (productivity gains, cost savings, quality improvements) that becomes proof material for expansion and for future sales</w:t>
      </w:r>
    </w:p>
    <w:p>
      <w:pPr>
        <w:pStyle w:val="ListParagraph"/>
        <w:numPr>
          <w:ilvl w:val="0"/>
          <w:numId w:val="2"/>
        </w:numPr>
        <w:spacing w:after="60" w:line="260"/>
      </w:pPr>
      <w:r>
        <w:rPr>
          <w:rFonts w:ascii="Arial" w:cs="Arial" w:eastAsia="Arial" w:hAnsi="Arial"/>
          <w:color w:val="333333"/>
          <w:sz w:val="22"/>
          <w:szCs w:val="22"/>
        </w:rPr>
        <w:t xml:space="preserve">Set up Net Revenue Retention tracking: dashboard visibility into account-level growth, churn risk, and expansion pipeline across your entire customer base</w:t>
      </w:r>
    </w:p>
    <w:p>
      <w:pPr>
        <w:pStyle w:val="ListParagraph"/>
        <w:numPr>
          <w:ilvl w:val="0"/>
          <w:numId w:val="2"/>
        </w:numPr>
        <w:spacing w:after="60" w:line="260"/>
      </w:pPr>
      <w:r>
        <w:rPr>
          <w:rFonts w:ascii="Arial" w:cs="Arial" w:eastAsia="Arial" w:hAnsi="Arial"/>
          <w:color w:val="333333"/>
          <w:sz w:val="22"/>
          <w:szCs w:val="22"/>
        </w:rPr>
        <w:t xml:space="preserve">Conduct monthly deployment review meetings: structured analysis of all active deployments, health scores, and conversion probabilities, with intervention decisions for at-risk accounts</w:t>
      </w:r>
    </w:p>
    <w:p>
      <w:pPr>
        <w:spacing w:after="120"/>
      </w:pPr>
    </w:p>
    <w:p>
      <w:pPr>
        <w:pStyle w:val="Heading2"/>
      </w:pPr>
      <w:r>
        <w:rPr>
          <w:color w:val="1B2A4A"/>
        </w:rPr>
        <w:t xml:space="preserve">Phase D: Measure Everything and Optimize (Months 4–6)</w:t>
      </w:r>
    </w:p>
    <w:p>
      <w:pPr>
        <w:spacing w:after="160" w:line="276"/>
      </w:pPr>
      <w:r>
        <w:rPr>
          <w:rFonts w:ascii="Arial" w:cs="Arial" w:eastAsia="Arial" w:hAnsi="Arial"/>
          <w:i/>
          <w:iCs/>
          <w:color w:val="666666"/>
          <w:sz w:val="22"/>
          <w:szCs w:val="22"/>
        </w:rPr>
        <w:t xml:space="preserve">Goal: Know exactly which growth activities produce revenue, so you invest more in what works and eliminate what doesn’t.</w:t>
      </w:r>
    </w:p>
    <w:p>
      <w:pPr>
        <w:spacing w:after="40"/>
      </w:pPr>
    </w:p>
    <w:p>
      <w:pPr>
        <w:spacing w:after="160" w:line="276"/>
      </w:pPr>
      <w:r>
        <w:rPr>
          <w:rFonts w:ascii="Arial" w:cs="Arial" w:eastAsia="Arial" w:hAnsi="Arial"/>
          <w:b/>
          <w:bCs/>
          <w:color w:val="333333"/>
          <w:sz w:val="22"/>
          <w:szCs w:val="22"/>
        </w:rPr>
        <w:t xml:space="preserve">What I do for you:</w:t>
      </w:r>
    </w:p>
    <w:p>
      <w:pPr>
        <w:pStyle w:val="ListParagraph"/>
        <w:numPr>
          <w:ilvl w:val="0"/>
          <w:numId w:val="2"/>
        </w:numPr>
        <w:spacing w:after="60" w:line="260"/>
      </w:pPr>
      <w:r>
        <w:rPr>
          <w:rFonts w:ascii="Arial" w:cs="Arial" w:eastAsia="Arial" w:hAnsi="Arial"/>
          <w:color w:val="333333"/>
          <w:sz w:val="22"/>
          <w:szCs w:val="22"/>
        </w:rPr>
        <w:t xml:space="preserve">Build a multi-touch attribution architecture: weighted attribution across dozens of touchpoints in a 6–18-month sales cycle, accounting for stakeholder influence, touchpoint sequence, and time decay</w:t>
      </w:r>
    </w:p>
    <w:p>
      <w:pPr>
        <w:pStyle w:val="ListParagraph"/>
        <w:numPr>
          <w:ilvl w:val="0"/>
          <w:numId w:val="2"/>
        </w:numPr>
        <w:spacing w:after="60" w:line="260"/>
      </w:pPr>
      <w:r>
        <w:rPr>
          <w:rFonts w:ascii="Arial" w:cs="Arial" w:eastAsia="Arial" w:hAnsi="Arial"/>
          <w:color w:val="333333"/>
          <w:sz w:val="22"/>
          <w:szCs w:val="22"/>
        </w:rPr>
        <w:t xml:space="preserve">Create physical-digital attribution bridging: connect offline activities (trade show interactions, on-site demos, pilot deployments, field visits) to digital pipeline progression through structured data capture and CRM integration</w:t>
      </w:r>
    </w:p>
    <w:p>
      <w:pPr>
        <w:pStyle w:val="ListParagraph"/>
        <w:numPr>
          <w:ilvl w:val="0"/>
          <w:numId w:val="2"/>
        </w:numPr>
        <w:spacing w:after="60" w:line="260"/>
      </w:pPr>
      <w:r>
        <w:rPr>
          <w:rFonts w:ascii="Arial" w:cs="Arial" w:eastAsia="Arial" w:hAnsi="Arial"/>
          <w:color w:val="333333"/>
          <w:sz w:val="22"/>
          <w:szCs w:val="22"/>
        </w:rPr>
        <w:t xml:space="preserve">Build a closed-loop feedback system: connect the full journey from first marketing touch through closed deal to actual deployment outcome, so you know which growth activities produce the highest-value, longest-retained customers</w:t>
      </w:r>
    </w:p>
    <w:p>
      <w:pPr>
        <w:pStyle w:val="ListParagraph"/>
        <w:numPr>
          <w:ilvl w:val="0"/>
          <w:numId w:val="2"/>
        </w:numPr>
        <w:spacing w:after="60" w:line="260"/>
      </w:pPr>
      <w:r>
        <w:rPr>
          <w:rFonts w:ascii="Arial" w:cs="Arial" w:eastAsia="Arial" w:hAnsi="Arial"/>
          <w:color w:val="333333"/>
          <w:sz w:val="22"/>
          <w:szCs w:val="22"/>
        </w:rPr>
        <w:t xml:space="preserve">Deploy executive performance dashboards: pipeline generation by channel, stakeholder engagement by role, content performance by buying stage, conversion rates at each pipeline stage, and cost-per-qualified-lead by source</w:t>
      </w:r>
    </w:p>
    <w:p>
      <w:pPr>
        <w:pStyle w:val="ListParagraph"/>
        <w:numPr>
          <w:ilvl w:val="0"/>
          <w:numId w:val="2"/>
        </w:numPr>
        <w:spacing w:after="60" w:line="260"/>
      </w:pPr>
      <w:r>
        <w:rPr>
          <w:rFonts w:ascii="Arial" w:cs="Arial" w:eastAsia="Arial" w:hAnsi="Arial"/>
          <w:color w:val="333333"/>
          <w:sz w:val="22"/>
          <w:szCs w:val="22"/>
        </w:rPr>
        <w:t xml:space="preserve">Build deployment performance tracking: systematic measurement of actual robot performance against the projections used in the original business case</w:t>
      </w:r>
    </w:p>
    <w:p>
      <w:pPr>
        <w:pStyle w:val="ListParagraph"/>
        <w:numPr>
          <w:ilvl w:val="0"/>
          <w:numId w:val="2"/>
        </w:numPr>
        <w:spacing w:after="60" w:line="260"/>
      </w:pPr>
      <w:r>
        <w:rPr>
          <w:rFonts w:ascii="Arial" w:cs="Arial" w:eastAsia="Arial" w:hAnsi="Arial"/>
          <w:color w:val="333333"/>
          <w:sz w:val="22"/>
          <w:szCs w:val="22"/>
        </w:rPr>
        <w:t xml:space="preserve">Create customer outcome documentation: structured capture of verified results from every deployment, organized for use in future sales conversations</w:t>
      </w:r>
    </w:p>
    <w:p>
      <w:pPr>
        <w:pStyle w:val="ListParagraph"/>
        <w:numPr>
          <w:ilvl w:val="0"/>
          <w:numId w:val="2"/>
        </w:numPr>
        <w:spacing w:after="60" w:line="260"/>
      </w:pPr>
      <w:r>
        <w:rPr>
          <w:rFonts w:ascii="Arial" w:cs="Arial" w:eastAsia="Arial" w:hAnsi="Arial"/>
          <w:color w:val="333333"/>
          <w:sz w:val="22"/>
          <w:szCs w:val="22"/>
        </w:rPr>
        <w:t xml:space="preserve">Set up competitive win/loss analysis: structured post-deal reviews for both won and lost deals, identifying patterns in what drives wins and what causes losses</w:t>
      </w:r>
    </w:p>
    <w:p>
      <w:pPr>
        <w:pStyle w:val="ListParagraph"/>
        <w:numPr>
          <w:ilvl w:val="0"/>
          <w:numId w:val="2"/>
        </w:numPr>
        <w:spacing w:after="60" w:line="260"/>
      </w:pPr>
      <w:r>
        <w:rPr>
          <w:rFonts w:ascii="Arial" w:cs="Arial" w:eastAsia="Arial" w:hAnsi="Arial"/>
          <w:color w:val="333333"/>
          <w:sz w:val="22"/>
          <w:szCs w:val="22"/>
        </w:rPr>
        <w:t xml:space="preserve">Build a feedback pipeline from field operations to product, marketing, and sales: ensure insights from every customer interaction flow back into the organization rather than getting trapped in individual heads</w:t>
      </w:r>
    </w:p>
    <w:p>
      <w:pPr>
        <w:pStyle w:val="ListParagraph"/>
        <w:numPr>
          <w:ilvl w:val="0"/>
          <w:numId w:val="2"/>
        </w:numPr>
        <w:spacing w:after="60" w:line="260"/>
      </w:pPr>
      <w:r>
        <w:rPr>
          <w:rFonts w:ascii="Arial" w:cs="Arial" w:eastAsia="Arial" w:hAnsi="Arial"/>
          <w:color w:val="333333"/>
          <w:sz w:val="22"/>
          <w:szCs w:val="22"/>
        </w:rPr>
        <w:t xml:space="preserve">Design a quarterly business review package: a comprehensive report on growth operations performance that your leadership team can use for strategic planning and board reporting</w:t>
      </w:r>
    </w:p>
    <w:p>
      <w:pPr>
        <w:pStyle w:val="ListParagraph"/>
        <w:numPr>
          <w:ilvl w:val="0"/>
          <w:numId w:val="2"/>
        </w:numPr>
        <w:spacing w:after="60" w:line="260"/>
      </w:pPr>
      <w:r>
        <w:rPr>
          <w:rFonts w:ascii="Arial" w:cs="Arial" w:eastAsia="Arial" w:hAnsi="Arial"/>
          <w:color w:val="333333"/>
          <w:sz w:val="22"/>
          <w:szCs w:val="22"/>
        </w:rPr>
        <w:t xml:space="preserve">Conduct a full engagement retrospective and transition plan: document everything that was built, train your team on ongoing operation, and provide a maintenance guide for every system and process</w:t>
      </w:r>
    </w:p>
    <w:p>
      <w:r>
        <w:br w:type="page"/>
      </w:r>
    </w:p>
    <w:p>
      <w:pPr>
        <w:pStyle w:val="Heading1"/>
      </w:pPr>
      <w:r>
        <w:rPr>
          <w:color w:val="1B2A4A"/>
        </w:rPr>
        <w:t xml:space="preserve">Service 4: Field Operations &amp; Enterprise Scaling</w:t>
      </w:r>
    </w:p>
    <w:p>
      <w:pPr>
        <w:spacing w:after="60"/>
      </w:pPr>
      <w:r>
        <w:rPr>
          <w:rFonts w:ascii="Arial" w:cs="Arial" w:eastAsia="Arial" w:hAnsi="Arial"/>
          <w:b/>
          <w:bCs/>
          <w:color w:val="D4652F"/>
          <w:sz w:val="22"/>
          <w:szCs w:val="22"/>
        </w:rPr>
        <w:t xml:space="preserve">DOMINATE  </w:t>
      </w:r>
      <w:r>
        <w:rPr>
          <w:rFonts w:ascii="Arial" w:cs="Arial" w:eastAsia="Arial" w:hAnsi="Arial"/>
          <w:color w:val="333333"/>
          <w:sz w:val="22"/>
          <w:szCs w:val="22"/>
        </w:rPr>
        <w:t xml:space="preserve">|  €15,000–€25,000/month  |  Ongoing  |  Embedded operations partnership</w:t>
      </w:r>
    </w:p>
    <w:p>
      <w:pPr>
        <w:spacing w:after="80"/>
      </w:pPr>
    </w:p>
    <w:p>
      <w:pPr>
        <w:spacing w:after="160" w:line="276"/>
      </w:pPr>
      <w:r>
        <w:rPr>
          <w:rFonts w:ascii="Arial" w:cs="Arial" w:eastAsia="Arial" w:hAnsi="Arial"/>
          <w:b/>
          <w:bCs/>
          <w:color w:val="333333"/>
          <w:sz w:val="22"/>
          <w:szCs w:val="22"/>
        </w:rPr>
        <w:t xml:space="preserve">The outcome: </w:t>
      </w:r>
      <w:r>
        <w:rPr>
          <w:rFonts w:ascii="Arial" w:cs="Arial" w:eastAsia="Arial" w:hAnsi="Arial"/>
          <w:color w:val="333333"/>
          <w:sz w:val="22"/>
          <w:szCs w:val="22"/>
        </w:rPr>
        <w:t xml:space="preserve">Your field operations scale from dozens to hundreds of deployments without breaking. Service quality stays consistent. Every field visit generates intelligence that makes the next deployment faster and cheaper. Your growth engine becomes self-reinforcing.</w:t>
      </w:r>
    </w:p>
    <w:p>
      <w:pPr>
        <w:spacing w:after="60"/>
      </w:pPr>
    </w:p>
    <w:p>
      <w:pPr>
        <w:spacing w:after="160" w:line="276"/>
      </w:pPr>
      <w:r>
        <w:rPr>
          <w:rFonts w:ascii="Arial" w:cs="Arial" w:eastAsia="Arial" w:hAnsi="Arial"/>
          <w:color w:val="333333"/>
          <w:sz w:val="22"/>
          <w:szCs w:val="22"/>
        </w:rPr>
        <w:t xml:space="preserve">This stage is available only to clients who have completed Service 3. By this point, I understand your business deeply, your team trusts the process, and we’re optimizing a machine that’s already running.</w:t>
      </w:r>
    </w:p>
    <w:p>
      <w:pPr>
        <w:spacing w:after="40"/>
      </w:pPr>
    </w:p>
    <w:p>
      <w:pPr>
        <w:spacing w:after="160" w:line="276"/>
      </w:pPr>
      <w:r>
        <w:rPr>
          <w:rFonts w:ascii="Arial" w:cs="Arial" w:eastAsia="Arial" w:hAnsi="Arial"/>
          <w:b/>
          <w:bCs/>
          <w:color w:val="333333"/>
          <w:sz w:val="22"/>
          <w:szCs w:val="22"/>
        </w:rPr>
        <w:t xml:space="preserve">What I do for you:</w:t>
      </w:r>
    </w:p>
    <w:p>
      <w:pPr>
        <w:pStyle w:val="ListParagraph"/>
        <w:numPr>
          <w:ilvl w:val="0"/>
          <w:numId w:val="2"/>
        </w:numPr>
        <w:spacing w:after="60" w:line="260"/>
      </w:pPr>
      <w:r>
        <w:rPr>
          <w:rFonts w:ascii="Arial" w:cs="Arial" w:eastAsia="Arial" w:hAnsi="Arial"/>
          <w:color w:val="333333"/>
          <w:sz w:val="22"/>
          <w:szCs w:val="22"/>
        </w:rPr>
        <w:t xml:space="preserve">Design and implement a field service operations framework: complete scheduling, dispatch, and routing optimization that balances customer urgency, technician expertise, geographic efficiency, and preventive maintenance windows</w:t>
      </w:r>
    </w:p>
    <w:p>
      <w:pPr>
        <w:pStyle w:val="ListParagraph"/>
        <w:numPr>
          <w:ilvl w:val="0"/>
          <w:numId w:val="2"/>
        </w:numPr>
        <w:spacing w:after="60" w:line="260"/>
      </w:pPr>
      <w:r>
        <w:rPr>
          <w:rFonts w:ascii="Arial" w:cs="Arial" w:eastAsia="Arial" w:hAnsi="Arial"/>
          <w:color w:val="333333"/>
          <w:sz w:val="22"/>
          <w:szCs w:val="22"/>
        </w:rPr>
        <w:t xml:space="preserve">Write standardized SOPs for every field operation: installation, calibration, preventive maintenance, corrective maintenance, software updates, and customer training — ensuring consistent quality regardless of which technician performs the work</w:t>
      </w:r>
    </w:p>
    <w:p>
      <w:pPr>
        <w:pStyle w:val="ListParagraph"/>
        <w:numPr>
          <w:ilvl w:val="0"/>
          <w:numId w:val="2"/>
        </w:numPr>
        <w:spacing w:after="60" w:line="260"/>
      </w:pPr>
      <w:r>
        <w:rPr>
          <w:rFonts w:ascii="Arial" w:cs="Arial" w:eastAsia="Arial" w:hAnsi="Arial"/>
          <w:color w:val="333333"/>
          <w:sz w:val="22"/>
          <w:szCs w:val="22"/>
        </w:rPr>
        <w:t xml:space="preserve">Build a knowledge capture and transfer system: structured processes for extracting operational knowledge from experienced field engineers and encoding it into training materials, decision trees, and troubleshooting guides for new hires</w:t>
      </w:r>
    </w:p>
    <w:p>
      <w:pPr>
        <w:pStyle w:val="ListParagraph"/>
        <w:numPr>
          <w:ilvl w:val="0"/>
          <w:numId w:val="2"/>
        </w:numPr>
        <w:spacing w:after="60" w:line="260"/>
      </w:pPr>
      <w:r>
        <w:rPr>
          <w:rFonts w:ascii="Arial" w:cs="Arial" w:eastAsia="Arial" w:hAnsi="Arial"/>
          <w:color w:val="333333"/>
          <w:sz w:val="22"/>
          <w:szCs w:val="22"/>
        </w:rPr>
        <w:t xml:space="preserve">Create a quality assurance framework: post-visit evaluation systems that measure service quality, identify skill gaps, and trigger targeted retraining before small issues become patterns</w:t>
      </w:r>
    </w:p>
    <w:p>
      <w:pPr>
        <w:pStyle w:val="ListParagraph"/>
        <w:numPr>
          <w:ilvl w:val="0"/>
          <w:numId w:val="2"/>
        </w:numPr>
        <w:spacing w:after="60" w:line="260"/>
      </w:pPr>
      <w:r>
        <w:rPr>
          <w:rFonts w:ascii="Arial" w:cs="Arial" w:eastAsia="Arial" w:hAnsi="Arial"/>
          <w:color w:val="333333"/>
          <w:sz w:val="22"/>
          <w:szCs w:val="22"/>
        </w:rPr>
        <w:t xml:space="preserve">Design predictive maintenance operations: combine robot telemetry data with deployment knowledge base patterns to predict which units need service and when — reducing downtime, improving satisfaction, and optimizing technician utilization</w:t>
      </w:r>
    </w:p>
    <w:p>
      <w:pPr>
        <w:pStyle w:val="ListParagraph"/>
        <w:numPr>
          <w:ilvl w:val="0"/>
          <w:numId w:val="2"/>
        </w:numPr>
        <w:spacing w:after="60" w:line="260"/>
      </w:pPr>
      <w:r>
        <w:rPr>
          <w:rFonts w:ascii="Arial" w:cs="Arial" w:eastAsia="Arial" w:hAnsi="Arial"/>
          <w:color w:val="333333"/>
          <w:sz w:val="22"/>
          <w:szCs w:val="22"/>
        </w:rPr>
        <w:t xml:space="preserve">Build a deployment knowledge base: a structured repository capturing the operational reality of every customer deployment — facility characteristics, integration configurations, timelines, issues encountered, and outcomes achieved</w:t>
      </w:r>
    </w:p>
    <w:p>
      <w:pPr>
        <w:pStyle w:val="ListParagraph"/>
        <w:numPr>
          <w:ilvl w:val="0"/>
          <w:numId w:val="2"/>
        </w:numPr>
        <w:spacing w:after="60" w:line="260"/>
      </w:pPr>
      <w:r>
        <w:rPr>
          <w:rFonts w:ascii="Arial" w:cs="Arial" w:eastAsia="Arial" w:hAnsi="Arial"/>
          <w:color w:val="333333"/>
          <w:sz w:val="22"/>
          <w:szCs w:val="22"/>
        </w:rPr>
        <w:t xml:space="preserve">Create a field-to-product feedback pipeline: structured system for routing field insights to product development, sales, marketing, and leadership — so every field visit improves the product and the sales process</w:t>
      </w:r>
    </w:p>
    <w:p>
      <w:pPr>
        <w:pStyle w:val="ListParagraph"/>
        <w:numPr>
          <w:ilvl w:val="0"/>
          <w:numId w:val="2"/>
        </w:numPr>
        <w:spacing w:after="60" w:line="260"/>
      </w:pPr>
      <w:r>
        <w:rPr>
          <w:rFonts w:ascii="Arial" w:cs="Arial" w:eastAsia="Arial" w:hAnsi="Arial"/>
          <w:color w:val="333333"/>
          <w:sz w:val="22"/>
          <w:szCs w:val="22"/>
        </w:rPr>
        <w:t xml:space="preserve">Build competitive deployment benchmarking: anonymized, aggregated performance data across all deployments that your sales team can use to answer “What results should we expect?” with verified data instead of cherry-picked case studies</w:t>
      </w:r>
    </w:p>
    <w:p>
      <w:pPr>
        <w:pStyle w:val="ListParagraph"/>
        <w:numPr>
          <w:ilvl w:val="0"/>
          <w:numId w:val="2"/>
        </w:numPr>
        <w:spacing w:after="60" w:line="260"/>
      </w:pPr>
      <w:r>
        <w:rPr>
          <w:rFonts w:ascii="Arial" w:cs="Arial" w:eastAsia="Arial" w:hAnsi="Arial"/>
          <w:color w:val="333333"/>
          <w:sz w:val="22"/>
          <w:szCs w:val="22"/>
        </w:rPr>
        <w:t xml:space="preserve">Design technician ramp-up programs: reduce time-to-competence for new field hires through structured onboarding tied to the knowledge base and SOPs</w:t>
      </w:r>
    </w:p>
    <w:p>
      <w:pPr>
        <w:pStyle w:val="ListParagraph"/>
        <w:numPr>
          <w:ilvl w:val="0"/>
          <w:numId w:val="2"/>
        </w:numPr>
        <w:spacing w:after="60" w:line="260"/>
      </w:pPr>
      <w:r>
        <w:rPr>
          <w:rFonts w:ascii="Arial" w:cs="Arial" w:eastAsia="Arial" w:hAnsi="Arial"/>
          <w:color w:val="333333"/>
          <w:sz w:val="22"/>
          <w:szCs w:val="22"/>
        </w:rPr>
        <w:t xml:space="preserve">Build field operations dashboards: first-time fix rate, mean time to resolution, technician utilization, preventive-to-reactive maintenance ratio, and customer satisfaction scores — all in real time</w:t>
      </w:r>
    </w:p>
    <w:p>
      <w:pPr>
        <w:pStyle w:val="ListParagraph"/>
        <w:numPr>
          <w:ilvl w:val="0"/>
          <w:numId w:val="2"/>
        </w:numPr>
        <w:spacing w:after="60" w:line="260"/>
      </w:pPr>
      <w:r>
        <w:rPr>
          <w:rFonts w:ascii="Arial" w:cs="Arial" w:eastAsia="Arial" w:hAnsi="Arial"/>
          <w:color w:val="333333"/>
          <w:sz w:val="22"/>
          <w:szCs w:val="22"/>
        </w:rPr>
        <w:t xml:space="preserve">Conduct ongoing optimization cycles: monthly analysis of field operations data to identify bottlenecks, improve processes, and reduce costs as deployment volume grows</w:t>
      </w:r>
    </w:p>
    <w:p>
      <w:r>
        <w:br w:type="page"/>
      </w:r>
    </w:p>
    <w:p>
      <w:pPr>
        <w:pStyle w:val="Heading1"/>
      </w:pPr>
      <w:r>
        <w:rPr>
          <w:color w:val="1B2A4A"/>
        </w:rPr>
        <w:t xml:space="preserve">Who This Is For</w:t>
      </w:r>
    </w:p>
    <w:p>
      <w:pPr>
        <w:spacing w:after="80"/>
      </w:pPr>
    </w:p>
    <w:p>
      <w:pPr>
        <w:spacing w:after="160" w:line="276"/>
      </w:pPr>
      <w:r>
        <w:rPr>
          <w:rFonts w:ascii="Arial" w:cs="Arial" w:eastAsia="Arial" w:hAnsi="Arial"/>
          <w:color w:val="333333"/>
          <w:sz w:val="22"/>
          <w:szCs w:val="22"/>
        </w:rPr>
        <w:t xml:space="preserve">This package works best for robotics and industrial automation companies at a specific stage: your technology is proven, your first customers are happy, but your growth is hitting a ceiling you can’t push through by hiring more engineers.</w:t>
      </w:r>
    </w:p>
    <w:p>
      <w:pPr>
        <w:spacing w:after="60"/>
      </w:pPr>
    </w:p>
    <w:p>
      <w:pPr>
        <w:pStyle w:val="Heading2"/>
      </w:pPr>
      <w:r>
        <w:rPr>
          <w:color w:val="1B2A4A"/>
        </w:rPr>
        <w:t xml:space="preserve">You Are a Good Fit If</w:t>
      </w:r>
    </w:p>
    <w:p>
      <w:pPr>
        <w:spacing w:after="40"/>
      </w:pPr>
    </w:p>
    <w:p>
      <w:pPr>
        <w:pStyle w:val="ListParagraph"/>
        <w:numPr>
          <w:ilvl w:val="0"/>
          <w:numId w:val="2"/>
        </w:numPr>
        <w:spacing w:after="60" w:line="260"/>
      </w:pPr>
      <w:r>
        <w:rPr>
          <w:rFonts w:ascii="Arial" w:cs="Arial" w:eastAsia="Arial" w:hAnsi="Arial"/>
          <w:color w:val="333333"/>
          <w:sz w:val="22"/>
          <w:szCs w:val="22"/>
        </w:rPr>
        <w:t xml:space="preserve">You sell physical robots or automation systems to enterprise customers, typically with a software component (fleet management, analytics, integration layer)</w:t>
      </w:r>
    </w:p>
    <w:p>
      <w:pPr>
        <w:pStyle w:val="ListParagraph"/>
        <w:numPr>
          <w:ilvl w:val="0"/>
          <w:numId w:val="2"/>
        </w:numPr>
        <w:spacing w:after="60" w:line="260"/>
      </w:pPr>
      <w:r>
        <w:rPr>
          <w:rFonts w:ascii="Arial" w:cs="Arial" w:eastAsia="Arial" w:hAnsi="Arial"/>
          <w:color w:val="333333"/>
          <w:sz w:val="22"/>
          <w:szCs w:val="22"/>
        </w:rPr>
        <w:t xml:space="preserve">Your average deal size is €50K–€500K+ with sales cycles of 6–18 months</w:t>
      </w:r>
    </w:p>
    <w:p>
      <w:pPr>
        <w:pStyle w:val="ListParagraph"/>
        <w:numPr>
          <w:ilvl w:val="0"/>
          <w:numId w:val="2"/>
        </w:numPr>
        <w:spacing w:after="60" w:line="260"/>
      </w:pPr>
      <w:r>
        <w:rPr>
          <w:rFonts w:ascii="Arial" w:cs="Arial" w:eastAsia="Arial" w:hAnsi="Arial"/>
          <w:color w:val="333333"/>
          <w:sz w:val="22"/>
          <w:szCs w:val="22"/>
        </w:rPr>
        <w:t xml:space="preserve">You have at least 3 reference deployments with measurable outcomes you can point to</w:t>
      </w:r>
    </w:p>
    <w:p>
      <w:pPr>
        <w:pStyle w:val="ListParagraph"/>
        <w:numPr>
          <w:ilvl w:val="0"/>
          <w:numId w:val="2"/>
        </w:numPr>
        <w:spacing w:after="60" w:line="260"/>
      </w:pPr>
      <w:r>
        <w:rPr>
          <w:rFonts w:ascii="Arial" w:cs="Arial" w:eastAsia="Arial" w:hAnsi="Arial"/>
          <w:color w:val="333333"/>
          <w:sz w:val="22"/>
          <w:szCs w:val="22"/>
        </w:rPr>
        <w:t xml:space="preserve">You have revenue between €2M and €50M, with 10–200 active deployments</w:t>
      </w:r>
    </w:p>
    <w:p>
      <w:pPr>
        <w:pStyle w:val="ListParagraph"/>
        <w:numPr>
          <w:ilvl w:val="0"/>
          <w:numId w:val="2"/>
        </w:numPr>
        <w:spacing w:after="60" w:line="260"/>
      </w:pPr>
      <w:r>
        <w:rPr>
          <w:rFonts w:ascii="Arial" w:cs="Arial" w:eastAsia="Arial" w:hAnsi="Arial"/>
          <w:color w:val="333333"/>
          <w:sz w:val="22"/>
          <w:szCs w:val="22"/>
        </w:rPr>
        <w:t xml:space="preserve">You currently depend heavily on trade shows, founder-led sales, or referrals for pipeline generation</w:t>
      </w:r>
    </w:p>
    <w:p>
      <w:pPr>
        <w:pStyle w:val="ListParagraph"/>
        <w:numPr>
          <w:ilvl w:val="0"/>
          <w:numId w:val="2"/>
        </w:numPr>
        <w:spacing w:after="60" w:line="260"/>
      </w:pPr>
      <w:r>
        <w:rPr>
          <w:rFonts w:ascii="Arial" w:cs="Arial" w:eastAsia="Arial" w:hAnsi="Arial"/>
          <w:color w:val="333333"/>
          <w:sz w:val="22"/>
          <w:szCs w:val="22"/>
        </w:rPr>
        <w:t xml:space="preserve">Your pilot-to-production conversion rate is below where you want it</w:t>
      </w:r>
    </w:p>
    <w:p>
      <w:pPr>
        <w:pStyle w:val="ListParagraph"/>
        <w:numPr>
          <w:ilvl w:val="0"/>
          <w:numId w:val="2"/>
        </w:numPr>
        <w:spacing w:after="60" w:line="260"/>
      </w:pPr>
      <w:r>
        <w:rPr>
          <w:rFonts w:ascii="Arial" w:cs="Arial" w:eastAsia="Arial" w:hAnsi="Arial"/>
          <w:color w:val="333333"/>
          <w:sz w:val="22"/>
          <w:szCs w:val="22"/>
        </w:rPr>
        <w:t xml:space="preserve">You have a dedicated sales function (even if small) beyond just the founder</w:t>
      </w:r>
    </w:p>
    <w:p>
      <w:pPr>
        <w:spacing w:after="100"/>
      </w:pPr>
    </w:p>
    <w:p>
      <w:pPr>
        <w:pStyle w:val="Heading2"/>
      </w:pPr>
      <w:r>
        <w:rPr>
          <w:color w:val="1B2A4A"/>
        </w:rPr>
        <w:t xml:space="preserve">Best-Fit Segments</w:t>
      </w:r>
    </w:p>
    <w:p>
      <w:pPr>
        <w:spacing w:after="4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4026"/>
        <w:gridCol w:w="3000"/>
      </w:tblGrid>
      <w:tr>
        <w:tc>
          <w:tcPr>
            <w:tcW w:type="dxa" w:w="2000"/>
            <w:tcBorders>
              <w:top w:val="single" w:color="CCCCCC" w:sz="1"/>
              <w:left w:val="single" w:color="CCCCCC" w:sz="1"/>
              <w:bottom w:val="single" w:color="CCCCCC" w:sz="1"/>
              <w:right w:val="single" w:color="CCCCCC" w:sz="1"/>
            </w:tcBorders>
            <w:shd w:fill="1B2A4A" w:val="clear"/>
            <w:tcMar>
              <w:top w:type="dxa" w:w="100"/>
              <w:left w:type="dxa" w:w="150"/>
              <w:bottom w:type="dxa" w:w="100"/>
              <w:right w:type="dxa" w:w="150"/>
            </w:tcMar>
          </w:tcPr>
          <w:p>
            <w:pPr>
              <w:spacing w:after="40"/>
            </w:pPr>
            <w:r>
              <w:rPr>
                <w:rFonts w:ascii="Arial" w:cs="Arial" w:eastAsia="Arial" w:hAnsi="Arial"/>
                <w:b/>
                <w:bCs/>
                <w:color w:val="FFFFFF"/>
                <w:sz w:val="20"/>
                <w:szCs w:val="20"/>
              </w:rPr>
              <w:t xml:space="preserve">SEGMENT</w:t>
            </w:r>
          </w:p>
        </w:tc>
        <w:tc>
          <w:tcPr>
            <w:tcW w:type="dxa" w:w="4026"/>
            <w:tcBorders>
              <w:top w:val="single" w:color="CCCCCC" w:sz="1"/>
              <w:left w:val="single" w:color="CCCCCC" w:sz="1"/>
              <w:bottom w:val="single" w:color="CCCCCC" w:sz="1"/>
              <w:right w:val="single" w:color="CCCCCC" w:sz="1"/>
            </w:tcBorders>
            <w:shd w:fill="1B2A4A" w:val="clear"/>
            <w:tcMar>
              <w:top w:type="dxa" w:w="100"/>
              <w:left w:type="dxa" w:w="150"/>
              <w:bottom w:type="dxa" w:w="100"/>
              <w:right w:type="dxa" w:w="150"/>
            </w:tcMar>
          </w:tcPr>
          <w:p>
            <w:pPr>
              <w:spacing w:after="40"/>
            </w:pPr>
            <w:r>
              <w:rPr>
                <w:rFonts w:ascii="Arial" w:cs="Arial" w:eastAsia="Arial" w:hAnsi="Arial"/>
                <w:b/>
                <w:bCs/>
                <w:color w:val="FFFFFF"/>
                <w:sz w:val="20"/>
                <w:szCs w:val="20"/>
              </w:rPr>
              <w:t xml:space="preserve">WHY IT’S A FIT</w:t>
            </w:r>
          </w:p>
        </w:tc>
        <w:tc>
          <w:tcPr>
            <w:tcW w:type="dxa" w:w="3000"/>
            <w:tcBorders>
              <w:top w:val="single" w:color="CCCCCC" w:sz="1"/>
              <w:left w:val="single" w:color="CCCCCC" w:sz="1"/>
              <w:bottom w:val="single" w:color="CCCCCC" w:sz="1"/>
              <w:right w:val="single" w:color="CCCCCC" w:sz="1"/>
            </w:tcBorders>
            <w:shd w:fill="1B2A4A" w:val="clear"/>
            <w:tcMar>
              <w:top w:type="dxa" w:w="100"/>
              <w:left w:type="dxa" w:w="150"/>
              <w:bottom w:type="dxa" w:w="100"/>
              <w:right w:type="dxa" w:w="150"/>
            </w:tcMar>
          </w:tcPr>
          <w:p>
            <w:pPr>
              <w:spacing w:after="40"/>
            </w:pPr>
            <w:r>
              <w:rPr>
                <w:rFonts w:ascii="Arial" w:cs="Arial" w:eastAsia="Arial" w:hAnsi="Arial"/>
                <w:b/>
                <w:bCs/>
                <w:color w:val="FFFFFF"/>
                <w:sz w:val="20"/>
                <w:szCs w:val="20"/>
              </w:rPr>
              <w:t xml:space="preserve">PRIMARY PAIN POINT</w:t>
            </w:r>
          </w:p>
        </w:tc>
      </w:tr>
      <w:tr>
        <w:tc>
          <w:tcPr>
            <w:tcW w:type="dxa" w:w="2000"/>
            <w:tcBorders>
              <w:top w:val="single" w:color="CCCCCC" w:sz="1"/>
              <w:left w:val="single" w:color="CCCCCC" w:sz="1"/>
              <w:bottom w:val="single" w:color="CCCCCC" w:sz="1"/>
              <w:right w:val="single" w:color="CCCCCC" w:sz="1"/>
            </w:tcBorders>
            <w:shd w:fill="F2F2F2"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Collaborative robots (cobots)</w:t>
            </w:r>
          </w:p>
        </w:tc>
        <w:tc>
          <w:tcPr>
            <w:tcW w:type="dxa" w:w="4026"/>
            <w:tcBorders>
              <w:top w:val="single" w:color="CCCCCC" w:sz="1"/>
              <w:left w:val="single" w:color="CCCCCC" w:sz="1"/>
              <w:bottom w:val="single" w:color="CCCCCC" w:sz="1"/>
              <w:right w:val="single" w:color="CCCCCC" w:sz="1"/>
            </w:tcBorders>
            <w:shd w:fill="F2F2F2"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Fastest-growing segment; buyers often evaluating automation for the first time; need education-heavy sales process</w:t>
            </w:r>
          </w:p>
        </w:tc>
        <w:tc>
          <w:tcPr>
            <w:tcW w:type="dxa" w:w="3000"/>
            <w:tcBorders>
              <w:top w:val="single" w:color="CCCCCC" w:sz="1"/>
              <w:left w:val="single" w:color="CCCCCC" w:sz="1"/>
              <w:bottom w:val="single" w:color="CCCCCC" w:sz="1"/>
              <w:right w:val="single" w:color="CCCCCC" w:sz="1"/>
            </w:tcBorders>
            <w:shd w:fill="F2F2F2"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Long sales cycles with first-time buyers who need hand-holding through complex evaluation</w:t>
            </w:r>
          </w:p>
        </w:tc>
      </w:tr>
      <w:tr>
        <w:tc>
          <w:tcPr>
            <w:tcW w:type="dxa" w:w="20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Warehouse &amp; logistics automation</w:t>
            </w:r>
          </w:p>
        </w:tc>
        <w:tc>
          <w:tcPr>
            <w:tcW w:type="dxa" w:w="4026"/>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Booming from e-commerce growth; clear ROI metrics; well-defined integration requirements (WMS, ERP)</w:t>
            </w:r>
          </w:p>
        </w:tc>
        <w:tc>
          <w:tcPr>
            <w:tcW w:type="dxa" w:w="30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Integration nightmares with legacy systems; RaaS scaling challenges</w:t>
            </w:r>
          </w:p>
        </w:tc>
      </w:tr>
      <w:tr>
        <w:tc>
          <w:tcPr>
            <w:tcW w:type="dxa" w:w="2000"/>
            <w:tcBorders>
              <w:top w:val="single" w:color="CCCCCC" w:sz="1"/>
              <w:left w:val="single" w:color="CCCCCC" w:sz="1"/>
              <w:bottom w:val="single" w:color="CCCCCC" w:sz="1"/>
              <w:right w:val="single" w:color="CCCCCC" w:sz="1"/>
            </w:tcBorders>
            <w:shd w:fill="F2F2F2"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Vision systems &amp; AI inspection</w:t>
            </w:r>
          </w:p>
        </w:tc>
        <w:tc>
          <w:tcPr>
            <w:tcW w:type="dxa" w:w="4026"/>
            <w:tcBorders>
              <w:top w:val="single" w:color="CCCCCC" w:sz="1"/>
              <w:left w:val="single" w:color="CCCCCC" w:sz="1"/>
              <w:bottom w:val="single" w:color="CCCCCC" w:sz="1"/>
              <w:right w:val="single" w:color="CCCCCC" w:sz="1"/>
            </w:tcBorders>
            <w:shd w:fill="F2F2F2"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High ROI with relatively straightforward deployment; easy to quantify value</w:t>
            </w:r>
          </w:p>
        </w:tc>
        <w:tc>
          <w:tcPr>
            <w:tcW w:type="dxa" w:w="3000"/>
            <w:tcBorders>
              <w:top w:val="single" w:color="CCCCCC" w:sz="1"/>
              <w:left w:val="single" w:color="CCCCCC" w:sz="1"/>
              <w:bottom w:val="single" w:color="CCCCCC" w:sz="1"/>
              <w:right w:val="single" w:color="CCCCCC" w:sz="1"/>
            </w:tcBorders>
            <w:shd w:fill="F2F2F2"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Demonstrating ROI to non-technical stakeholders; scaling beyond early adopters</w:t>
            </w:r>
          </w:p>
        </w:tc>
      </w:tr>
      <w:tr>
        <w:tc>
          <w:tcPr>
            <w:tcW w:type="dxa" w:w="20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Industrial automation (general)</w:t>
            </w:r>
          </w:p>
        </w:tc>
        <w:tc>
          <w:tcPr>
            <w:tcW w:type="dxa" w:w="4026"/>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Established market with enterprise buyers; high deal values; long relationships</w:t>
            </w:r>
          </w:p>
        </w:tc>
        <w:tc>
          <w:tcPr>
            <w:tcW w:type="dxa" w:w="30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Trade show dependency; founder-led sales bottleneck; multi-stakeholder committee navigation</w:t>
            </w:r>
          </w:p>
        </w:tc>
      </w:tr>
    </w:tbl>
    <w:p>
      <w:pPr>
        <w:spacing w:after="120"/>
      </w:pPr>
    </w:p>
    <w:p>
      <w:pPr>
        <w:pStyle w:val="Heading2"/>
      </w:pPr>
      <w:r>
        <w:rPr>
          <w:color w:val="1B2A4A"/>
        </w:rPr>
        <w:t xml:space="preserve">This Is Not For You If</w:t>
      </w:r>
    </w:p>
    <w:p>
      <w:pPr>
        <w:spacing w:after="40"/>
      </w:pPr>
    </w:p>
    <w:p>
      <w:pPr>
        <w:pStyle w:val="ListParagraph"/>
        <w:numPr>
          <w:ilvl w:val="0"/>
          <w:numId w:val="2"/>
        </w:numPr>
        <w:spacing w:after="60" w:line="260"/>
      </w:pPr>
      <w:r>
        <w:rPr>
          <w:rFonts w:ascii="Arial" w:cs="Arial" w:eastAsia="Arial" w:hAnsi="Arial"/>
          <w:color w:val="333333"/>
          <w:sz w:val="22"/>
          <w:szCs w:val="22"/>
        </w:rPr>
        <w:t xml:space="preserve">You don’t have a repeatable product yet (still custom-engineering for each customer)</w:t>
      </w:r>
    </w:p>
    <w:p>
      <w:pPr>
        <w:pStyle w:val="ListParagraph"/>
        <w:numPr>
          <w:ilvl w:val="0"/>
          <w:numId w:val="2"/>
        </w:numPr>
        <w:spacing w:after="60" w:line="260"/>
      </w:pPr>
      <w:r>
        <w:rPr>
          <w:rFonts w:ascii="Arial" w:cs="Arial" w:eastAsia="Arial" w:hAnsi="Arial"/>
          <w:color w:val="333333"/>
          <w:sz w:val="22"/>
          <w:szCs w:val="22"/>
        </w:rPr>
        <w:t xml:space="preserve">You have fewer than 3 reference deployments with measurable outcomes</w:t>
      </w:r>
    </w:p>
    <w:p>
      <w:pPr>
        <w:pStyle w:val="ListParagraph"/>
        <w:numPr>
          <w:ilvl w:val="0"/>
          <w:numId w:val="2"/>
        </w:numPr>
        <w:spacing w:after="60" w:line="260"/>
      </w:pPr>
      <w:r>
        <w:rPr>
          <w:rFonts w:ascii="Arial" w:cs="Arial" w:eastAsia="Arial" w:hAnsi="Arial"/>
          <w:color w:val="333333"/>
          <w:sz w:val="22"/>
          <w:szCs w:val="22"/>
        </w:rPr>
        <w:t xml:space="preserve">You’re looking for a quick-fix lead generation campaign rather than building lasting capability</w:t>
      </w:r>
    </w:p>
    <w:p>
      <w:pPr>
        <w:pStyle w:val="ListParagraph"/>
        <w:numPr>
          <w:ilvl w:val="0"/>
          <w:numId w:val="2"/>
        </w:numPr>
        <w:spacing w:after="60" w:line="260"/>
      </w:pPr>
      <w:r>
        <w:rPr>
          <w:rFonts w:ascii="Arial" w:cs="Arial" w:eastAsia="Arial" w:hAnsi="Arial"/>
          <w:color w:val="333333"/>
          <w:sz w:val="22"/>
          <w:szCs w:val="22"/>
        </w:rPr>
        <w:t xml:space="preserve">Your product has reliability issues that would undermine any growth investment</w:t>
      </w:r>
    </w:p>
    <w:p>
      <w:r>
        <w:br w:type="page"/>
      </w:r>
    </w:p>
    <w:p>
      <w:pPr>
        <w:pStyle w:val="Heading1"/>
      </w:pPr>
      <w:r>
        <w:rPr>
          <w:color w:val="1B2A4A"/>
        </w:rPr>
        <w:t xml:space="preserve">Why Work With OpsEvolution</w:t>
      </w:r>
    </w:p>
    <w:p>
      <w:pPr>
        <w:spacing w:after="80"/>
      </w:pPr>
    </w:p>
    <w:p>
      <w:pPr>
        <w:spacing w:after="160" w:line="276"/>
      </w:pPr>
      <w:r>
        <w:rPr>
          <w:rFonts w:ascii="Arial" w:cs="Arial" w:eastAsia="Arial" w:hAnsi="Arial"/>
          <w:color w:val="333333"/>
          <w:sz w:val="22"/>
          <w:szCs w:val="22"/>
        </w:rPr>
        <w:t xml:space="preserve">This engagement sits at an intersection that almost nobody else occupies: deep growth operations expertise combined with genuine understanding of how robotics companies actually sell, deploy, and scale.</w:t>
      </w:r>
    </w:p>
    <w:p>
      <w:pPr>
        <w:spacing w:after="60"/>
      </w:pPr>
    </w:p>
    <w:p>
      <w:pPr>
        <w:pStyle w:val="Heading3"/>
      </w:pPr>
      <w:r>
        <w:rPr>
          <w:color w:val="2E75B6"/>
        </w:rPr>
        <w:t xml:space="preserve">This is not a marketing agency.</w:t>
      </w:r>
    </w:p>
    <w:p>
      <w:pPr>
        <w:spacing w:after="160" w:line="276"/>
      </w:pPr>
      <w:r>
        <w:rPr>
          <w:rFonts w:ascii="Arial" w:cs="Arial" w:eastAsia="Arial" w:hAnsi="Arial"/>
          <w:color w:val="333333"/>
          <w:sz w:val="22"/>
          <w:szCs w:val="22"/>
        </w:rPr>
        <w:t xml:space="preserve">Marketing agencies sell campaigns: content, ads, impressions, clicks. When the campaign ends, the results stop. What I build is permanent infrastructure your company owns — tools, systems, and processes that keep generating pipeline and converting deals for years after the engagement concludes.</w:t>
      </w:r>
    </w:p>
    <w:p>
      <w:pPr>
        <w:pStyle w:val="Heading3"/>
      </w:pPr>
      <w:r>
        <w:rPr>
          <w:color w:val="2E75B6"/>
        </w:rPr>
        <w:t xml:space="preserve">This is not a consulting firm.</w:t>
      </w:r>
    </w:p>
    <w:p>
      <w:pPr>
        <w:spacing w:after="160" w:line="276"/>
      </w:pPr>
      <w:r>
        <w:rPr>
          <w:rFonts w:ascii="Arial" w:cs="Arial" w:eastAsia="Arial" w:hAnsi="Arial"/>
          <w:color w:val="333333"/>
          <w:sz w:val="22"/>
          <w:szCs w:val="22"/>
        </w:rPr>
        <w:t xml:space="preserve">Consulting firms produce strategic recommendations in slide decks. I build and implement working systems: live ROI calculators, integrated CRM workflows, automated health scoring, operational playbooks your team uses every day. The engagement is measured by revenue impact, not by the quality of the advice.</w:t>
      </w:r>
    </w:p>
    <w:p>
      <w:pPr>
        <w:pStyle w:val="Heading3"/>
      </w:pPr>
      <w:r>
        <w:rPr>
          <w:color w:val="2E75B6"/>
        </w:rPr>
        <w:t xml:space="preserve">This is built for hardware-software companies, not SaaS.</w:t>
      </w:r>
    </w:p>
    <w:p>
      <w:pPr>
        <w:spacing w:after="160" w:line="276"/>
      </w:pPr>
      <w:r>
        <w:rPr>
          <w:rFonts w:ascii="Arial" w:cs="Arial" w:eastAsia="Arial" w:hAnsi="Arial"/>
          <w:color w:val="333333"/>
          <w:sz w:val="22"/>
          <w:szCs w:val="22"/>
        </w:rPr>
        <w:t xml:space="preserve">Most growth operations expertise was developed for pure software businesses. Robotics companies are not SaaS companies. Your customer journey includes facility assessments, pilot deployments, equipment installation, operator training, and ongoing maintenance. Your attribution needs to track trade show interactions alongside digital touchpoints. Your success metrics include uptime and productivity gains, not just MRR and NPS. Every tool and process I build accounts for this reality.</w:t>
      </w:r>
    </w:p>
    <w:p>
      <w:pPr>
        <w:spacing w:after="10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2E75B6" w:sz="1"/>
              <w:left w:val="single" w:color="2E75B6" w:sz="6"/>
              <w:bottom w:val="single" w:color="2E75B6" w:sz="1"/>
              <w:right w:val="single" w:color="2E75B6" w:sz="1"/>
            </w:tcBorders>
            <w:shd w:fill="D5E8F0" w:val="clear"/>
            <w:tcMar>
              <w:top w:type="dxa" w:w="160"/>
              <w:left w:type="dxa" w:w="220"/>
              <w:bottom w:type="dxa" w:w="160"/>
              <w:right w:type="dxa" w:w="220"/>
            </w:tcMar>
          </w:tcPr>
          <w:p>
            <w:pPr>
              <w:spacing w:after="80"/>
            </w:pPr>
            <w:r>
              <w:rPr>
                <w:rFonts w:ascii="Arial" w:cs="Arial" w:eastAsia="Arial" w:hAnsi="Arial"/>
                <w:b/>
                <w:bCs/>
                <w:color w:val="1B2A4A"/>
                <w:sz w:val="22"/>
                <w:szCs w:val="22"/>
              </w:rPr>
              <w:t xml:space="preserve">The Data-Driven Advantage</w:t>
            </w:r>
          </w:p>
          <w:p>
            <w:pPr>
              <w:spacing w:after="60" w:line="276"/>
            </w:pPr>
            <w:r>
              <w:rPr>
                <w:rFonts w:ascii="Arial" w:cs="Arial" w:eastAsia="Arial" w:hAnsi="Arial"/>
                <w:color w:val="333333"/>
                <w:sz w:val="22"/>
                <w:szCs w:val="22"/>
              </w:rPr>
              <w:t xml:space="preserve">Your buyers are technical professionals who trust specifications over marketing, data over storytelling, and evidence over emotion. Everything I build matches that reality: ROI calculators with real deployment data, integration architecture documentation, comparison matrices, and performance benchmarks. No fluff. No vanity metrics. Every asset is designed to move a specific stakeholder from one stage of the buying process to the next, with measurement at every transition.</w:t>
            </w:r>
          </w:p>
        </w:tc>
      </w:tr>
    </w:tbl>
    <w:p>
      <w:r>
        <w:br w:type="page"/>
      </w:r>
    </w:p>
    <w:p>
      <w:pPr>
        <w:pStyle w:val="Heading1"/>
      </w:pPr>
      <w:r>
        <w:rPr>
          <w:color w:val="1B2A4A"/>
        </w:rPr>
        <w:t xml:space="preserve">Getting Started</w:t>
      </w:r>
    </w:p>
    <w:p>
      <w:pPr>
        <w:spacing w:after="80"/>
      </w:pPr>
    </w:p>
    <w:p>
      <w:pPr>
        <w:spacing w:after="160" w:line="276"/>
      </w:pPr>
      <w:r>
        <w:rPr>
          <w:rFonts w:ascii="Arial" w:cs="Arial" w:eastAsia="Arial" w:hAnsi="Arial"/>
          <w:color w:val="333333"/>
          <w:sz w:val="22"/>
          <w:szCs w:val="22"/>
        </w:rPr>
        <w:t xml:space="preserve">The fastest path from this document to results:</w:t>
      </w:r>
    </w:p>
    <w:p>
      <w:pPr>
        <w:spacing w:after="6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800"/>
        <w:gridCol w:w="5826"/>
        <w:gridCol w:w="1400"/>
      </w:tblGrid>
      <w:tr>
        <w:tc>
          <w:tcPr>
            <w:tcW w:type="dxa" w:w="1800"/>
            <w:tcBorders>
              <w:top w:val="single" w:color="CCCCCC" w:sz="1"/>
              <w:left w:val="single" w:color="CCCCCC" w:sz="1"/>
              <w:bottom w:val="single" w:color="CCCCCC" w:sz="1"/>
              <w:right w:val="single" w:color="CCCCCC" w:sz="1"/>
            </w:tcBorders>
            <w:shd w:fill="1B2A4A" w:val="clear"/>
            <w:tcMar>
              <w:top w:type="dxa" w:w="100"/>
              <w:left w:type="dxa" w:w="150"/>
              <w:bottom w:type="dxa" w:w="100"/>
              <w:right w:type="dxa" w:w="150"/>
            </w:tcMar>
          </w:tcPr>
          <w:p>
            <w:pPr>
              <w:spacing w:after="40"/>
            </w:pPr>
            <w:r>
              <w:rPr>
                <w:rFonts w:ascii="Arial" w:cs="Arial" w:eastAsia="Arial" w:hAnsi="Arial"/>
                <w:b/>
                <w:bCs/>
                <w:color w:val="FFFFFF"/>
                <w:sz w:val="20"/>
                <w:szCs w:val="20"/>
              </w:rPr>
              <w:t xml:space="preserve">STEP</w:t>
            </w:r>
          </w:p>
        </w:tc>
        <w:tc>
          <w:tcPr>
            <w:tcW w:type="dxa" w:w="5826"/>
            <w:tcBorders>
              <w:top w:val="single" w:color="CCCCCC" w:sz="1"/>
              <w:left w:val="single" w:color="CCCCCC" w:sz="1"/>
              <w:bottom w:val="single" w:color="CCCCCC" w:sz="1"/>
              <w:right w:val="single" w:color="CCCCCC" w:sz="1"/>
            </w:tcBorders>
            <w:shd w:fill="1B2A4A" w:val="clear"/>
            <w:tcMar>
              <w:top w:type="dxa" w:w="100"/>
              <w:left w:type="dxa" w:w="150"/>
              <w:bottom w:type="dxa" w:w="100"/>
              <w:right w:type="dxa" w:w="150"/>
            </w:tcMar>
          </w:tcPr>
          <w:p>
            <w:pPr>
              <w:spacing w:after="40"/>
            </w:pPr>
            <w:r>
              <w:rPr>
                <w:rFonts w:ascii="Arial" w:cs="Arial" w:eastAsia="Arial" w:hAnsi="Arial"/>
                <w:b/>
                <w:bCs/>
                <w:color w:val="FFFFFF"/>
                <w:sz w:val="20"/>
                <w:szCs w:val="20"/>
              </w:rPr>
              <w:t xml:space="preserve">WHAT HAPPENS</w:t>
            </w:r>
          </w:p>
        </w:tc>
        <w:tc>
          <w:tcPr>
            <w:tcW w:type="dxa" w:w="1400"/>
            <w:tcBorders>
              <w:top w:val="single" w:color="CCCCCC" w:sz="1"/>
              <w:left w:val="single" w:color="CCCCCC" w:sz="1"/>
              <w:bottom w:val="single" w:color="CCCCCC" w:sz="1"/>
              <w:right w:val="single" w:color="CCCCCC" w:sz="1"/>
            </w:tcBorders>
            <w:shd w:fill="1B2A4A" w:val="clear"/>
            <w:tcMar>
              <w:top w:type="dxa" w:w="100"/>
              <w:left w:type="dxa" w:w="150"/>
              <w:bottom w:type="dxa" w:w="100"/>
              <w:right w:type="dxa" w:w="150"/>
            </w:tcMar>
          </w:tcPr>
          <w:p>
            <w:pPr>
              <w:spacing w:after="40"/>
            </w:pPr>
            <w:r>
              <w:rPr>
                <w:rFonts w:ascii="Arial" w:cs="Arial" w:eastAsia="Arial" w:hAnsi="Arial"/>
                <w:b/>
                <w:bCs/>
                <w:color w:val="FFFFFF"/>
                <w:sz w:val="20"/>
                <w:szCs w:val="20"/>
              </w:rPr>
              <w:t xml:space="preserve">TIME</w:t>
            </w:r>
          </w:p>
        </w:tc>
      </w:tr>
      <w:tr>
        <w:tc>
          <w:tcPr>
            <w:tcW w:type="dxa" w:w="1800"/>
            <w:tcBorders>
              <w:top w:val="single" w:color="CCCCCC" w:sz="1"/>
              <w:left w:val="single" w:color="CCCCCC" w:sz="1"/>
              <w:bottom w:val="single" w:color="CCCCCC" w:sz="1"/>
              <w:right w:val="single" w:color="CCCCCC" w:sz="1"/>
            </w:tcBorders>
            <w:shd w:fill="F2F2F2"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1. Initial conversation</w:t>
            </w:r>
          </w:p>
        </w:tc>
        <w:tc>
          <w:tcPr>
            <w:tcW w:type="dxa" w:w="5826"/>
            <w:tcBorders>
              <w:top w:val="single" w:color="CCCCCC" w:sz="1"/>
              <w:left w:val="single" w:color="CCCCCC" w:sz="1"/>
              <w:bottom w:val="single" w:color="CCCCCC" w:sz="1"/>
              <w:right w:val="single" w:color="CCCCCC" w:sz="1"/>
            </w:tcBorders>
            <w:shd w:fill="F2F2F2"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A 30-minute call where I learn about your specific situation: which of the three core problems is costing you the most, what you’ve tried, and what your pipeline looks like today.</w:t>
            </w:r>
          </w:p>
        </w:tc>
        <w:tc>
          <w:tcPr>
            <w:tcW w:type="dxa" w:w="1400"/>
            <w:tcBorders>
              <w:top w:val="single" w:color="CCCCCC" w:sz="1"/>
              <w:left w:val="single" w:color="CCCCCC" w:sz="1"/>
              <w:bottom w:val="single" w:color="CCCCCC" w:sz="1"/>
              <w:right w:val="single" w:color="CCCCCC" w:sz="1"/>
            </w:tcBorders>
            <w:shd w:fill="F2F2F2"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30 min</w:t>
            </w:r>
          </w:p>
        </w:tc>
      </w:tr>
      <w:tr>
        <w:tc>
          <w:tcPr>
            <w:tcW w:type="dxa" w:w="18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2. Diagnostic audit</w:t>
            </w:r>
          </w:p>
        </w:tc>
        <w:tc>
          <w:tcPr>
            <w:tcW w:type="dxa" w:w="5826"/>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Based on the conversation, I propose the most relevant audit (Pilot Conversion, Trade Show ROI, or Sales Cycle). You approve, and I start within 48 hours.</w:t>
            </w:r>
          </w:p>
        </w:tc>
        <w:tc>
          <w:tcPr>
            <w:tcW w:type="dxa" w:w="14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10–14 days</w:t>
            </w:r>
          </w:p>
        </w:tc>
      </w:tr>
      <w:tr>
        <w:tc>
          <w:tcPr>
            <w:tcW w:type="dxa" w:w="1800"/>
            <w:tcBorders>
              <w:top w:val="single" w:color="CCCCCC" w:sz="1"/>
              <w:left w:val="single" w:color="CCCCCC" w:sz="1"/>
              <w:bottom w:val="single" w:color="CCCCCC" w:sz="1"/>
              <w:right w:val="single" w:color="CCCCCC" w:sz="1"/>
            </w:tcBorders>
            <w:shd w:fill="F2F2F2"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3. Findings debrief</w:t>
            </w:r>
          </w:p>
        </w:tc>
        <w:tc>
          <w:tcPr>
            <w:tcW w:type="dxa" w:w="5826"/>
            <w:tcBorders>
              <w:top w:val="single" w:color="CCCCCC" w:sz="1"/>
              <w:left w:val="single" w:color="CCCCCC" w:sz="1"/>
              <w:bottom w:val="single" w:color="CCCCCC" w:sz="1"/>
              <w:right w:val="single" w:color="CCCCCC" w:sz="1"/>
            </w:tcBorders>
            <w:shd w:fill="F2F2F2"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I walk your team through the diagnosis: where you’re losing revenue, why, and what to fix first. You get the full report regardless of what happens next.</w:t>
            </w:r>
          </w:p>
        </w:tc>
        <w:tc>
          <w:tcPr>
            <w:tcW w:type="dxa" w:w="1400"/>
            <w:tcBorders>
              <w:top w:val="single" w:color="CCCCCC" w:sz="1"/>
              <w:left w:val="single" w:color="CCCCCC" w:sz="1"/>
              <w:bottom w:val="single" w:color="CCCCCC" w:sz="1"/>
              <w:right w:val="single" w:color="CCCCCC" w:sz="1"/>
            </w:tcBorders>
            <w:shd w:fill="F2F2F2"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60 min</w:t>
            </w:r>
          </w:p>
        </w:tc>
      </w:tr>
      <w:tr>
        <w:tc>
          <w:tcPr>
            <w:tcW w:type="dxa" w:w="18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4. Quick-win proposal</w:t>
            </w:r>
          </w:p>
        </w:tc>
        <w:tc>
          <w:tcPr>
            <w:tcW w:type="dxa" w:w="5826"/>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If the findings reveal a clear opportunity, I propose a specific quick-win project. You evaluate it based on what you’ve already seen of my work.</w:t>
            </w:r>
          </w:p>
        </w:tc>
        <w:tc>
          <w:tcPr>
            <w:tcW w:type="dxa" w:w="14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2–4 weeks</w:t>
            </w:r>
          </w:p>
        </w:tc>
      </w:tr>
      <w:tr>
        <w:tc>
          <w:tcPr>
            <w:tcW w:type="dxa" w:w="1800"/>
            <w:tcBorders>
              <w:top w:val="single" w:color="CCCCCC" w:sz="1"/>
              <w:left w:val="single" w:color="CCCCCC" w:sz="1"/>
              <w:bottom w:val="single" w:color="CCCCCC" w:sz="1"/>
              <w:right w:val="single" w:color="CCCCCC" w:sz="1"/>
            </w:tcBorders>
            <w:shd w:fill="F2F2F2"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5. Results review</w:t>
            </w:r>
          </w:p>
        </w:tc>
        <w:tc>
          <w:tcPr>
            <w:tcW w:type="dxa" w:w="5826"/>
            <w:tcBorders>
              <w:top w:val="single" w:color="CCCCCC" w:sz="1"/>
              <w:left w:val="single" w:color="CCCCCC" w:sz="1"/>
              <w:bottom w:val="single" w:color="CCCCCC" w:sz="1"/>
              <w:right w:val="single" w:color="CCCCCC" w:sz="1"/>
            </w:tcBorders>
            <w:shd w:fill="F2F2F2"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We measure the impact of the quick-win project. You decide whether to expand to a retained engagement based on evidence, not promises.</w:t>
            </w:r>
          </w:p>
        </w:tc>
        <w:tc>
          <w:tcPr>
            <w:tcW w:type="dxa" w:w="1400"/>
            <w:tcBorders>
              <w:top w:val="single" w:color="CCCCCC" w:sz="1"/>
              <w:left w:val="single" w:color="CCCCCC" w:sz="1"/>
              <w:bottom w:val="single" w:color="CCCCCC" w:sz="1"/>
              <w:right w:val="single" w:color="CCCCCC" w:sz="1"/>
            </w:tcBorders>
            <w:shd w:fill="F2F2F2" w:val="clear"/>
            <w:tcMar>
              <w:top w:type="dxa" w:w="100"/>
              <w:left w:type="dxa" w:w="150"/>
              <w:bottom w:type="dxa" w:w="100"/>
              <w:right w:type="dxa" w:w="150"/>
            </w:tcMar>
          </w:tcPr>
          <w:p>
            <w:pPr>
              <w:spacing w:after="40"/>
            </w:pPr>
            <w:r>
              <w:rPr>
                <w:rFonts w:ascii="Arial" w:cs="Arial" w:eastAsia="Arial" w:hAnsi="Arial"/>
                <w:b w:val="false"/>
                <w:bCs w:val="false"/>
                <w:color w:val="333333"/>
                <w:sz w:val="20"/>
                <w:szCs w:val="20"/>
              </w:rPr>
              <w:t xml:space="preserve">30 days</w:t>
            </w:r>
          </w:p>
        </w:tc>
      </w:tr>
    </w:tbl>
    <w:p>
      <w:pPr>
        <w:spacing w:after="200"/>
      </w:pPr>
    </w:p>
    <w:p>
      <w:pPr>
        <w:pBdr>
          <w:bottom w:val="single" w:color="2E75B6" w:sz="6" w:space="1"/>
        </w:pBdr>
        <w:spacing w:after="200"/>
        <w:jc w:val="center"/>
      </w:pPr>
    </w:p>
    <w:p>
      <w:pPr>
        <w:spacing w:after="100"/>
        <w:jc w:val="center"/>
      </w:pPr>
      <w:r>
        <w:rPr>
          <w:rFonts w:ascii="Arial" w:cs="Arial" w:eastAsia="Arial" w:hAnsi="Arial"/>
          <w:b/>
          <w:bCs/>
          <w:color w:val="1B2A4A"/>
          <w:sz w:val="28"/>
          <w:szCs w:val="28"/>
        </w:rPr>
        <w:t xml:space="preserve">Every engagement starts with a single conversation.</w:t>
      </w:r>
    </w:p>
    <w:p>
      <w:pPr>
        <w:spacing w:after="80"/>
        <w:jc w:val="center"/>
      </w:pPr>
      <w:r>
        <w:rPr>
          <w:rFonts w:ascii="Arial" w:cs="Arial" w:eastAsia="Arial" w:hAnsi="Arial"/>
          <w:color w:val="666666"/>
          <w:sz w:val="22"/>
          <w:szCs w:val="22"/>
        </w:rPr>
        <w:t xml:space="preserve">No commitment required. No multi-month contract to sign upfront.</w:t>
      </w:r>
    </w:p>
    <w:p>
      <w:pPr>
        <w:spacing w:after="200"/>
        <w:jc w:val="center"/>
      </w:pPr>
      <w:r>
        <w:rPr>
          <w:rFonts w:ascii="Arial" w:cs="Arial" w:eastAsia="Arial" w:hAnsi="Arial"/>
          <w:color w:val="666666"/>
          <w:sz w:val="22"/>
          <w:szCs w:val="22"/>
        </w:rPr>
        <w:t xml:space="preserve">Just a conversation about where your revenue is leaking and what to do about it.</w:t>
      </w:r>
    </w:p>
    <w:p>
      <w:pPr>
        <w:pBdr>
          <w:bottom w:val="single" w:color="2E75B6" w:sz="6" w:space="1"/>
        </w:pBdr>
        <w:spacing w:after="200"/>
        <w:jc w:val="center"/>
      </w:pP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tabs>
        <w:tab w:val="right" w:pos="9026"/>
      </w:tabs>
    </w:pPr>
    <w:r>
      <w:rPr>
        <w:rFonts w:ascii="Arial" w:cs="Arial" w:eastAsia="Arial" w:hAnsi="Arial"/>
        <w:color w:val="666666"/>
        <w:sz w:val="16"/>
        <w:szCs w:val="16"/>
      </w:rPr>
      <w:t xml:space="preserve">Confidential  •  OpsEvolution</w:t>
    </w:r>
    <w:r>
      <w:rPr>
        <w:rFonts w:ascii="Arial" w:cs="Arial" w:eastAsia="Arial" w:hAnsi="Arial"/>
        <w:color w:val="666666"/>
        <w:sz w:val="16"/>
        <w:szCs w:val="16"/>
      </w:rPr>
      <w:t xml:space="preserve">	Page </w:t>
    </w:r>
    <w:r>
      <w:rPr>
        <w:rFonts w:ascii="Arial" w:cs="Arial" w:eastAsia="Arial" w:hAnsi="Arial"/>
        <w:color w:val="666666"/>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2E75B6" w:sz="4" w:space="1"/>
      </w:pBdr>
      <w:tabs>
        <w:tab w:val="right" w:pos="9026"/>
      </w:tabs>
    </w:pPr>
    <w:r>
      <w:rPr>
        <w:rFonts w:ascii="Arial" w:cs="Arial" w:eastAsia="Arial" w:hAnsi="Arial"/>
        <w:b/>
        <w:bCs/>
        <w:color w:val="2E75B6"/>
        <w:sz w:val="16"/>
        <w:szCs w:val="16"/>
      </w:rPr>
      <w:t xml:space="preserve">OPSEVOLUTION</w:t>
    </w:r>
    <w:r>
      <w:rPr>
        <w:rFonts w:ascii="Arial" w:cs="Arial" w:eastAsia="Arial" w:hAnsi="Arial"/>
        <w:color w:val="666666"/>
        <w:sz w:val="16"/>
        <w:szCs w:val="16"/>
      </w:rPr>
      <w:t xml:space="preserve">	Service Package  •  Robotics &amp; Industrial Automation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333333"/>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240" w:after="160"/>
      <w:outlineLvl w:val="0"/>
    </w:pPr>
    <w:rPr>
      <w:rFonts w:ascii="Arial" w:cs="Arial" w:eastAsia="Arial" w:hAnsi="Arial"/>
      <w:b/>
      <w:bCs/>
      <w:color w:val="1B2A4A"/>
      <w:sz w:val="34"/>
      <w:szCs w:val="34"/>
    </w:rPr>
  </w:style>
  <w:style w:type="paragraph" w:styleId="Heading2">
    <w:name w:val="Heading 2"/>
    <w:basedOn w:val="Normal"/>
    <w:next w:val="Normal"/>
    <w:qFormat/>
    <w:pPr>
      <w:spacing w:before="200" w:after="120"/>
      <w:outlineLvl w:val="1"/>
    </w:pPr>
    <w:rPr>
      <w:rFonts w:ascii="Arial" w:cs="Arial" w:eastAsia="Arial" w:hAnsi="Arial"/>
      <w:b/>
      <w:bCs/>
      <w:color w:val="1B2A4A"/>
      <w:sz w:val="28"/>
      <w:szCs w:val="28"/>
    </w:rPr>
  </w:style>
  <w:style w:type="paragraph" w:styleId="Heading3">
    <w:name w:val="Heading 3"/>
    <w:basedOn w:val="Normal"/>
    <w:next w:val="Normal"/>
    <w:qFormat/>
    <w:pPr>
      <w:spacing w:before="160" w:after="100"/>
      <w:outlineLvl w:val="2"/>
    </w:pPr>
    <w:rPr>
      <w:rFonts w:ascii="Arial" w:cs="Arial" w:eastAsia="Arial" w:hAnsi="Arial"/>
      <w:b/>
      <w:bCs/>
      <w:color w:val="2E75B6"/>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2026-03-13T20:48:52.988Z</dcterms:created>
  <dcterms:modified xsi:type="dcterms:W3CDTF">2026-03-13T20:48:52.989Z</dcterms:modified>
</cp:coreProperties>
</file>

<file path=docProps/custom.xml><?xml version="1.0" encoding="utf-8"?>
<Properties xmlns="http://schemas.openxmlformats.org/officeDocument/2006/custom-properties" xmlns:vt="http://schemas.openxmlformats.org/officeDocument/2006/docPropsVTypes"/>
</file>