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B84EDA" w14:textId="77777777" w:rsidR="00757182" w:rsidRPr="00757182" w:rsidRDefault="00757182" w:rsidP="00757182">
      <w:pPr>
        <w:bidi/>
        <w:rPr>
          <w:b/>
          <w:bCs/>
        </w:rPr>
      </w:pPr>
      <w:r w:rsidRPr="00757182">
        <w:rPr>
          <w:b/>
          <w:bCs/>
          <w:rtl/>
        </w:rPr>
        <w:t>دراسة حالة افتتاحية</w:t>
      </w:r>
    </w:p>
    <w:p w14:paraId="43B5BCC3" w14:textId="77777777" w:rsidR="00757182" w:rsidRPr="00757182" w:rsidRDefault="00757182" w:rsidP="00757182">
      <w:pPr>
        <w:bidi/>
        <w:rPr>
          <w:b/>
          <w:bCs/>
        </w:rPr>
      </w:pPr>
      <w:r w:rsidRPr="00757182">
        <w:rPr>
          <w:b/>
          <w:bCs/>
          <w:rtl/>
        </w:rPr>
        <w:t>إدارة التغيير في التحول الوطني: حالة من المملكة العربية السعودية</w:t>
      </w:r>
    </w:p>
    <w:p w14:paraId="2E176E31" w14:textId="77777777" w:rsidR="00757182" w:rsidRPr="00757182" w:rsidRDefault="00757182" w:rsidP="00757182">
      <w:pPr>
        <w:bidi/>
        <w:spacing w:line="360" w:lineRule="auto"/>
        <w:jc w:val="both"/>
      </w:pPr>
      <w:r w:rsidRPr="00757182">
        <w:rPr>
          <w:rtl/>
        </w:rPr>
        <w:t xml:space="preserve">في عام 2016، أطلقت المملكة العربية السعودية </w:t>
      </w:r>
      <w:r w:rsidRPr="00757182">
        <w:rPr>
          <w:b/>
          <w:bCs/>
          <w:rtl/>
        </w:rPr>
        <w:t>رؤية 2030</w:t>
      </w:r>
      <w:r w:rsidRPr="00757182">
        <w:rPr>
          <w:rtl/>
        </w:rPr>
        <w:t xml:space="preserve"> بوصفها خارطة طريق طموحة لتحويل الاقتصاد والمجتمع والثقافة، والانتقال من الاعتماد المرتفع على النفط إلى اقتصاد أكثر تنوعًا، ومجتمع أكثر حيوية، ومستقبل أكثر استدامة. وقد استندت الرؤية إلى عدد من نقاط القوة الوطنية، منها مكانة المملكة في العالمين العربي والإسلامي، وقدرتها الاستثمارية، وموقعها الجغرافي الاستراتيجي</w:t>
      </w:r>
      <w:r w:rsidRPr="00757182">
        <w:t xml:space="preserve">. </w:t>
      </w:r>
    </w:p>
    <w:p w14:paraId="53EB101D" w14:textId="77777777" w:rsidR="00757182" w:rsidRPr="00757182" w:rsidRDefault="00757182" w:rsidP="00757182">
      <w:pPr>
        <w:bidi/>
        <w:spacing w:line="360" w:lineRule="auto"/>
        <w:jc w:val="both"/>
      </w:pPr>
      <w:r w:rsidRPr="00757182">
        <w:rPr>
          <w:rtl/>
        </w:rPr>
        <w:t xml:space="preserve">لكن أي تحول بهذا الحجم لا يعتمد فقط على جودة الاستراتيجية أو قوة القرار من الأعلى، بل يعتمد بدرجة كبيرة على </w:t>
      </w:r>
      <w:r w:rsidRPr="00757182">
        <w:rPr>
          <w:b/>
          <w:bCs/>
          <w:rtl/>
        </w:rPr>
        <w:t>قدرة الناس على التكيّف والتبنّي</w:t>
      </w:r>
      <w:r w:rsidRPr="00757182">
        <w:t xml:space="preserve">. </w:t>
      </w:r>
      <w:r w:rsidRPr="00757182">
        <w:rPr>
          <w:rtl/>
        </w:rPr>
        <w:t>وهنا يظهر دور إدارة التغيير: فالتغيير لا يتحقق فعليًا عندما يُعلن عنه، بل عندما يفهمه الناس، ويثقون به، ويعرفون ما المطلوب منهم، ويشعرون أنهم قادرون على التعامل معه. التقرير يؤكد أن غياب التبنّي يعني أن التغييرات، مهما بدت قوية على الورق، قد لا تحقق النتائج المرجوة</w:t>
      </w:r>
      <w:r w:rsidRPr="00757182">
        <w:t xml:space="preserve">. </w:t>
      </w:r>
    </w:p>
    <w:p w14:paraId="7BD5F8DB" w14:textId="77777777" w:rsidR="00757182" w:rsidRPr="00757182" w:rsidRDefault="00757182" w:rsidP="00757182">
      <w:pPr>
        <w:bidi/>
        <w:spacing w:line="360" w:lineRule="auto"/>
        <w:jc w:val="both"/>
      </w:pPr>
      <w:r w:rsidRPr="00757182">
        <w:rPr>
          <w:rtl/>
        </w:rPr>
        <w:t>تُظهر حالة رؤية 2030 أن التحول طال مجالات متعددة في الوقت نفسه. فعلى المستوى الاقتصادي، هدفت الرؤية إلى تحسين الاستدامة المالية، وتطوير بيئة الأعمال، وتشجيع الاستثمار والقطاع الخاص، وتنمية رأس المال البشري، ورفع مشاركة المرأة في سوق العمل. كما أوضح التقرير أن هذا التحول لم يكن ذا أثر واحد على الجميع، بل اختلف باختلاف الفئات: فهناك من رأى فرصًا جديدة للنمو والاستثمار، بينما شعر آخرون أن عليهم التكيف مع متطلبات جديدة، أو فقدان بعض المزايا القديمة، أو الانتقال من منطق الاستقرار التقليدي إلى منطق التنافسية والأداء</w:t>
      </w:r>
      <w:r w:rsidRPr="00757182">
        <w:t xml:space="preserve">. </w:t>
      </w:r>
    </w:p>
    <w:p w14:paraId="5AB8DEF8" w14:textId="77777777" w:rsidR="00757182" w:rsidRPr="00757182" w:rsidRDefault="00757182" w:rsidP="00757182">
      <w:pPr>
        <w:bidi/>
        <w:spacing w:line="360" w:lineRule="auto"/>
        <w:jc w:val="both"/>
      </w:pPr>
      <w:r w:rsidRPr="00757182">
        <w:rPr>
          <w:rtl/>
        </w:rPr>
        <w:t>وعلى المستوى الاجتماعي والثقافي، أبرز التقرير أن الرؤية صاحبتها تغييرات كبيرة في أنماط الحياة، والأدوار الاجتماعية، والبيئة القانونية، وفرص الترفيه، وتمكين المرأة، وصياغة هوية وطنية أكثر وضوحًا. وهذه التحولات، بطبيعتها، لا تُستقبل بالطريقة نفسها من الجميع. فبعض الفئات ترى فيها تقدمًا ضروريًا، بينما تنظر إليها فئات أخرى باعتبارها تغييرات سريعة أو مقلقة أو تتطلب إعادة تكيّف مع واقع جديد</w:t>
      </w:r>
      <w:r w:rsidRPr="00757182">
        <w:t xml:space="preserve">. </w:t>
      </w:r>
    </w:p>
    <w:p w14:paraId="014EC237" w14:textId="77777777" w:rsidR="00757182" w:rsidRPr="00757182" w:rsidRDefault="00757182" w:rsidP="00757182">
      <w:pPr>
        <w:bidi/>
        <w:spacing w:line="360" w:lineRule="auto"/>
        <w:jc w:val="both"/>
      </w:pPr>
      <w:r w:rsidRPr="00757182">
        <w:rPr>
          <w:rtl/>
        </w:rPr>
        <w:t xml:space="preserve">يشير التقرير أيضًا إلى نقطة بالغة الأهمية للمديرين: وهي أن </w:t>
      </w:r>
      <w:r w:rsidRPr="00757182">
        <w:rPr>
          <w:b/>
          <w:bCs/>
          <w:rtl/>
        </w:rPr>
        <w:t>كثيرًا من مشاريع التحول تفشل ليس بسبب ضعف الفكرة، بل بسبب ضعف التطبيق المرتبط بالناس</w:t>
      </w:r>
      <w:r w:rsidRPr="00757182">
        <w:t xml:space="preserve">. </w:t>
      </w:r>
      <w:r w:rsidRPr="00757182">
        <w:rPr>
          <w:rtl/>
        </w:rPr>
        <w:t>ويذكر التقرير مثالًا على إجراءات تقشف أُعلنت في 2016 وأدت إلى خفضات أثّرت على موظفي القطاع العام، ثم جرى التراجع عنها لاحقًا. ويستخدم التقرير هذه الحالة لتوضيح أن التغييرات الحساسة، إذا طُبقت بسرعة ومن دون تهيئة أو دعم أو قراءة دقيقة لردود الفعل، قد تواجه مقاومة قوية وترسل رسائل متضاربة عن جدية التغيير نفسه</w:t>
      </w:r>
      <w:r w:rsidRPr="00757182">
        <w:t xml:space="preserve">. </w:t>
      </w:r>
    </w:p>
    <w:p w14:paraId="457D5D98" w14:textId="77777777" w:rsidR="00757182" w:rsidRPr="00757182" w:rsidRDefault="00757182" w:rsidP="00757182">
      <w:pPr>
        <w:bidi/>
        <w:spacing w:line="360" w:lineRule="auto"/>
        <w:jc w:val="both"/>
      </w:pPr>
      <w:r w:rsidRPr="00757182">
        <w:rPr>
          <w:rtl/>
        </w:rPr>
        <w:t xml:space="preserve">ومن منظور إدارة التغيير، يعرض التقرير فكرتين مهمتين جدًا للورشة. الأولى أن التحول يحتاج إلى </w:t>
      </w:r>
      <w:r w:rsidRPr="00757182">
        <w:rPr>
          <w:b/>
          <w:bCs/>
          <w:rtl/>
        </w:rPr>
        <w:t>رواية واضحة ومقنعة</w:t>
      </w:r>
      <w:r w:rsidRPr="00757182">
        <w:rPr>
          <w:rtl/>
        </w:rPr>
        <w:t xml:space="preserve"> تشرح لماذا التغيير ضروري ولماذا لم يعد الوضع السابق مستدامًا. والثانية أن التحول يحتاج، على المستوى التنفيذي، إلى </w:t>
      </w:r>
      <w:r w:rsidRPr="00757182">
        <w:rPr>
          <w:b/>
          <w:bCs/>
          <w:rtl/>
        </w:rPr>
        <w:t>شبكة لإدارة التغيير</w:t>
      </w:r>
      <w:r w:rsidRPr="00757182">
        <w:rPr>
          <w:rtl/>
        </w:rPr>
        <w:t>، ومنهجية واضحة لتحديد أصحاب المصلحة المتأثرين، وفهم المقاومة المتوقعة، والتعامل مع المخاطر، وبناء حلقات تغذية راجعة مستمرة. ويشير التقرير إلى أن وجود هذا النوع من البنية المنهجية يزيد فرص التبنّي ويقلل المخاطر</w:t>
      </w:r>
      <w:r w:rsidRPr="00757182">
        <w:t xml:space="preserve">. </w:t>
      </w:r>
    </w:p>
    <w:p w14:paraId="757C7119" w14:textId="77777777" w:rsidR="00757182" w:rsidRPr="00757182" w:rsidRDefault="00757182" w:rsidP="00757182">
      <w:pPr>
        <w:bidi/>
        <w:spacing w:line="360" w:lineRule="auto"/>
        <w:jc w:val="both"/>
      </w:pPr>
      <w:r w:rsidRPr="00757182">
        <w:rPr>
          <w:rtl/>
        </w:rPr>
        <w:lastRenderedPageBreak/>
        <w:t xml:space="preserve">بكلمات أبسط، تكشف هذه الحالة أن التغيير الكبير لا ينجح فقط عبر القرارات العليا، بل عبر </w:t>
      </w:r>
      <w:r w:rsidRPr="00757182">
        <w:rPr>
          <w:b/>
          <w:bCs/>
          <w:rtl/>
        </w:rPr>
        <w:t>الاستيعاب التدريجي، والتواصل الذكي، والدعم، والإشراك، وقراءة الواقع الإنساني والتنظيمي بدقة</w:t>
      </w:r>
      <w:r w:rsidRPr="00757182">
        <w:t xml:space="preserve">. </w:t>
      </w:r>
      <w:r w:rsidRPr="00757182">
        <w:rPr>
          <w:rtl/>
        </w:rPr>
        <w:t>وهذا ما يجعل الحالة مناسبة جدًا كمدخل لورشة موجهة للمديرين: لأنها تنقل النقاش من “كيف نعلن التغيير؟” إلى “كيف نجعل التغيير يُفهم ويُقبل ويُطبّق فعليًا؟</w:t>
      </w:r>
      <w:r w:rsidRPr="00757182">
        <w:t>”</w:t>
      </w:r>
    </w:p>
    <w:p w14:paraId="420BD26E" w14:textId="3EFBAD3E" w:rsidR="00757182" w:rsidRPr="00757182" w:rsidRDefault="00757182" w:rsidP="00757182">
      <w:pPr>
        <w:bidi/>
      </w:pPr>
    </w:p>
    <w:p w14:paraId="7398C1C1" w14:textId="5831F2CC" w:rsidR="00757182" w:rsidRPr="00757182" w:rsidRDefault="00757182" w:rsidP="00757182">
      <w:pPr>
        <w:bidi/>
      </w:pPr>
    </w:p>
    <w:p w14:paraId="448F7A1D" w14:textId="77777777" w:rsidR="00757182" w:rsidRPr="00757182" w:rsidRDefault="00757182" w:rsidP="00757182">
      <w:pPr>
        <w:bidi/>
        <w:rPr>
          <w:b/>
          <w:bCs/>
        </w:rPr>
      </w:pPr>
      <w:r w:rsidRPr="00757182">
        <w:rPr>
          <w:b/>
          <w:bCs/>
          <w:rtl/>
        </w:rPr>
        <w:t>أسئلة فهم الحالة</w:t>
      </w:r>
    </w:p>
    <w:p w14:paraId="4F4C8892" w14:textId="77777777" w:rsidR="00757182" w:rsidRPr="00757182" w:rsidRDefault="00757182" w:rsidP="00757182">
      <w:pPr>
        <w:numPr>
          <w:ilvl w:val="0"/>
          <w:numId w:val="1"/>
        </w:numPr>
        <w:bidi/>
      </w:pPr>
      <w:r w:rsidRPr="00757182">
        <w:rPr>
          <w:rtl/>
        </w:rPr>
        <w:t xml:space="preserve">ما الذي يجعل أي تحول وطني أو مؤسسي واسع النطاق أكثر تعقيدًا من مجرد مشروع عادي؟ </w:t>
      </w:r>
    </w:p>
    <w:p w14:paraId="4620214E" w14:textId="77777777" w:rsidR="00757182" w:rsidRPr="00757182" w:rsidRDefault="00757182" w:rsidP="00757182">
      <w:pPr>
        <w:numPr>
          <w:ilvl w:val="0"/>
          <w:numId w:val="1"/>
        </w:numPr>
        <w:bidi/>
      </w:pPr>
      <w:r w:rsidRPr="00757182">
        <w:rPr>
          <w:rtl/>
        </w:rPr>
        <w:t xml:space="preserve">لماذا لا يكفي أن تكون الرؤية أو الاستراتيجية قوية على الورق؟ </w:t>
      </w:r>
    </w:p>
    <w:p w14:paraId="59AA8620" w14:textId="77777777" w:rsidR="00757182" w:rsidRPr="00757182" w:rsidRDefault="00757182" w:rsidP="00757182">
      <w:pPr>
        <w:numPr>
          <w:ilvl w:val="0"/>
          <w:numId w:val="1"/>
        </w:numPr>
        <w:bidi/>
      </w:pPr>
      <w:r w:rsidRPr="00757182">
        <w:rPr>
          <w:rtl/>
        </w:rPr>
        <w:t xml:space="preserve">ما الذي يمكن أن يجعل الناس يقبلون التغيير أو يقاومونه، حتى عندما يكون التغيير منطقيًا؟ </w:t>
      </w:r>
    </w:p>
    <w:p w14:paraId="7DE85CD4" w14:textId="77777777" w:rsidR="00757182" w:rsidRPr="00757182" w:rsidRDefault="00757182" w:rsidP="00757182">
      <w:pPr>
        <w:bidi/>
        <w:rPr>
          <w:b/>
          <w:bCs/>
        </w:rPr>
      </w:pPr>
      <w:r w:rsidRPr="00757182">
        <w:rPr>
          <w:b/>
          <w:bCs/>
          <w:rtl/>
        </w:rPr>
        <w:t>أسئلة مرتبطة بأصحاب المصلحة</w:t>
      </w:r>
    </w:p>
    <w:p w14:paraId="563E1DBC" w14:textId="77777777" w:rsidR="00757182" w:rsidRPr="00757182" w:rsidRDefault="00757182" w:rsidP="00757182">
      <w:pPr>
        <w:numPr>
          <w:ilvl w:val="0"/>
          <w:numId w:val="2"/>
        </w:numPr>
        <w:bidi/>
      </w:pPr>
      <w:r w:rsidRPr="00757182">
        <w:rPr>
          <w:rtl/>
        </w:rPr>
        <w:t xml:space="preserve">من هم أصحاب المصلحة الرئيسيون في أي تحول كبير مثل هذه الحالة؟ </w:t>
      </w:r>
    </w:p>
    <w:p w14:paraId="2807A4B8" w14:textId="77777777" w:rsidR="00757182" w:rsidRPr="00757182" w:rsidRDefault="00757182" w:rsidP="00757182">
      <w:pPr>
        <w:numPr>
          <w:ilvl w:val="0"/>
          <w:numId w:val="2"/>
        </w:numPr>
        <w:bidi/>
      </w:pPr>
      <w:r w:rsidRPr="00757182">
        <w:rPr>
          <w:rtl/>
        </w:rPr>
        <w:t xml:space="preserve">كيف يمكن أن يختلف أثر التغيير من فئة إلى أخرى؟ </w:t>
      </w:r>
    </w:p>
    <w:p w14:paraId="4846DE24" w14:textId="77777777" w:rsidR="00757182" w:rsidRPr="00757182" w:rsidRDefault="00757182" w:rsidP="00757182">
      <w:pPr>
        <w:numPr>
          <w:ilvl w:val="0"/>
          <w:numId w:val="2"/>
        </w:numPr>
        <w:bidi/>
      </w:pPr>
      <w:r w:rsidRPr="00757182">
        <w:rPr>
          <w:rtl/>
        </w:rPr>
        <w:t xml:space="preserve">من الفئات التي قد ترى فرصًا في التغيير؟ ومن الفئات التي قد ترى خسائر أو تهديدات؟ </w:t>
      </w:r>
    </w:p>
    <w:p w14:paraId="61C4E6DD" w14:textId="77777777" w:rsidR="00757182" w:rsidRPr="00757182" w:rsidRDefault="00757182" w:rsidP="00757182">
      <w:pPr>
        <w:bidi/>
        <w:rPr>
          <w:b/>
          <w:bCs/>
        </w:rPr>
      </w:pPr>
      <w:r w:rsidRPr="00757182">
        <w:rPr>
          <w:b/>
          <w:bCs/>
          <w:rtl/>
        </w:rPr>
        <w:t>أسئلة مرتبطة بالمقاومة</w:t>
      </w:r>
    </w:p>
    <w:p w14:paraId="59D999AE" w14:textId="77777777" w:rsidR="00757182" w:rsidRPr="00757182" w:rsidRDefault="00757182" w:rsidP="00757182">
      <w:pPr>
        <w:numPr>
          <w:ilvl w:val="0"/>
          <w:numId w:val="3"/>
        </w:numPr>
        <w:bidi/>
      </w:pPr>
      <w:r w:rsidRPr="00757182">
        <w:rPr>
          <w:rtl/>
        </w:rPr>
        <w:t xml:space="preserve">ما أنواع المقاومة التي قد تظهر في تحول بهذا الحجم؟ </w:t>
      </w:r>
    </w:p>
    <w:p w14:paraId="0BE9898C" w14:textId="77777777" w:rsidR="00757182" w:rsidRPr="00757182" w:rsidRDefault="00757182" w:rsidP="00757182">
      <w:pPr>
        <w:numPr>
          <w:ilvl w:val="0"/>
          <w:numId w:val="3"/>
        </w:numPr>
        <w:bidi/>
      </w:pPr>
      <w:r w:rsidRPr="00757182">
        <w:rPr>
          <w:rtl/>
        </w:rPr>
        <w:t xml:space="preserve">ما الفرق بين مقاومة الفكرة نفسها، ومقاومة طريقة التنفيذ؟ </w:t>
      </w:r>
    </w:p>
    <w:p w14:paraId="194E7177" w14:textId="77777777" w:rsidR="00757182" w:rsidRPr="00757182" w:rsidRDefault="00757182" w:rsidP="00757182">
      <w:pPr>
        <w:numPr>
          <w:ilvl w:val="0"/>
          <w:numId w:val="3"/>
        </w:numPr>
        <w:bidi/>
      </w:pPr>
      <w:r w:rsidRPr="00757182">
        <w:rPr>
          <w:rtl/>
        </w:rPr>
        <w:t xml:space="preserve">ما الذي يمكن أن يحدث إذا تم إطلاق تغيير حساس دون تهيئة أو إشراك أو دعم كافٍ؟ </w:t>
      </w:r>
    </w:p>
    <w:p w14:paraId="71639F25" w14:textId="77777777" w:rsidR="00757182" w:rsidRPr="00757182" w:rsidRDefault="00757182" w:rsidP="00757182">
      <w:pPr>
        <w:bidi/>
        <w:rPr>
          <w:b/>
          <w:bCs/>
        </w:rPr>
      </w:pPr>
      <w:r w:rsidRPr="00757182">
        <w:rPr>
          <w:b/>
          <w:bCs/>
          <w:rtl/>
        </w:rPr>
        <w:t>أسئلة مرتبطة بدور المدير</w:t>
      </w:r>
    </w:p>
    <w:p w14:paraId="15DD4222" w14:textId="77777777" w:rsidR="00757182" w:rsidRPr="00757182" w:rsidRDefault="00757182" w:rsidP="00757182">
      <w:pPr>
        <w:numPr>
          <w:ilvl w:val="0"/>
          <w:numId w:val="4"/>
        </w:numPr>
        <w:bidi/>
      </w:pPr>
      <w:r w:rsidRPr="00757182">
        <w:rPr>
          <w:rtl/>
        </w:rPr>
        <w:t xml:space="preserve">ما الدور الحقيقي للمدير في أوقات التحول: هل هو ناقل قرار فقط، أم مفسّر ومهيّئ ومحتوٍ لردود الفعل؟ </w:t>
      </w:r>
    </w:p>
    <w:p w14:paraId="643ED735" w14:textId="77777777" w:rsidR="00757182" w:rsidRPr="00757182" w:rsidRDefault="00757182" w:rsidP="00757182">
      <w:pPr>
        <w:numPr>
          <w:ilvl w:val="0"/>
          <w:numId w:val="4"/>
        </w:numPr>
        <w:bidi/>
      </w:pPr>
      <w:r w:rsidRPr="00757182">
        <w:rPr>
          <w:rtl/>
        </w:rPr>
        <w:t xml:space="preserve">كيف يمكن للمدير أن يقرأ الإشارات المبكرة للمقاومة قبل أن تتحول إلى تعطيل فعلي؟ </w:t>
      </w:r>
    </w:p>
    <w:p w14:paraId="59D309AF" w14:textId="77777777" w:rsidR="00757182" w:rsidRPr="00757182" w:rsidRDefault="00757182" w:rsidP="00757182">
      <w:pPr>
        <w:numPr>
          <w:ilvl w:val="0"/>
          <w:numId w:val="4"/>
        </w:numPr>
        <w:bidi/>
      </w:pPr>
      <w:r w:rsidRPr="00757182">
        <w:rPr>
          <w:rtl/>
        </w:rPr>
        <w:t>إذا كنت مديرًا في جهة تمر بتحول كبير، فما الذي يجب أن تفعله أولًا: التواصل، أم الإشراك، أم التدريب، أم إزالة العوائق؟ ولماذا؟</w:t>
      </w:r>
    </w:p>
    <w:p w14:paraId="47AA4F8E" w14:textId="77777777" w:rsidR="009B5C09" w:rsidRPr="00757182" w:rsidRDefault="009B5C09" w:rsidP="00757182">
      <w:pPr>
        <w:bidi/>
      </w:pPr>
    </w:p>
    <w:sectPr w:rsidR="009B5C09" w:rsidRPr="007571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A1434F"/>
    <w:multiLevelType w:val="multilevel"/>
    <w:tmpl w:val="D2F24CA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8801641"/>
    <w:multiLevelType w:val="multilevel"/>
    <w:tmpl w:val="EFB803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4612DBB"/>
    <w:multiLevelType w:val="multilevel"/>
    <w:tmpl w:val="22CC32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1D078B4"/>
    <w:multiLevelType w:val="multilevel"/>
    <w:tmpl w:val="C6DA3DB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64643957">
    <w:abstractNumId w:val="1"/>
  </w:num>
  <w:num w:numId="2" w16cid:durableId="1967658157">
    <w:abstractNumId w:val="2"/>
  </w:num>
  <w:num w:numId="3" w16cid:durableId="433091982">
    <w:abstractNumId w:val="3"/>
  </w:num>
  <w:num w:numId="4" w16cid:durableId="21410250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BEE"/>
    <w:rsid w:val="00575EE4"/>
    <w:rsid w:val="00757182"/>
    <w:rsid w:val="00951BD6"/>
    <w:rsid w:val="009B5C09"/>
    <w:rsid w:val="00BA7BEE"/>
    <w:rsid w:val="00F6002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591EB3"/>
  <w15:chartTrackingRefBased/>
  <w15:docId w15:val="{FCF5BB33-5428-4BBC-B3E1-CD07CFDF4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A7BE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BA7BE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BA7BE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BA7BE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BA7BE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BA7B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A7B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A7B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A7B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7BE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BA7BE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BA7BE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BA7BE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BA7BE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BA7B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A7B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A7B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A7BEE"/>
    <w:rPr>
      <w:rFonts w:eastAsiaTheme="majorEastAsia" w:cstheme="majorBidi"/>
      <w:color w:val="272727" w:themeColor="text1" w:themeTint="D8"/>
    </w:rPr>
  </w:style>
  <w:style w:type="paragraph" w:styleId="Title">
    <w:name w:val="Title"/>
    <w:basedOn w:val="Normal"/>
    <w:next w:val="Normal"/>
    <w:link w:val="TitleChar"/>
    <w:uiPriority w:val="10"/>
    <w:qFormat/>
    <w:rsid w:val="00BA7B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7B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A7B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A7B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A7BEE"/>
    <w:pPr>
      <w:spacing w:before="160"/>
      <w:jc w:val="center"/>
    </w:pPr>
    <w:rPr>
      <w:i/>
      <w:iCs/>
      <w:color w:val="404040" w:themeColor="text1" w:themeTint="BF"/>
    </w:rPr>
  </w:style>
  <w:style w:type="character" w:customStyle="1" w:styleId="QuoteChar">
    <w:name w:val="Quote Char"/>
    <w:basedOn w:val="DefaultParagraphFont"/>
    <w:link w:val="Quote"/>
    <w:uiPriority w:val="29"/>
    <w:rsid w:val="00BA7BEE"/>
    <w:rPr>
      <w:i/>
      <w:iCs/>
      <w:color w:val="404040" w:themeColor="text1" w:themeTint="BF"/>
    </w:rPr>
  </w:style>
  <w:style w:type="paragraph" w:styleId="ListParagraph">
    <w:name w:val="List Paragraph"/>
    <w:basedOn w:val="Normal"/>
    <w:uiPriority w:val="34"/>
    <w:qFormat/>
    <w:rsid w:val="00BA7BEE"/>
    <w:pPr>
      <w:ind w:left="720"/>
      <w:contextualSpacing/>
    </w:pPr>
  </w:style>
  <w:style w:type="character" w:styleId="IntenseEmphasis">
    <w:name w:val="Intense Emphasis"/>
    <w:basedOn w:val="DefaultParagraphFont"/>
    <w:uiPriority w:val="21"/>
    <w:qFormat/>
    <w:rsid w:val="00BA7BEE"/>
    <w:rPr>
      <w:i/>
      <w:iCs/>
      <w:color w:val="2E74B5" w:themeColor="accent1" w:themeShade="BF"/>
    </w:rPr>
  </w:style>
  <w:style w:type="paragraph" w:styleId="IntenseQuote">
    <w:name w:val="Intense Quote"/>
    <w:basedOn w:val="Normal"/>
    <w:next w:val="Normal"/>
    <w:link w:val="IntenseQuoteChar"/>
    <w:uiPriority w:val="30"/>
    <w:qFormat/>
    <w:rsid w:val="00BA7BE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BA7BEE"/>
    <w:rPr>
      <w:i/>
      <w:iCs/>
      <w:color w:val="2E74B5" w:themeColor="accent1" w:themeShade="BF"/>
    </w:rPr>
  </w:style>
  <w:style w:type="character" w:styleId="IntenseReference">
    <w:name w:val="Intense Reference"/>
    <w:basedOn w:val="DefaultParagraphFont"/>
    <w:uiPriority w:val="32"/>
    <w:qFormat/>
    <w:rsid w:val="00BA7BEE"/>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DEE9560EED9774DBFBCA537D0DCFECF" ma:contentTypeVersion="15" ma:contentTypeDescription="Create a new document." ma:contentTypeScope="" ma:versionID="8eb36c5a301c1e75b21e6bd3dab910f1">
  <xsd:schema xmlns:xsd="http://www.w3.org/2001/XMLSchema" xmlns:xs="http://www.w3.org/2001/XMLSchema" xmlns:p="http://schemas.microsoft.com/office/2006/metadata/properties" xmlns:ns1="http://schemas.microsoft.com/sharepoint/v3" xmlns:ns2="f04dacb5-27eb-4e79-bd48-1637f6681ca0" xmlns:ns3="52922da4-500d-4cdd-8348-f45f00db1317" targetNamespace="http://schemas.microsoft.com/office/2006/metadata/properties" ma:root="true" ma:fieldsID="22297228890a8b2f3da77383e61342c0" ns1:_="" ns2:_="" ns3:_="">
    <xsd:import namespace="http://schemas.microsoft.com/sharepoint/v3"/>
    <xsd:import namespace="f04dacb5-27eb-4e79-bd48-1637f6681ca0"/>
    <xsd:import namespace="52922da4-500d-4cdd-8348-f45f00db1317"/>
    <xsd:element name="properties">
      <xsd:complexType>
        <xsd:sequence>
          <xsd:element name="documentManagement">
            <xsd:complexType>
              <xsd:all>
                <xsd:element ref="ns1:_ip_UnifiedCompliancePolicyProperties" minOccurs="0"/>
                <xsd:element ref="ns1:_ip_UnifiedCompliancePolicyUIAction" minOccurs="0"/>
                <xsd:element ref="ns2:MediaServiceBillingMetadata" minOccurs="0"/>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04dacb5-27eb-4e79-bd48-1637f6681ca0" elementFormDefault="qualified">
    <xsd:import namespace="http://schemas.microsoft.com/office/2006/documentManagement/types"/>
    <xsd:import namespace="http://schemas.microsoft.com/office/infopath/2007/PartnerControls"/>
    <xsd:element name="MediaServiceBillingMetadata" ma:index="10" nillable="true" ma:displayName="MediaServiceBillingMetadata" ma:hidden="true" ma:internalName="MediaServiceBillingMetadata" ma:readOnly="true">
      <xsd:simpleType>
        <xsd:restriction base="dms:Note"/>
      </xsd:simple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description="" ma:indexed="true"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68679018-c8b5-43e9-adcd-8cca0014b207"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2922da4-500d-4cdd-8348-f45f00db1317"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bc2e9d4e-cbf4-440e-8d28-81961e9d7b6b}" ma:internalName="TaxCatchAll" ma:showField="CatchAllData" ma:web="52922da4-500d-4cdd-8348-f45f00db131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f04dacb5-27eb-4e79-bd48-1637f6681ca0">
      <Terms xmlns="http://schemas.microsoft.com/office/infopath/2007/PartnerControls"/>
    </lcf76f155ced4ddcb4097134ff3c332f>
    <TaxCatchAll xmlns="52922da4-500d-4cdd-8348-f45f00db1317" xsi:nil="true"/>
  </documentManagement>
</p:properties>
</file>

<file path=customXml/itemProps1.xml><?xml version="1.0" encoding="utf-8"?>
<ds:datastoreItem xmlns:ds="http://schemas.openxmlformats.org/officeDocument/2006/customXml" ds:itemID="{29E18A54-17BE-4D94-8890-97F2678D6FE5}"/>
</file>

<file path=customXml/itemProps2.xml><?xml version="1.0" encoding="utf-8"?>
<ds:datastoreItem xmlns:ds="http://schemas.openxmlformats.org/officeDocument/2006/customXml" ds:itemID="{B9A2C903-F65A-46CC-A6F8-37227DAB1AE4}"/>
</file>

<file path=customXml/itemProps3.xml><?xml version="1.0" encoding="utf-8"?>
<ds:datastoreItem xmlns:ds="http://schemas.openxmlformats.org/officeDocument/2006/customXml" ds:itemID="{B55D5B7D-2919-47F3-9950-CC34B6435BD3}"/>
</file>

<file path=docProps/app.xml><?xml version="1.0" encoding="utf-8"?>
<Properties xmlns="http://schemas.openxmlformats.org/officeDocument/2006/extended-properties" xmlns:vt="http://schemas.openxmlformats.org/officeDocument/2006/docPropsVTypes">
  <Template>Normal</Template>
  <TotalTime>3</TotalTime>
  <Pages>2</Pages>
  <Words>601</Words>
  <Characters>3428</Characters>
  <Application>Microsoft Office Word</Application>
  <DocSecurity>0</DocSecurity>
  <Lines>28</Lines>
  <Paragraphs>8</Paragraphs>
  <ScaleCrop>false</ScaleCrop>
  <Company/>
  <LinksUpToDate>false</LinksUpToDate>
  <CharactersWithSpaces>4021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Nelly Habib</dc:creator>
  <cp:keywords/>
  <dc:description/>
  <cp:lastModifiedBy>Nelly Habib</cp:lastModifiedBy>
  <cp:revision>2</cp:revision>
  <dcterms:created xsi:type="dcterms:W3CDTF">2026-04-04T21:36:00Z</dcterms:created>
  <dcterms:modified xsi:type="dcterms:W3CDTF">2026-04-04T21:39:00Z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6e5dfd63-536b-489c-98f1-14fff5c6861d</vt:lpwstr>
  </property>
  <property fmtid="{D5CDD505-2E9C-101B-9397-08002B2CF9AE}" pid="3" name="ContentTypeId">
    <vt:lpwstr>0x010100DDEE9560EED9774DBFBCA537D0DCFECF</vt:lpwstr>
  </property>
</Properties>
</file>