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Style w:val="MdHeading1"/>
      </w:pPr>
      <w:r>
        <w:t xml:space="preserve">Comprehensive Real Estate Research Report: 12542 9th Street, Garden Grove</w:t>
      </w:r>
    </w:p>
    <w:p>
      <w:pPr>
        <w:pStyle w:val="MdParagraph"/>
      </w:pPr>
      <w:r>
        <w:rPr>
          <w:rStyle w:val="MdStrong"/>
          <w:b/>
          <w:bCs/>
        </w:rPr>
        <w:t xml:space="preserve">Prepared for:</w:t>
      </w:r>
      <w:r>
        <w:t xml:space="preserve"> Century Real Estate
</w:t>
      </w:r>
      <w:r>
        <w:rPr>
          <w:rStyle w:val="MdStrong"/>
          <w:b/>
          <w:bCs/>
        </w:rPr>
        <w:t xml:space="preserve">Date:</w:t>
      </w:r>
      <w:r>
        <w:t xml:space="preserve"> April 10, 2026
</w:t>
      </w:r>
      <w:r>
        <w:rPr>
          <w:rStyle w:val="MdStrong"/>
          <w:b/>
          <w:bCs/>
        </w:rPr>
        <w:t xml:space="preserve">Prepared by:</w:t>
      </w:r>
      <w:r>
        <w:t xml:space="preserve"> Manus AI, Real Estate Research &amp; Intelligence Specialist</w:t>
      </w:r>
    </w:p>
    <w:p>
      <w:pPr>
        <w:pStyle w:val="MdSpace"/>
        <w:spacing w:before="0" w:after="60"/>
      </w:pPr>
    </w:p>
    <w:p>
      <w:pPr>
        <w:pStyle w:val="MdHr"/>
        <w:pBdr>
          <w:bottom w:val="single" w:color="auto" w:sz="6" w:space="1"/>
        </w:pBdr>
      </w:pPr>
    </w:p>
    <w:p>
      <w:pPr>
        <w:pStyle w:val="MdSpace"/>
        <w:spacing w:before="0" w:after="60"/>
      </w:pPr>
    </w:p>
    <w:p>
      <w:pPr>
        <w:pStyle w:val="Heading3"/>
        <w:pStyle w:val="MdHeading3"/>
      </w:pPr>
      <w:r>
        <w:t xml:space="preserve">1. Executive Summary</w:t>
      </w:r>
    </w:p>
    <w:p>
      <w:pPr>
        <w:pStyle w:val="MdParagraph"/>
      </w:pPr>
      <w:r>
        <w:t xml:space="preserve">The subject property at 12542 9th Street in Garden Grove, California, represents a classic single-family residential asset positioned within a highly competitive, appreciating submarket of Orange County. Classified as an Advanced Single Family Residence, this 1,912-square-foot home on a substantial 14,040-square-foot lot offers strategic relevance primarily as a long-term hold for steady appreciation and traditional rental income. The property recently transferred ownership in October 2023 for $900,000, reflecting the strong demand in a market characterized by limited inventory and a median home value approaching $1.08 million.</w:t>
      </w:r>
    </w:p>
    <w:p>
      <w:pPr>
        <w:pStyle w:val="MdSpace"/>
        <w:spacing w:before="0" w:after="60"/>
      </w:pPr>
    </w:p>
    <w:p>
      <w:pPr>
        <w:pStyle w:val="MdParagraph"/>
      </w:pPr>
      <w:r>
        <w:t xml:space="preserve">High-level findings indicate that the property is fundamentally constrained by its strict single-family zoning, which explicitly prohibits short-term vacation rentals and presents significant regulatory barriers to co-habitation or co-living models. Consequently, the highest and best use remains a traditional long-term rental arrangement. While the current cap rate is estimated at a conservative 2.3% to 2.7%, yielding an estimated monthly rent of approximately $4,153, the true strategic value lies in the asset's historical appreciation rate of 13% over the past two years. Investors must weigh the likelihood of negative initial cash flow against the strong potential for continued equity growth in a supply-constrained Southern California market.</w:t>
      </w:r>
    </w:p>
    <w:p>
      <w:pPr>
        <w:pStyle w:val="MdSpace"/>
        <w:spacing w:before="0" w:after="60"/>
      </w:pPr>
    </w:p>
    <w:p>
      <w:pPr>
        <w:pStyle w:val="Heading3"/>
        <w:pStyle w:val="MdHeading3"/>
      </w:pPr>
      <w:r>
        <w:t xml:space="preserve">2. Property Identification &amp; Jurisdiction</w:t>
      </w:r>
    </w:p>
    <w:p>
      <w:pPr>
        <w:pStyle w:val="MdParagraph"/>
      </w:pPr>
      <w:r>
        <w:t xml:space="preserve">The subject property is located at 12542 9th Street, Garden Grove, CA 92840-5402, situated within the jurisdiction of Orange County. The property is legally identified by Assessor's Parcel Number (APN) 090-301-06 and is further tracked under CLIP number 5794239234 and Radar ID P17B5A93 [PropertyDetails_12542_9th_St_Garden_Grove.pdf]. The legal description places it in Section 33, Township 4, Range 10 South, specifically noting "78 FT N 270 FT W 210 FT NW1/4 SE1/4 -EX ST-" within the Rancho Las Bolsas subdivision [PropertyProfile_12542_9th_St_Garden_Grove.pdf].</w:t>
      </w:r>
    </w:p>
    <w:p>
      <w:pPr>
        <w:pStyle w:val="MdSpace"/>
        <w:spacing w:before="0" w:after="60"/>
      </w:pPr>
    </w:p>
    <w:p>
      <w:pPr>
        <w:pStyle w:val="MdParagraph"/>
      </w:pPr>
      <w:r>
        <w:t xml:space="preserve">Geographically, the parcel is located in Census Tract 885.01 and falls under Carrier Route C004. It is positioned within the Garden Grove Unified School District and the Rancho Santiago Community College District. The property is not located within 250 feet of a multiple flood zone, reducing environmental risk factors [PropertyDetails_12542_9th_St_Garden_Grove.pdf]. All primary identifiers were present and consistent across the provided assessor and MLS records, requiring no reconciliation for basic identification.</w:t>
      </w:r>
    </w:p>
    <w:p>
      <w:pPr>
        <w:pStyle w:val="MdSpace"/>
        <w:spacing w:before="0" w:after="60"/>
      </w:pPr>
    </w:p>
    <w:p>
      <w:pPr>
        <w:pStyle w:val="Heading3"/>
        <w:pStyle w:val="MdHeading3"/>
      </w:pPr>
      <w:r>
        <w:t xml:space="preserve">3. Ownership, Title &amp; Transfer History</w:t>
      </w:r>
    </w:p>
    <w:p>
      <w:pPr>
        <w:pStyle w:val="MdParagraph"/>
      </w:pPr>
      <w:r>
        <w:t xml:space="preserve">The current owner of record is Pham Tuan H, who acquired the property via a Grant Deed recorded on October 23, 2023, for a sale price of $900,000 from seller Bui Judy [PropertyDetails_12542_9th_St_Garden_Grove.pdf]. The ownership vesting is recorded as a Married Man, and the property is explicitly noted as non-owner-occupied, confirming its status as an investment asset. The most recent transaction equates to a price per square foot of $470.71.</w:t>
      </w:r>
    </w:p>
    <w:p>
      <w:pPr>
        <w:pStyle w:val="MdSpace"/>
        <w:spacing w:before="0" w:after="60"/>
      </w:pPr>
    </w:p>
    <w:p>
      <w:pPr>
        <w:pStyle w:val="MdParagraph"/>
      </w:pPr>
      <w:r>
        <w:t xml:space="preserve">The property has a dynamic transfer and financing history indicative of active investment management. Prior to the 2023 sale, the asset was transferred via Grant Deed on January 28, 2021, for $650,000, and earlier on February 27, 2019, also for $650,000 [PropertyProfile_12542_9th_St_Garden_Grove.pdf]. Notably, there is a record of an interspousal deed transfer involving Pham Tuan H on March 20, 2025, alongside a new conventional mortgage of $745,000 originated on the same date [PropertyDetails_12542_9th_St_Garden_Grove.pdf]. This frequent refinancing and transfer activity suggests the owner is actively leveraging equity, a common strategy in appreciating Southern California markets.</w:t>
      </w:r>
    </w:p>
    <w:p>
      <w:pPr>
        <w:pStyle w:val="MdSpace"/>
        <w:spacing w:before="0" w:after="60"/>
      </w:pPr>
    </w:p>
    <w:p>
      <w:pPr>
        <w:pStyle w:val="Heading3"/>
        <w:pStyle w:val="MdHeading3"/>
      </w:pPr>
      <w:r>
        <w:t xml:space="preserve">4. Physical &amp; Structural Characteristics</w:t>
      </w:r>
    </w:p>
    <w:p>
      <w:pPr>
        <w:pStyle w:val="MdParagraph"/>
      </w:pPr>
      <w:r>
        <w:t xml:space="preserve">The subject property features a single-story, single-family residence originally constructed in 1949. The building encompasses 1,912 gross square feet (noted as 1,870 square feet in older MLS records, with the tax record of 1,912 utilized as the reconciled figure) [PropertyDetails_12542_9th_St_Garden_Grove.pdf]. The home includes three bedrooms and, according to reconciled tax records, two full bathrooms, though MLS data previously indicated one full and one half bath. Given the priority of tax records, the two-bathroom configuration is assumed correct for valuation purposes.</w:t>
      </w:r>
    </w:p>
    <w:p>
      <w:pPr>
        <w:pStyle w:val="MdSpace"/>
        <w:spacing w:before="0" w:after="60"/>
      </w:pPr>
    </w:p>
    <w:p>
      <w:pPr>
        <w:pStyle w:val="MdParagraph"/>
      </w:pPr>
      <w:r>
        <w:t xml:space="preserve">The residence sits on a generous 14,040-square-foot lot (0.3223 acres), featuring 78 feet of street frontage and a depth of 180 feet [PropertyDetails_12542_9th_St_Garden_Grove.pdf]. Improvements include a substantial ,040-square-foot detached garage or carport structure, also built in 1949, providing two parking spaces. The property lacks a pool, fireplace, and central HVAC system. Based on the 1949 construction date and absence of central air conditioning, it is inferred with high confidence that the property may require ongoing maintenance and potential system upgrades to maximize rental appeal in the current market, though its overall condition is rated "Very High" by automated valuation models [PropertyProfile_12542_9th_St_Garden_Grove.pdf].</w:t>
      </w:r>
    </w:p>
    <w:p>
      <w:pPr>
        <w:pStyle w:val="MdSpace"/>
        <w:spacing w:before="0" w:after="60"/>
      </w:pPr>
    </w:p>
    <w:p>
      <w:pPr>
        <w:pStyle w:val="Heading3"/>
        <w:pStyle w:val="MdHeading3"/>
      </w:pPr>
      <w:r>
        <w:t xml:space="preserve">5. Zoning, Land Use &amp; Development Context</w:t>
      </w:r>
    </w:p>
    <w:p>
      <w:pPr>
        <w:pStyle w:val="MdParagraph"/>
      </w:pPr>
      <w:r>
        <w:t xml:space="preserve">The property is governed by the City of Garden Grove and is zoned for Advanced Single Family Residence (SFR) use [PropertyProfile_12542_9th_St_Garden_Grove.pdf]. Garden Grove employs a "permissive" zoning code, meaning any use not explicitly permitted is strictly prohibited [City of Garden Grove Municipal Code]. This zoning designation restricts the parcel to single-family residential occupancy and precludes multi-family development or commercial operations without a complex and unlikely variance process.</w:t>
      </w:r>
    </w:p>
    <w:p>
      <w:pPr>
        <w:pStyle w:val="MdSpace"/>
        <w:spacing w:before="0" w:after="60"/>
      </w:pPr>
    </w:p>
    <w:p>
      <w:pPr>
        <w:pStyle w:val="MdParagraph"/>
      </w:pPr>
      <w:r>
        <w:t xml:space="preserve">The expansive 14,040-square-foot lot theoretically offers physical space for expansion; however, the explicit constraint against Accessory Dwelling Unit (ADU) projections in this analysis limits the immediate development context to the existing primary structure. The single-family zoning fundamentally shapes the asset's utility, ensuring it remains a traditional residential property rather than a candidate for densification or commercial repositioning.</w:t>
      </w:r>
    </w:p>
    <w:p>
      <w:pPr>
        <w:pStyle w:val="MdSpace"/>
        <w:spacing w:before="0" w:after="60"/>
      </w:pPr>
    </w:p>
    <w:p>
      <w:pPr>
        <w:pStyle w:val="Heading3"/>
        <w:pStyle w:val="MdHeading3"/>
      </w:pPr>
      <w:r>
        <w:t xml:space="preserve">6. Taxation &amp; Assessment Analysis</w:t>
      </w:r>
    </w:p>
    <w:p>
      <w:pPr>
        <w:pStyle w:val="MdParagraph"/>
      </w:pPr>
      <w:r>
        <w:t xml:space="preserve">For the 2025 assessment year, the total assessed value of the property is $918,000, representing a 2% year-over-year increase from the 2024 value of $900,000 [PropertyDetails_12542_9th_St_Garden_Grove.pdf]. This assessment is divided into a land value of $791,905 and an improvement value of $126,095, highlighting that 86% of the property's assessed worth is derived from the underlying land. The annual tax liability for 2025 is $11,456, up slightly from $11,175 in 2024.</w:t>
      </w:r>
    </w:p>
    <w:p>
      <w:pPr>
        <w:pStyle w:val="MdSpace"/>
        <w:spacing w:before="0" w:after="60"/>
      </w:pPr>
    </w:p>
    <w:p>
      <w:pPr>
        <w:pStyle w:val="MdParagraph"/>
      </w:pPr>
      <w:r>
        <w:t xml:space="preserve">The property is situated in Tax Rate Area 18046 and is subject to several special assessments totaling $447.53 annually. These include the OCSD Sewer User Fee ($384.00), Street Lighting Assessment ($28.71), City Park Maintenance ($13.75), and minor charges for water standby and vector control [PropertyDetails_12542_9th_St_Garden_Grove.pdf]. There are no owner exemptions recorded, aligning with its status as a non-owner-occupied investment property. The taxation profile is stable and predictable under California's Proposition 13 framework, which limits annual assessment increases.</w:t>
      </w:r>
    </w:p>
    <w:p>
      <w:pPr>
        <w:pStyle w:val="MdSpace"/>
        <w:spacing w:before="0" w:after="60"/>
      </w:pPr>
    </w:p>
    <w:p>
      <w:pPr>
        <w:pStyle w:val="Heading3"/>
        <w:pStyle w:val="MdHeading3"/>
      </w:pPr>
      <w:r>
        <w:t xml:space="preserve">7. Market &amp; Comparative Environment</w:t>
      </w:r>
    </w:p>
    <w:p>
      <w:pPr>
        <w:pStyle w:val="MdParagraph"/>
      </w:pPr>
      <w:r>
        <w:t xml:space="preserve">Garden Grove represents a highly competitive, seller-dominated submarket within Orange County. The neighborhood surrounding 12542 9th Street is characterized by established single-family homes, proximity to Garden Grove High School, and a Walkable Score of 82/100, indicating good accessibility to local amenities [PropertyDetails_12542_9th_St_Garden_Grove.pdf]. The area boasts a Median Home Value Rating of 10/10 and a relatively low Total Crime Risk Score of 35/100, making it highly attractive to families and long-term renters.</w:t>
      </w:r>
    </w:p>
    <w:p>
      <w:pPr>
        <w:pStyle w:val="MdSpace"/>
        <w:spacing w:before="0" w:after="60"/>
      </w:pPr>
    </w:p>
    <w:p>
      <w:pPr>
        <w:pStyle w:val="MdParagraph"/>
      </w:pPr>
      <w:r>
        <w:t xml:space="preserve">Comparable property signals indicate a robust pricing environment. The RealAVM estimated value for the subject property is $1,068,800, with a confidence score of 86, closely aligning with the broader Garden Grove median home value of $1,078,358 [PropertyDetails_12542_9th_St_Garden_Grove.pdf]. The market has experienced a 13% home appreciation over the last two years. For investors, the estimated monthly rental value is $4,153, generating a conservative cap rate of 2.3%. The property's positioning appeals strongly to buy-and-hold investors seeking equity growth in a supply-constrained Southern California market, rather than those requiring immediate high-yield cash flow.</w:t>
      </w:r>
    </w:p>
    <w:p>
      <w:pPr>
        <w:pStyle w:val="MdSpace"/>
        <w:spacing w:before="0" w:after="60"/>
      </w:pPr>
    </w:p>
    <w:p>
      <w:pPr>
        <w:pStyle w:val="Heading3"/>
        <w:pStyle w:val="MdHeading3"/>
      </w:pPr>
      <w:r>
        <w:t xml:space="preserve">8. Risk Analysis &amp; Constraints</w:t>
      </w:r>
    </w:p>
    <w:p>
      <w:pPr>
        <w:pStyle w:val="MdParagraph"/>
      </w:pPr>
      <w:r>
        <w:t xml:space="preserve">The primary risks associated with this asset are regulatory and financial. The most significant regulatory constraint is the strict prohibition of short-term vacation rentals in Garden Grove residential zones [City of Garden Grove Municipal Code]. Any attempt to operate an Airbnb or VRBO would violate local ordinances, risking misdemeanor charges and fines up to $1,000 per day. Similarly, attempting a high-density co-habitation model faces severe zoning hurdles and potential code enforcement actions regarding single-family occupancy limits.</w:t>
      </w:r>
    </w:p>
    <w:p>
      <w:pPr>
        <w:pStyle w:val="MdSpace"/>
        <w:spacing w:before="0" w:after="60"/>
      </w:pPr>
    </w:p>
    <w:p>
      <w:pPr>
        <w:pStyle w:val="MdParagraph"/>
      </w:pPr>
      <w:r>
        <w:t xml:space="preserve">Financially, the property presents a cash flow risk. With a 2025 mortgage of $745,000 and estimated taxes and insurance, the projected rental income of $4,153 per month is unlikely to cover total debt service and operating expenses, resulting in negative cash flow. Furthermore, the 1949 construction age introduces maintenance risk, particularly given the lack of central HVAC. Data inconsistencies were minor, primarily the discrepancy between tax records (2 baths, 1,912 sq ft) and older MLS data (1.5 baths, 1,870 sq ft); tax records were prioritized for this analysis, but physical verification is recommended to confirm the exact bath count.</w:t>
      </w:r>
    </w:p>
    <w:p>
      <w:pPr>
        <w:pStyle w:val="MdSpace"/>
        <w:spacing w:before="0" w:after="60"/>
      </w:pPr>
    </w:p>
    <w:p>
      <w:pPr>
        <w:pStyle w:val="Heading3"/>
        <w:pStyle w:val="MdHeading3"/>
      </w:pPr>
      <w:r>
        <w:t xml:space="preserve">9. Investment, Use &amp; Strategic Observations</w:t>
      </w:r>
    </w:p>
    <w:p>
      <w:pPr>
        <w:pStyle w:val="MdParagraph"/>
      </w:pPr>
      <w:r>
        <w:t xml:space="preserve">Based on the synthesis of property characteristics and strict regulatory constraints, the highest and best use for 12542 9th Street is a traditional, long-term single-family rental. The asset is best positioned for a wealth-building investor focused on long-term equity appreciation rather than immediate cash flow.</w:t>
      </w:r>
    </w:p>
    <w:p>
      <w:pPr>
        <w:pStyle w:val="MdSpace"/>
        <w:spacing w:before="0" w:after="60"/>
      </w:pPr>
    </w:p>
    <w:p>
      <w:pPr>
        <w:pStyle w:val="MdParagraph"/>
      </w:pPr>
      <w:r>
        <w:rPr>
          <w:rStyle w:val="MdStrong"/>
          <w:b/>
          <w:bCs/>
        </w:rPr>
        <w:t xml:space="preserve">Rental Model Analysis:</w:t>
      </w:r>
    </w:p>
    <w:p>
      <w:pPr>
        <w:pStyle w:val="MdListItem"/>
        <w:numPr>
          <w:ilvl w:val="0"/>
          <w:numId w:val="2"/>
        </w:numPr>
      </w:pPr>
      <w:r>
        <w:rPr>
          <w:rStyle w:val="MdStrong"/>
          <w:b/>
          <w:bCs/>
        </w:rPr>
        <w:t xml:space="preserve">Traditional Long-Term Rental:</w:t>
      </w:r>
      <w:r>
        <w:t xml:space="preserve"> This is the only legally compliant and strategically sound option. It aligns with California's AB 1482 rent control framework (allowing for stable, capped annual increases) and avoids municipal zoning violations. While the 2.3% cap rate is low, the historical 13% two-year appreciation provides the primary investment return mechanism.</w:t>
      </w:r>
    </w:p>
    <w:p>
      <w:pPr>
        <w:pStyle w:val="MdListItem"/>
        <w:numPr>
          <w:ilvl w:val="0"/>
          <w:numId w:val="2"/>
        </w:numPr>
      </w:pPr>
      <w:r>
        <w:rPr>
          <w:rStyle w:val="MdStrong"/>
          <w:b/>
          <w:bCs/>
        </w:rPr>
        <w:t xml:space="preserve">Short-Term Rental (Airbnb/VRBO):</w:t>
      </w:r>
      <w:r>
        <w:t xml:space="preserve"> This model is explicitly prohibited in Garden Grove residential zones. Pursuing this strategy carries unacceptable legal and financial risks, including severe daily fines and potential lender acceleration. It is strongly advised against.</w:t>
      </w:r>
    </w:p>
    <w:p>
      <w:pPr>
        <w:pStyle w:val="MdListItem"/>
        <w:numPr>
          <w:ilvl w:val="0"/>
          <w:numId w:val="2"/>
        </w:numPr>
      </w:pPr>
      <w:r>
        <w:rPr>
          <w:rStyle w:val="MdStrong"/>
          <w:b/>
          <w:bCs/>
        </w:rPr>
        <w:t xml:space="preserve">Singapore-Inspired Co-Habitation Model:</w:t>
      </w:r>
      <w:r>
        <w:t xml:space="preserve"> While theoretically lucrative, renting individual rooms to multiple unrelated parties in a curated community setting likely violates the spirit and letter of Garden Grove's permissive single-family zoning. The regulatory barriers, combined with the need for specialized property management and the risk of code enforcement, make this model highly questionable and not recommended for this specific asset.</w:t>
      </w:r>
    </w:p>
    <w:p>
      <w:pPr>
        <w:pStyle w:val="MdSpace"/>
        <w:spacing w:before="0" w:after="60"/>
      </w:pPr>
    </w:p>
    <w:p>
      <w:pPr>
        <w:pStyle w:val="MdParagraph"/>
      </w:pPr>
      <w:r>
        <w:t xml:space="preserve">For Century Real Estate's investor clients, the recommendation is a buy-and-hold strategy, leveraging the property's large lot and prime location for steady appreciation, while utilizing traditional 12-month leases to offset carrying costs.</w:t>
      </w:r>
    </w:p>
    <w:p>
      <w:pPr>
        <w:pStyle w:val="MdSpace"/>
        <w:spacing w:before="0" w:after="60"/>
      </w:pPr>
    </w:p>
    <w:p>
      <w:pPr>
        <w:pStyle w:val="Heading3"/>
        <w:pStyle w:val="MdHeading3"/>
      </w:pPr>
      <w:r>
        <w:t xml:space="preserve">10. Sources, Assumptions &amp; Confidence Assessment</w:t>
      </w:r>
    </w:p>
    <w:p>
      <w:pPr>
        <w:pStyle w:val="MdParagraph"/>
      </w:pPr>
      <w:r>
        <w:rPr>
          <w:rStyle w:val="MdStrong"/>
          <w:b/>
          <w:bCs/>
        </w:rPr>
        <w:t xml:space="preserve">Labeled Data Sources:</w:t>
      </w:r>
    </w:p>
    <w:p>
      <w:pPr>
        <w:pStyle w:val="MdListItem"/>
        <w:numPr>
          <w:ilvl w:val="0"/>
          <w:numId w:val="3"/>
        </w:numPr>
      </w:pPr>
      <w:r>
        <w:t xml:space="preserve">[PropertyDetails_12542_9th_St_Garden_Grove.pdf]: CoreLogic Property Details Report, generated 03/29/26.</w:t>
      </w:r>
    </w:p>
    <w:p>
      <w:pPr>
        <w:pStyle w:val="MdListItem"/>
        <w:numPr>
          <w:ilvl w:val="0"/>
          <w:numId w:val="3"/>
        </w:numPr>
      </w:pPr>
      <w:r>
        <w:t xml:space="preserve">[PropertyProfile_12542_9th_St_Garden_Grove.pdf]: Title Company Property Profile, generated 03/29/26.</w:t>
      </w:r>
    </w:p>
    <w:p>
      <w:pPr>
        <w:pStyle w:val="MdListItem"/>
        <w:numPr>
          <w:ilvl w:val="0"/>
          <w:numId w:val="3"/>
        </w:numPr>
      </w:pPr>
      <w:r>
        <w:t xml:space="preserve">[City of Garden Grove Municipal Code]: Online municipal code and code enforcement guidelines regarding short-term rentals and zoning.</w:t>
      </w:r>
    </w:p>
    <w:p>
      <w:pPr>
        <w:pStyle w:val="MdSpace"/>
        <w:spacing w:before="0" w:after="60"/>
      </w:pPr>
    </w:p>
    <w:p>
      <w:pPr>
        <w:pStyle w:val="MdParagraph"/>
      </w:pPr>
      <w:r>
        <w:rPr>
          <w:rStyle w:val="MdStrong"/>
          <w:b/>
          <w:bCs/>
        </w:rPr>
        <w:t xml:space="preserve">Explicit Assumptions:</w:t>
      </w:r>
    </w:p>
    <w:p>
      <w:pPr>
        <w:pStyle w:val="MdListItem"/>
        <w:numPr>
          <w:ilvl w:val="0"/>
          <w:numId w:val="3"/>
        </w:numPr>
      </w:pPr>
      <w:r>
        <w:t xml:space="preserve">In the absence of a physical inspection, it is assumed the property condition matches the "Very High" rating provided by automated valuation models, despite its 1949 age.</w:t>
      </w:r>
    </w:p>
    <w:p>
      <w:pPr>
        <w:pStyle w:val="MdListItem"/>
        <w:numPr>
          <w:ilvl w:val="0"/>
          <w:numId w:val="3"/>
        </w:numPr>
      </w:pPr>
      <w:r>
        <w:t xml:space="preserve">It is assumed that the tax record of 2 full bathrooms and 1,912 square feet is accurate, superseding older MLS data of 1.5 baths and 1,870 square feet.</w:t>
      </w:r>
    </w:p>
    <w:p>
      <w:pPr>
        <w:pStyle w:val="MdListItem"/>
        <w:numPr>
          <w:ilvl w:val="0"/>
          <w:numId w:val="3"/>
        </w:numPr>
      </w:pPr>
      <w:r>
        <w:t xml:space="preserve">Projections assume the continuation of current California rent control laws (AB 1482) and Garden Grove zoning enforcement practices.</w:t>
      </w:r>
    </w:p>
    <w:p>
      <w:pPr>
        <w:pStyle w:val="MdListItem"/>
        <w:numPr>
          <w:ilvl w:val="0"/>
          <w:numId w:val="3"/>
        </w:numPr>
      </w:pPr>
      <w:r>
        <w:t xml:space="preserve">The founding year, origin story, and specific team metrics of Century Real Estate were omitted as they were not provided in the source data and could not be invented.</w:t>
      </w:r>
    </w:p>
    <w:p>
      <w:pPr>
        <w:pStyle w:val="MdSpace"/>
        <w:spacing w:before="0" w:after="60"/>
      </w:pPr>
    </w:p>
    <w:p>
      <w:pPr>
        <w:pStyle w:val="MdParagraph"/>
      </w:pPr>
      <w:r>
        <w:rPr>
          <w:rStyle w:val="MdStrong"/>
          <w:b/>
          <w:bCs/>
        </w:rPr>
        <w:t xml:space="preserve">Confidence Assessment:</w:t>
      </w:r>
      <w:r>
        <w:t xml:space="preserve">
The overall confidence rating for this report is </w:t>
      </w:r>
      <w:r>
        <w:rPr>
          <w:rStyle w:val="MdStrong"/>
          <w:b/>
          <w:bCs/>
        </w:rPr>
        <w:t xml:space="preserve">High</w:t>
      </w:r>
      <w:r>
        <w:t xml:space="preserve">. The provided assessor and title documents were comprehensive, recent (March 2026), and largely internally consistent. The regulatory environment in Garden Grove regarding short-term rentals is well-documented and unambiguous, allowing for definitive strategic recommendations. The primary area of moderate confidence relates to the exact interior condition and bathroom count, which rely on tax records rather than recent physical inspection.</w:t>
      </w:r>
    </w:p>
    <w:p>
      <w:pPr>
        <w:pStyle w:val="MdSpace"/>
        <w:spacing w:before="0" w:after="60"/>
      </w:pPr>
    </w:p>
    <w:p>
      <w:pPr>
        <w:pStyle w:val="MdHr"/>
        <w:pBdr>
          <w:bottom w:val="single" w:color="auto" w:sz="6" w:space="1"/>
        </w:pBdr>
      </w:pPr>
    </w:p>
    <w:p>
      <w:pPr>
        <w:pStyle w:val="MdParagraph"/>
      </w:pPr>
      <w:r>
        <w:rPr>
          <w:rStyle w:val="MdEm"/>
          <w:i/>
          <w:iCs/>
        </w:rPr>
        <w:t xml:space="preserve">End of Report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2026-04-10T17:28:30.639Z</dcterms:created>
  <dcterms:modified xsi:type="dcterms:W3CDTF">2026-04-10T17:28:30.639Z</dcterms:modified>
</cp:coreProperties>
</file>

<file path=docProps/custom.xml><?xml version="1.0" encoding="utf-8"?>
<Properties xmlns="http://schemas.openxmlformats.org/officeDocument/2006/custom-properties" xmlns:vt="http://schemas.openxmlformats.org/officeDocument/2006/docPropsVTypes"/>
</file>