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MdBlockquote"/>
      </w:pPr>
      <w:r>
        <w:rPr>
          <w:rStyle w:val="MdStrong"/>
          <w:b/>
          <w:bCs/>
        </w:rPr>
        <w:t xml:space="preserve">Disclaimer:</w:t>
      </w:r>
      <w:r>
        <w:t xml:space="preserve"> This report is provided for informational and strategic advisory purposes only. It does not constitute a formal appraisal, legal opinion, or tax advice. Value indications and market analyses are based on available public records, automated valuation models, and market research, which may contain inaccuracies. Users should conduct independent due diligence before making any investment decisions.</w:t>
      </w:r>
    </w:p>
    <w:p>
      <w:pPr>
        <w:pStyle w:val="MdSpace"/>
        <w:spacing w:before="0" w:after="60"/>
      </w:pPr>
    </w:p>
    <w:p>
      <w:pPr>
        <w:pStyle w:val="Heading1"/>
        <w:pStyle w:val="MdHeading1"/>
      </w:pPr>
      <w:r>
        <w:t xml:space="preserve">Investment Property Research Report</w:t>
      </w:r>
    </w:p>
    <w:p>
      <w:pPr>
        <w:pStyle w:val="MdParagraph"/>
      </w:pPr>
      <w:r>
        <w:rPr>
          <w:rStyle w:val="MdStrong"/>
          <w:b/>
          <w:bCs/>
        </w:rPr>
        <w:t xml:space="preserve">Property Address:</w:t>
      </w:r>
      <w:r>
        <w:t xml:space="preserve"> 12542 9th St, Garden Grove, CA 92840</w:t>
      </w:r>
      <w:r>
        <w:rPr>
          <w:rStyle w:val="MdBr"/>
        </w:rPr>
        <w:br/>
        <w:t xml:space="preserve"/>
      </w:r>
      <w:r>
        <w:rPr>
          <w:rStyle w:val="MdStrong"/>
          <w:b/>
          <w:bCs/>
        </w:rPr>
        <w:t xml:space="preserve">Prepared For:</w:t>
      </w:r>
      <w:r>
        <w:t xml:space="preserve"> Century Real Estate</w:t>
      </w:r>
      <w:r>
        <w:rPr>
          <w:rStyle w:val="MdBr"/>
        </w:rPr>
        <w:br/>
        <w:t xml:space="preserve"/>
      </w:r>
      <w:r>
        <w:rPr>
          <w:rStyle w:val="MdStrong"/>
          <w:b/>
          <w:bCs/>
        </w:rPr>
        <w:t xml:space="preserve">Report Date:</w:t>
      </w:r>
      <w:r>
        <w:t xml:space="preserve"> April 12, 2026</w:t>
      </w:r>
      <w:r>
        <w:rPr>
          <w:rStyle w:val="MdBr"/>
        </w:rPr>
        <w:br/>
        <w:t xml:space="preserve"/>
      </w:r>
      <w:r>
        <w:rPr>
          <w:rStyle w:val="MdStrong"/>
          <w:b/>
          <w:bCs/>
        </w:rPr>
        <w:t xml:space="preserve">Property Type:</w:t>
      </w:r>
      <w:r>
        <w:t xml:space="preserve"> Single-Family Residence (SFR)</w:t>
      </w:r>
      <w:r>
        <w:rPr>
          <w:rStyle w:val="MdBr"/>
        </w:rPr>
        <w:br/>
        <w:t xml:space="preserve"/>
      </w:r>
      <w:r>
        <w:rPr>
          <w:rStyle w:val="MdStrong"/>
          <w:b/>
          <w:bCs/>
        </w:rPr>
        <w:t xml:space="preserve">Prepared By:</w:t>
      </w:r>
      <w:r>
        <w:t xml:space="preserve"> Century Real Estate Intelligence Engine  </w:t>
      </w:r>
    </w:p>
    <w:p>
      <w:pPr>
        <w:pStyle w:val="MdSpace"/>
        <w:spacing w:before="0" w:after="60"/>
      </w:pPr>
    </w:p>
    <w:p>
      <w:pPr>
        <w:pStyle w:val="MdHr"/>
        <w:pBdr>
          <w:bottom w:val="single" w:color="auto" w:sz="6" w:space="1"/>
        </w:pBdr>
      </w:pPr>
    </w:p>
    <w:p>
      <w:pPr>
        <w:pStyle w:val="MdSpace"/>
        <w:spacing w:before="0" w:after="60"/>
      </w:pPr>
    </w:p>
    <w:p>
      <w:pPr>
        <w:pStyle w:val="Heading2"/>
        <w:pStyle w:val="MdHeading2"/>
      </w:pPr>
      <w:r>
        <w:t xml:space="preserve">1. Executive Summary</w:t>
      </w:r>
    </w:p>
    <w:p>
      <w:pPr>
        <w:pStyle w:val="MdParagraph"/>
      </w:pPr>
      <w:r>
        <w:t xml:space="preserve">The subject property located at 12542 9th St, Garden Grove, CA 92840, is a single-family residence (SFR) situated in a moderately walkable, established neighborhood within Orange County. According to the automated valuation model (AVM) and property profile data, the current estimated value is approximately $1,055,007 (Property Profile) [2]. The property was previously acquired for $900,000 in October 2023, reflecting a total appreciation of approximately $155,007 (17.22%) over a 2.47-year holding period, equating to an annualized appreciation rate of 6.97% (Financial Output) [9]. </w:t>
      </w:r>
    </w:p>
    <w:p>
      <w:pPr>
        <w:pStyle w:val="MdSpace"/>
        <w:spacing w:before="0" w:after="60"/>
      </w:pPr>
    </w:p>
    <w:p>
      <w:pPr>
        <w:pStyle w:val="MdParagraph"/>
      </w:pPr>
      <w:r>
        <w:t xml:space="preserve">Strategically, the property presents a compelling long-term hold and appreciation play rather than a high-yield cash flow investment. Current rental market data suggests an estimated monthly rent of $4,153, which translates to a gross rental yield of 4.72% and a net operating income (NOI) capitalization rate of approximately 1.87% (Financial Output) [9]. While the capitalization rate is below typical institutional benchmarks for immediate cash flow, the property benefits from strong historical appreciation, a stable local market, and potential value-add opportunities through Accessory Dwelling Unit (ADU) development, making it highly relevant for equity-focused investors or owner-occupants seeking long-term growth in the Southern California market.</w:t>
      </w:r>
    </w:p>
    <w:p>
      <w:pPr>
        <w:pStyle w:val="MdSpace"/>
        <w:spacing w:before="0" w:after="60"/>
      </w:pPr>
    </w:p>
    <w:p>
      <w:pPr>
        <w:pStyle w:val="Heading2"/>
        <w:pStyle w:val="MdHeading2"/>
      </w:pPr>
      <w:r>
        <w:t xml:space="preserve">2. Property Identification &amp; Jurisdiction</w:t>
      </w:r>
    </w:p>
    <w:p>
      <w:pPr>
        <w:pStyle w:val="MdParagraph"/>
      </w:pPr>
      <w:r>
        <w:t xml:space="preserve">The subject property is legally identified as 12542 9th St, Garden Grove, CA 92840, located within Orange County. The Assessor Parcel Number (APN) is 090-301-06. The property was previously listed under MLS Number PW13117058, which is currently closed. The legal description is recorded as SEC 33 T 4 R 10 S 78 FT N 270 FT W 210 FT NW1/4 SE1/4 -EX ST- (Subject Property PDF) [1]. </w:t>
      </w:r>
    </w:p>
    <w:p>
      <w:pPr>
        <w:pStyle w:val="MdSpace"/>
        <w:spacing w:before="0" w:after="60"/>
      </w:pPr>
    </w:p>
    <w:p>
      <w:pPr>
        <w:pStyle w:val="MdParagraph"/>
      </w:pPr>
      <w:r>
        <w:t xml:space="preserve">Jurisdictionally, the property falls within the municipality of Garden Grove and is served by the Garden Grove Unified School District and the Rancho Santiago Community College District. The property is situated in Census Tract 885.01 and Tax Area 18046. Geographically, it is located near the intersection of Lampson Ave and 9th St, in close proximity to Garden Grove High School and St. Olaf Lutheran Church. According to available records, the property is not located within 250 feet of a multiple flood zone (Subject Property PDF) [1].</w:t>
      </w:r>
    </w:p>
    <w:p>
      <w:pPr>
        <w:pStyle w:val="MdSpace"/>
        <w:spacing w:before="0" w:after="60"/>
      </w:pPr>
    </w:p>
    <w:p>
      <w:pPr>
        <w:pStyle w:val="Heading2"/>
        <w:pStyle w:val="MdHeading2"/>
      </w:pPr>
      <w:r>
        <w:t xml:space="preserve">3. Ownership, Title &amp; Transfer History</w:t>
      </w:r>
    </w:p>
    <w:p>
      <w:pPr>
        <w:pStyle w:val="MdParagraph"/>
      </w:pPr>
      <w:r>
        <w:t xml:space="preserve">The current owner of record, as of the most recent transaction on March 20, 2025, is Pham Tuan H, holding title as a Married Man. The tax billing address is listed as 9901 Newcastle Ave, Westminster, CA 92683, indicating that the subject property is not owner-occupied (Subject Property PDF) [1].</w:t>
      </w:r>
    </w:p>
    <w:p>
      <w:pPr>
        <w:pStyle w:val="MdSpace"/>
        <w:spacing w:before="0" w:after="60"/>
      </w:pPr>
    </w:p>
    <w:p>
      <w:pPr>
        <w:pStyle w:val="MdParagraph"/>
      </w:pPr>
      <w:r>
        <w:t xml:space="preserve">The property has experienced significant transfer and refinancing activity over the past several years. On October 23, 2023, the property was sold by Bui Judy to Cvc Investment Group LLC for $900,000, accompanied by a $700,000 conventional mortgage from Jusu Corner Plaz. Subsequently, on March 14, 2025, a market transaction was recorded transferring the property from Mai Trang T T to Pham Tuan H for $745,000. Shortly thereafter, on March 20, 2025, an interspousal deed transfer occurred between Cvc Investment Group LLC and Pham Tuan H, coinciding with a new conventional mortgage of $745,000 from Mortgage Research (Subject Property PDF) [1]. This sequence of transactions suggests portfolio restructuring and potential equity extraction, as the current mortgage balance of $745,000 against the estimated value of $1,055,007 leaves an equity position of approximately $310,007 (29.4%) (Property Profile) [2].</w:t>
      </w:r>
    </w:p>
    <w:p>
      <w:pPr>
        <w:pStyle w:val="MdSpace"/>
        <w:spacing w:before="0" w:after="60"/>
      </w:pPr>
    </w:p>
    <w:p>
      <w:pPr>
        <w:pStyle w:val="Heading2"/>
        <w:pStyle w:val="MdHeading2"/>
      </w:pPr>
      <w:r>
        <w:t xml:space="preserve">4. Physical &amp; Structural Characteristics</w:t>
      </w:r>
    </w:p>
    <w:p>
      <w:pPr>
        <w:pStyle w:val="MdParagraph"/>
      </w:pPr>
      <w:r>
        <w:t xml:space="preserve">The subject property is a single-story, single-family residence originally constructed in 1949. It features 3 bedrooms, 1 full bathroom, and 1 half bathroom, totaling 2 bathrooms. The living area is reported as 1,870 square feet by the MLS, while the tax record indicates a gross building area of 1,912 square feet. The property sits on a 0.3223-acre lot (14,040 square feet) with 78 feet of frontage and 180 feet of depth. It includes a detached garage/carport structure measuring 1,040 square feet. The property does not have a pool, fireplace, or central HVAC system (Subject Property PDF) [1].</w:t>
      </w:r>
    </w:p>
    <w:p>
      <w:pPr>
        <w:pStyle w:val="MdSpace"/>
        <w:spacing w:before="0" w:after="60"/>
      </w:pPr>
    </w:p>
    <w:tbl>
      <w:tblPr>
        <w:tblStyle w:val="MdTable"/>
        <w:tblW w:type="pct" w:w="100%"/>
        <w:tblBorders>
          <w:top w:val="single" w:color="E1E4E8" w:sz="4"/>
          <w:left w:val="none"/>
          <w:bottom w:val="single" w:color="E1E4E8" w:sz="4"/>
          <w:right w:val="none"/>
          <w:insideH w:val="single" w:color="E1E4E8" w:sz="2"/>
          <w:insideV w:val="single" w:color="F6F8FA" w:sz="2"/>
        </w:tblBorders>
      </w:tblPr>
      <w:tblGrid>
        <w:gridCol w:w="100"/>
        <w:gridCol w:w="100"/>
        <w:gridCol w:w="100"/>
      </w:tblGrid>
      <w:tr>
        <w:trPr>
          <w:cantSplit/>
          <w:tblHeader/>
          <w:trHeight w:val="720" w:hRule="atLeast"/>
        </w:trPr>
        <w:tc>
          <w:tcPr>
            <w:tcBorders>
              <w:left w:val="none"/>
            </w:tcBorders>
            <w:tcMar>
              <w:top w:type="dxa" w:w="100"/>
              <w:left w:type="dxa" w:w="120"/>
              <w:bottom w:type="dxa" w:w="100"/>
              <w:right w:type="dxa" w:w="120"/>
            </w:tcMar>
            <w:vAlign w:val="center"/>
          </w:tcPr>
          <w:p>
            <w:pPr>
              <w:pStyle w:val="MdTableHeader"/>
              <w:jc w:val="left"/>
            </w:pPr>
            <w:r>
              <w:t xml:space="preserve">Attribute</w:t>
            </w:r>
          </w:p>
        </w:tc>
        <w:tc>
          <w:tcPr>
            <w:tcMar>
              <w:top w:type="dxa" w:w="100"/>
              <w:left w:type="dxa" w:w="120"/>
              <w:bottom w:type="dxa" w:w="100"/>
              <w:right w:type="dxa" w:w="120"/>
            </w:tcMar>
            <w:vAlign w:val="center"/>
          </w:tcPr>
          <w:p>
            <w:pPr>
              <w:pStyle w:val="MdTableHeader"/>
              <w:jc w:val="left"/>
            </w:pPr>
            <w:r>
              <w:t xml:space="preserve">Value</w:t>
            </w:r>
          </w:p>
        </w:tc>
        <w:tc>
          <w:tcPr>
            <w:tcBorders>
              <w:right w:val="none"/>
            </w:tcBorders>
            <w:tcMar>
              <w:top w:type="dxa" w:w="100"/>
              <w:left w:type="dxa" w:w="120"/>
              <w:bottom w:type="dxa" w:w="100"/>
              <w:right w:type="dxa" w:w="120"/>
            </w:tcMar>
            <w:vAlign w:val="center"/>
          </w:tcPr>
          <w:p>
            <w:pPr>
              <w:pStyle w:val="MdTableHeader"/>
              <w:jc w:val="left"/>
            </w:pPr>
            <w:r>
              <w:t xml:space="preserve">Source</w:t>
            </w:r>
          </w:p>
        </w:tc>
      </w:tr>
      <w:tr>
        <w:trPr>
          <w:cantSplit/>
          <w:trHeight w:val="576" w:hRule="atLeast"/>
        </w:trPr>
        <w:tc>
          <w:tcPr>
            <w:tcBorders>
              <w:left w:val="none"/>
            </w:tcBorders>
            <w:tcMar>
              <w:top w:type="dxa" w:w="80"/>
              <w:left w:type="dxa" w:w="120"/>
              <w:bottom w:type="dxa" w:w="80"/>
              <w:right w:type="dxa" w:w="120"/>
            </w:tcMar>
            <w:vAlign w:val="center"/>
          </w:tcPr>
          <w:p>
            <w:pPr>
              <w:pStyle w:val="MdTableCell"/>
              <w:jc w:val="left"/>
            </w:pPr>
            <w:r>
              <w:t xml:space="preserve">Property Type</w:t>
            </w:r>
          </w:p>
        </w:tc>
        <w:tc>
          <w:tcPr>
            <w:tcMar>
              <w:top w:type="dxa" w:w="80"/>
              <w:left w:type="dxa" w:w="120"/>
              <w:bottom w:type="dxa" w:w="80"/>
              <w:right w:type="dxa" w:w="120"/>
            </w:tcMar>
            <w:vAlign w:val="center"/>
          </w:tcPr>
          <w:p>
            <w:pPr>
              <w:pStyle w:val="MdTableCell"/>
              <w:jc w:val="left"/>
            </w:pPr>
            <w:r>
              <w:t xml:space="preserve">Single-Family Residence (SFR)</w:t>
            </w:r>
          </w:p>
        </w:tc>
        <w:tc>
          <w:tcPr>
            <w:tcBorders>
              <w:right w:val="none"/>
            </w:tcBorders>
            <w:tcMar>
              <w:top w:type="dxa" w:w="80"/>
              <w:left w:type="dxa" w:w="120"/>
              <w:bottom w:type="dxa" w:w="80"/>
              <w:right w:type="dxa" w:w="120"/>
            </w:tcMar>
            <w:vAlign w:val="center"/>
          </w:tcPr>
          <w:p>
            <w:pPr>
              <w:pStyle w:val="MdTableCell"/>
              <w:jc w:val="left"/>
            </w:pPr>
            <w:r>
              <w:t xml:space="preserve">Subject Property PDF [1]</w:t>
            </w:r>
          </w:p>
        </w:tc>
      </w:tr>
      <w:tr>
        <w:trPr>
          <w:cantSplit/>
          <w:trHeight w:val="576" w:hRule="atLeast"/>
        </w:trPr>
        <w:tc>
          <w:tcPr>
            <w:tcBorders>
              <w:left w:val="none"/>
            </w:tcBorders>
            <w:tcMar>
              <w:top w:type="dxa" w:w="80"/>
              <w:left w:type="dxa" w:w="120"/>
              <w:bottom w:type="dxa" w:w="80"/>
              <w:right w:type="dxa" w:w="120"/>
            </w:tcMar>
            <w:vAlign w:val="center"/>
          </w:tcPr>
          <w:p>
            <w:pPr>
              <w:pStyle w:val="MdTableCell"/>
              <w:jc w:val="left"/>
            </w:pPr>
            <w:r>
              <w:t xml:space="preserve">Year Built</w:t>
            </w:r>
          </w:p>
        </w:tc>
        <w:tc>
          <w:tcPr>
            <w:tcMar>
              <w:top w:type="dxa" w:w="80"/>
              <w:left w:type="dxa" w:w="120"/>
              <w:bottom w:type="dxa" w:w="80"/>
              <w:right w:type="dxa" w:w="120"/>
            </w:tcMar>
            <w:vAlign w:val="center"/>
          </w:tcPr>
          <w:p>
            <w:pPr>
              <w:pStyle w:val="MdTableCell"/>
              <w:jc w:val="left"/>
            </w:pPr>
            <w:r>
              <w:t xml:space="preserve">1949</w:t>
            </w:r>
          </w:p>
        </w:tc>
        <w:tc>
          <w:tcPr>
            <w:tcBorders>
              <w:right w:val="none"/>
            </w:tcBorders>
            <w:tcMar>
              <w:top w:type="dxa" w:w="80"/>
              <w:left w:type="dxa" w:w="120"/>
              <w:bottom w:type="dxa" w:w="80"/>
              <w:right w:type="dxa" w:w="120"/>
            </w:tcMar>
            <w:vAlign w:val="center"/>
          </w:tcPr>
          <w:p>
            <w:pPr>
              <w:pStyle w:val="MdTableCell"/>
              <w:jc w:val="left"/>
            </w:pPr>
            <w:r>
              <w:t xml:space="preserve">Subject Property PDF [1]</w:t>
            </w:r>
          </w:p>
        </w:tc>
      </w:tr>
      <w:tr>
        <w:trPr>
          <w:cantSplit/>
          <w:trHeight w:val="576" w:hRule="atLeast"/>
        </w:trPr>
        <w:tc>
          <w:tcPr>
            <w:tcBorders>
              <w:left w:val="none"/>
            </w:tcBorders>
            <w:tcMar>
              <w:top w:type="dxa" w:w="80"/>
              <w:left w:type="dxa" w:w="120"/>
              <w:bottom w:type="dxa" w:w="80"/>
              <w:right w:type="dxa" w:w="120"/>
            </w:tcMar>
            <w:vAlign w:val="center"/>
          </w:tcPr>
          <w:p>
            <w:pPr>
              <w:pStyle w:val="MdTableCell"/>
              <w:jc w:val="left"/>
            </w:pPr>
            <w:r>
              <w:t xml:space="preserve">Bedrooms</w:t>
            </w:r>
          </w:p>
        </w:tc>
        <w:tc>
          <w:tcPr>
            <w:tcMar>
              <w:top w:type="dxa" w:w="80"/>
              <w:left w:type="dxa" w:w="120"/>
              <w:bottom w:type="dxa" w:w="80"/>
              <w:right w:type="dxa" w:w="120"/>
            </w:tcMar>
            <w:vAlign w:val="center"/>
          </w:tcPr>
          <w:p>
            <w:pPr>
              <w:pStyle w:val="MdTableCell"/>
              <w:jc w:val="left"/>
            </w:pPr>
            <w:r>
              <w:t xml:space="preserve">3</w:t>
            </w:r>
          </w:p>
        </w:tc>
        <w:tc>
          <w:tcPr>
            <w:tcBorders>
              <w:right w:val="none"/>
            </w:tcBorders>
            <w:tcMar>
              <w:top w:type="dxa" w:w="80"/>
              <w:left w:type="dxa" w:w="120"/>
              <w:bottom w:type="dxa" w:w="80"/>
              <w:right w:type="dxa" w:w="120"/>
            </w:tcMar>
            <w:vAlign w:val="center"/>
          </w:tcPr>
          <w:p>
            <w:pPr>
              <w:pStyle w:val="MdTableCell"/>
              <w:jc w:val="left"/>
            </w:pPr>
            <w:r>
              <w:t xml:space="preserve">Subject Property PDF [1]</w:t>
            </w:r>
          </w:p>
        </w:tc>
      </w:tr>
      <w:tr>
        <w:trPr>
          <w:cantSplit/>
          <w:trHeight w:val="576" w:hRule="atLeast"/>
        </w:trPr>
        <w:tc>
          <w:tcPr>
            <w:tcBorders>
              <w:left w:val="none"/>
            </w:tcBorders>
            <w:tcMar>
              <w:top w:type="dxa" w:w="80"/>
              <w:left w:type="dxa" w:w="120"/>
              <w:bottom w:type="dxa" w:w="80"/>
              <w:right w:type="dxa" w:w="120"/>
            </w:tcMar>
            <w:vAlign w:val="center"/>
          </w:tcPr>
          <w:p>
            <w:pPr>
              <w:pStyle w:val="MdTableCell"/>
              <w:jc w:val="left"/>
            </w:pPr>
            <w:r>
              <w:t xml:space="preserve">Bathrooms</w:t>
            </w:r>
          </w:p>
        </w:tc>
        <w:tc>
          <w:tcPr>
            <w:tcMar>
              <w:top w:type="dxa" w:w="80"/>
              <w:left w:type="dxa" w:w="120"/>
              <w:bottom w:type="dxa" w:w="80"/>
              <w:right w:type="dxa" w:w="120"/>
            </w:tcMar>
            <w:vAlign w:val="center"/>
          </w:tcPr>
          <w:p>
            <w:pPr>
              <w:pStyle w:val="MdTableCell"/>
              <w:jc w:val="left"/>
            </w:pPr>
            <w:r>
              <w:t xml:space="preserve">2 (1 Full, 1 Half)</w:t>
            </w:r>
          </w:p>
        </w:tc>
        <w:tc>
          <w:tcPr>
            <w:tcBorders>
              <w:right w:val="none"/>
            </w:tcBorders>
            <w:tcMar>
              <w:top w:type="dxa" w:w="80"/>
              <w:left w:type="dxa" w:w="120"/>
              <w:bottom w:type="dxa" w:w="80"/>
              <w:right w:type="dxa" w:w="120"/>
            </w:tcMar>
            <w:vAlign w:val="center"/>
          </w:tcPr>
          <w:p>
            <w:pPr>
              <w:pStyle w:val="MdTableCell"/>
              <w:jc w:val="left"/>
            </w:pPr>
            <w:r>
              <w:t xml:space="preserve">Subject Property PDF [1]</w:t>
            </w:r>
          </w:p>
        </w:tc>
      </w:tr>
      <w:tr>
        <w:trPr>
          <w:cantSplit/>
          <w:trHeight w:val="576" w:hRule="atLeast"/>
        </w:trPr>
        <w:tc>
          <w:tcPr>
            <w:tcBorders>
              <w:left w:val="none"/>
            </w:tcBorders>
            <w:tcMar>
              <w:top w:type="dxa" w:w="80"/>
              <w:left w:type="dxa" w:w="120"/>
              <w:bottom w:type="dxa" w:w="80"/>
              <w:right w:type="dxa" w:w="120"/>
            </w:tcMar>
            <w:vAlign w:val="center"/>
          </w:tcPr>
          <w:p>
            <w:pPr>
              <w:pStyle w:val="MdTableCell"/>
              <w:jc w:val="left"/>
            </w:pPr>
            <w:r>
              <w:t xml:space="preserve">Living Area (Sq Ft)</w:t>
            </w:r>
          </w:p>
        </w:tc>
        <w:tc>
          <w:tcPr>
            <w:tcMar>
              <w:top w:type="dxa" w:w="80"/>
              <w:left w:type="dxa" w:w="120"/>
              <w:bottom w:type="dxa" w:w="80"/>
              <w:right w:type="dxa" w:w="120"/>
            </w:tcMar>
            <w:vAlign w:val="center"/>
          </w:tcPr>
          <w:p>
            <w:pPr>
              <w:pStyle w:val="MdTableCell"/>
              <w:jc w:val="left"/>
            </w:pPr>
            <w:r>
              <w:t xml:space="preserve">1,870</w:t>
            </w:r>
          </w:p>
        </w:tc>
        <w:tc>
          <w:tcPr>
            <w:tcBorders>
              <w:right w:val="none"/>
            </w:tcBorders>
            <w:tcMar>
              <w:top w:type="dxa" w:w="80"/>
              <w:left w:type="dxa" w:w="120"/>
              <w:bottom w:type="dxa" w:w="80"/>
              <w:right w:type="dxa" w:w="120"/>
            </w:tcMar>
            <w:vAlign w:val="center"/>
          </w:tcPr>
          <w:p>
            <w:pPr>
              <w:pStyle w:val="MdTableCell"/>
              <w:jc w:val="left"/>
            </w:pPr>
            <w:r>
              <w:t xml:space="preserve">Subject Property PDF [1]</w:t>
            </w:r>
          </w:p>
        </w:tc>
      </w:tr>
      <w:tr>
        <w:trPr>
          <w:cantSplit/>
          <w:trHeight w:val="576" w:hRule="atLeast"/>
        </w:trPr>
        <w:tc>
          <w:tcPr>
            <w:tcBorders>
              <w:left w:val="none"/>
            </w:tcBorders>
            <w:tcMar>
              <w:top w:type="dxa" w:w="80"/>
              <w:left w:type="dxa" w:w="120"/>
              <w:bottom w:type="dxa" w:w="80"/>
              <w:right w:type="dxa" w:w="120"/>
            </w:tcMar>
            <w:vAlign w:val="center"/>
          </w:tcPr>
          <w:p>
            <w:pPr>
              <w:pStyle w:val="MdTableCell"/>
              <w:jc w:val="left"/>
            </w:pPr>
            <w:r>
              <w:t xml:space="preserve">Lot Size (Sq Ft)</w:t>
            </w:r>
          </w:p>
        </w:tc>
        <w:tc>
          <w:tcPr>
            <w:tcMar>
              <w:top w:type="dxa" w:w="80"/>
              <w:left w:type="dxa" w:w="120"/>
              <w:bottom w:type="dxa" w:w="80"/>
              <w:right w:type="dxa" w:w="120"/>
            </w:tcMar>
            <w:vAlign w:val="center"/>
          </w:tcPr>
          <w:p>
            <w:pPr>
              <w:pStyle w:val="MdTableCell"/>
              <w:jc w:val="left"/>
            </w:pPr>
            <w:r>
              <w:t xml:space="preserve">14,040 (0.3223 Acres)</w:t>
            </w:r>
          </w:p>
        </w:tc>
        <w:tc>
          <w:tcPr>
            <w:tcBorders>
              <w:right w:val="none"/>
            </w:tcBorders>
            <w:tcMar>
              <w:top w:type="dxa" w:w="80"/>
              <w:left w:type="dxa" w:w="120"/>
              <w:bottom w:type="dxa" w:w="80"/>
              <w:right w:type="dxa" w:w="120"/>
            </w:tcMar>
            <w:vAlign w:val="center"/>
          </w:tcPr>
          <w:p>
            <w:pPr>
              <w:pStyle w:val="MdTableCell"/>
              <w:jc w:val="left"/>
            </w:pPr>
            <w:r>
              <w:t xml:space="preserve">Subject Property PDF [1]</w:t>
            </w:r>
          </w:p>
        </w:tc>
      </w:tr>
      <w:tr>
        <w:trPr>
          <w:cantSplit/>
          <w:trHeight w:val="576" w:hRule="atLeast"/>
        </w:trPr>
        <w:tc>
          <w:tcPr>
            <w:tcBorders>
              <w:left w:val="none"/>
            </w:tcBorders>
            <w:tcMar>
              <w:top w:type="dxa" w:w="80"/>
              <w:left w:type="dxa" w:w="120"/>
              <w:bottom w:type="dxa" w:w="80"/>
              <w:right w:type="dxa" w:w="120"/>
            </w:tcMar>
            <w:vAlign w:val="center"/>
          </w:tcPr>
          <w:p>
            <w:pPr>
              <w:pStyle w:val="MdTableCell"/>
              <w:jc w:val="left"/>
            </w:pPr>
            <w:r>
              <w:t xml:space="preserve">Garage</w:t>
            </w:r>
          </w:p>
        </w:tc>
        <w:tc>
          <w:tcPr>
            <w:tcMar>
              <w:top w:type="dxa" w:w="80"/>
              <w:left w:type="dxa" w:w="120"/>
              <w:bottom w:type="dxa" w:w="80"/>
              <w:right w:type="dxa" w:w="120"/>
            </w:tcMar>
            <w:vAlign w:val="center"/>
          </w:tcPr>
          <w:p>
            <w:pPr>
              <w:pStyle w:val="MdTableCell"/>
              <w:jc w:val="left"/>
            </w:pPr>
            <w:r>
              <w:t xml:space="preserve">Detached, 1,040 Sq Ft</w:t>
            </w:r>
          </w:p>
        </w:tc>
        <w:tc>
          <w:tcPr>
            <w:tcBorders>
              <w:right w:val="none"/>
            </w:tcBorders>
            <w:tcMar>
              <w:top w:type="dxa" w:w="80"/>
              <w:left w:type="dxa" w:w="120"/>
              <w:bottom w:type="dxa" w:w="80"/>
              <w:right w:type="dxa" w:w="120"/>
            </w:tcMar>
            <w:vAlign w:val="center"/>
          </w:tcPr>
          <w:p>
            <w:pPr>
              <w:pStyle w:val="MdTableCell"/>
              <w:jc w:val="left"/>
            </w:pPr>
            <w:r>
              <w:t xml:space="preserve">Subject Property PDF [1]</w:t>
            </w:r>
          </w:p>
        </w:tc>
      </w:tr>
      <w:tr>
        <w:trPr>
          <w:cantSplit/>
          <w:trHeight w:val="576" w:hRule="atLeast"/>
        </w:trPr>
        <w:tc>
          <w:tcPr>
            <w:tcBorders>
              <w:left w:val="none"/>
              <w:bottom w:val="single" w:color="E1E4E8" w:sz="4"/>
            </w:tcBorders>
            <w:tcMar>
              <w:top w:type="dxa" w:w="80"/>
              <w:left w:type="dxa" w:w="120"/>
              <w:bottom w:type="dxa" w:w="80"/>
              <w:right w:type="dxa" w:w="120"/>
            </w:tcMar>
            <w:vAlign w:val="center"/>
          </w:tcPr>
          <w:p>
            <w:pPr>
              <w:pStyle w:val="MdTableCell"/>
              <w:jc w:val="left"/>
            </w:pPr>
            <w:r>
              <w:t xml:space="preserve">Pool / Fireplace / HVAC</w:t>
            </w:r>
          </w:p>
        </w:tc>
        <w:tc>
          <w:tcPr>
            <w:tcBorders>
              <w:bottom w:val="single" w:color="E1E4E8" w:sz="4"/>
            </w:tcBorders>
            <w:tcMar>
              <w:top w:type="dxa" w:w="80"/>
              <w:left w:type="dxa" w:w="120"/>
              <w:bottom w:type="dxa" w:w="80"/>
              <w:right w:type="dxa" w:w="120"/>
            </w:tcMar>
            <w:vAlign w:val="center"/>
          </w:tcPr>
          <w:p>
            <w:pPr>
              <w:pStyle w:val="MdTableCell"/>
              <w:jc w:val="left"/>
            </w:pPr>
            <w:r>
              <w:t xml:space="preserve">No</w:t>
            </w:r>
          </w:p>
        </w:tc>
        <w:tc>
          <w:tcPr>
            <w:tcBorders>
              <w:bottom w:val="single" w:color="E1E4E8" w:sz="4"/>
              <w:right w:val="none"/>
            </w:tcBorders>
            <w:tcMar>
              <w:top w:type="dxa" w:w="80"/>
              <w:left w:type="dxa" w:w="120"/>
              <w:bottom w:type="dxa" w:w="80"/>
              <w:right w:type="dxa" w:w="120"/>
            </w:tcMar>
            <w:vAlign w:val="center"/>
          </w:tcPr>
          <w:p>
            <w:pPr>
              <w:pStyle w:val="MdTableCell"/>
              <w:jc w:val="left"/>
            </w:pPr>
            <w:r>
              <w:t xml:space="preserve">Subject Property PDF [1]</w:t>
            </w:r>
          </w:p>
        </w:tc>
      </w:tr>
    </w:tbl>
    <w:p>
      <w:pPr>
        <w:pStyle w:val="MdParagraph"/>
      </w:pPr>
      <w:r>
        <w:rPr>
          <w:rStyle w:val="MdEm"/>
          <w:i/>
          <w:iCs/>
        </w:rPr>
        <w:t xml:space="preserve">Conflict Resolution Note:</w:t>
      </w:r>
      <w:r>
        <w:t xml:space="preserve"> A minor discrepancy exists between the MLS living area (1,870 sq ft) and the tax record gross area (1,912 sq ft). Following the conflict resolution hierarchy, the MLS figure is utilized for living area calculations, while the tax figure likely includes non-livable space. Furthermore, the MLS indicates 1 full and 1 half bath, which reconciles with the tax record's total of 2 baths.</w:t>
      </w:r>
    </w:p>
    <w:p>
      <w:pPr>
        <w:pStyle w:val="MdSpace"/>
        <w:spacing w:before="0" w:after="60"/>
      </w:pPr>
    </w:p>
    <w:p>
      <w:pPr>
        <w:pStyle w:val="Heading2"/>
        <w:pStyle w:val="MdHeading2"/>
      </w:pPr>
      <w:r>
        <w:t xml:space="preserve">5. Zoning, Land Use &amp; Development Context</w:t>
      </w:r>
    </w:p>
    <w:p>
      <w:pPr>
        <w:pStyle w:val="MdParagraph"/>
      </w:pPr>
      <w:r>
        <w:t xml:space="preserve">The property is zoned for Single-Family Residential (SFR) use, with a specific zone code identified as P17B5A93 (Property Profile) [2]. The universal and county land use designations confirm its status as a single-family residence. According to the City of Garden Grove Municipal Code, Single-Family Residential (R-1) development standards typically require a minimum front setback of 20 feet, side setbacks of 5 feet, and a rear setback of 20 feet, with a maximum lot coverage of 50% and a height limit of 35 feet (Zoning Data) [7]. </w:t>
      </w:r>
    </w:p>
    <w:p>
      <w:pPr>
        <w:pStyle w:val="MdSpace"/>
        <w:spacing w:before="0" w:after="60"/>
      </w:pPr>
    </w:p>
    <w:p>
      <w:pPr>
        <w:pStyle w:val="MdParagraph"/>
      </w:pPr>
      <w:r>
        <w:t xml:space="preserve">Given the substantial lot size of 14,040 square feet and the presence of a 1,040-square-foot detached garage, the property presents significant potential for Accessory Dwelling Unit (ADU) development under California state laws (AB 68, SB 9) and local Garden Grove ordinances. Converting the detached garage or constructing a new ADU could substantially increase the property's rental yield and overall valuation. The property is not located within a coastal zone and there is no indication of Homeowners Association (HOA) restrictions. The primary constraint on major redevelopment is the single-family zoning designation, which precludes multi-family or commercial use.</w:t>
      </w:r>
    </w:p>
    <w:p>
      <w:pPr>
        <w:pStyle w:val="MdSpace"/>
        <w:spacing w:before="0" w:after="60"/>
      </w:pPr>
    </w:p>
    <w:p>
      <w:pPr>
        <w:pStyle w:val="Heading2"/>
        <w:pStyle w:val="MdHeading2"/>
      </w:pPr>
      <w:r>
        <w:t xml:space="preserve">6. Taxation &amp; Assessment Analysis</w:t>
      </w:r>
    </w:p>
    <w:p>
      <w:pPr>
        <w:pStyle w:val="MdParagraph"/>
      </w:pPr>
      <w:r>
        <w:t xml:space="preserve">The property's assessed value has seen steady increases over the past three years, reflecting both market appreciation and the constraints of California's Proposition 13, which generally caps annual assessed value increases at 2% unless a change in ownership or new construction occurs. For the 2025 assessment year, the total assessed value is $918,000, comprising $791,905 in land value and $126,095 in improvement value. This represents a 2% year-over-year increase from the 2024 assessed value of $900,000, which itself was a significant 33.08% increase from the 2023 value of $676,260, likely triggered by the October 2023 sale (Subject Property PDF) [1].</w:t>
      </w:r>
    </w:p>
    <w:p>
      <w:pPr>
        <w:pStyle w:val="MdSpace"/>
        <w:spacing w:before="0" w:after="60"/>
      </w:pPr>
    </w:p>
    <w:tbl>
      <w:tblPr>
        <w:tblStyle w:val="MdTable"/>
        <w:tblW w:type="pct" w:w="100%"/>
        <w:tblBorders>
          <w:top w:val="single" w:color="E1E4E8" w:sz="4"/>
          <w:left w:val="none"/>
          <w:bottom w:val="single" w:color="E1E4E8" w:sz="4"/>
          <w:right w:val="none"/>
          <w:insideH w:val="single" w:color="E1E4E8" w:sz="2"/>
          <w:insideV w:val="single" w:color="F6F8FA" w:sz="2"/>
        </w:tblBorders>
      </w:tblPr>
      <w:tblGrid>
        <w:gridCol w:w="100"/>
        <w:gridCol w:w="100"/>
        <w:gridCol w:w="100"/>
        <w:gridCol w:w="100"/>
        <w:gridCol w:w="100"/>
        <w:gridCol w:w="100"/>
      </w:tblGrid>
      <w:tr>
        <w:trPr>
          <w:cantSplit/>
          <w:tblHeader/>
          <w:trHeight w:val="720" w:hRule="atLeast"/>
        </w:trPr>
        <w:tc>
          <w:tcPr>
            <w:tcBorders>
              <w:left w:val="none"/>
            </w:tcBorders>
            <w:tcMar>
              <w:top w:type="dxa" w:w="100"/>
              <w:left w:type="dxa" w:w="120"/>
              <w:bottom w:type="dxa" w:w="100"/>
              <w:right w:type="dxa" w:w="120"/>
            </w:tcMar>
            <w:vAlign w:val="center"/>
          </w:tcPr>
          <w:p>
            <w:pPr>
              <w:pStyle w:val="MdTableHeader"/>
              <w:jc w:val="left"/>
            </w:pPr>
            <w:r>
              <w:t xml:space="preserve">Assessment Year</w:t>
            </w:r>
          </w:p>
        </w:tc>
        <w:tc>
          <w:tcPr>
            <w:tcMar>
              <w:top w:type="dxa" w:w="100"/>
              <w:left w:type="dxa" w:w="120"/>
              <w:bottom w:type="dxa" w:w="100"/>
              <w:right w:type="dxa" w:w="120"/>
            </w:tcMar>
            <w:vAlign w:val="center"/>
          </w:tcPr>
          <w:p>
            <w:pPr>
              <w:pStyle w:val="MdTableHeader"/>
              <w:jc w:val="left"/>
            </w:pPr>
            <w:r>
              <w:t xml:space="preserve">Total Assessed Value</w:t>
            </w:r>
          </w:p>
        </w:tc>
        <w:tc>
          <w:tcPr>
            <w:tcMar>
              <w:top w:type="dxa" w:w="100"/>
              <w:left w:type="dxa" w:w="120"/>
              <w:bottom w:type="dxa" w:w="100"/>
              <w:right w:type="dxa" w:w="120"/>
            </w:tcMar>
            <w:vAlign w:val="center"/>
          </w:tcPr>
          <w:p>
            <w:pPr>
              <w:pStyle w:val="MdTableHeader"/>
              <w:jc w:val="left"/>
            </w:pPr>
            <w:r>
              <w:t xml:space="preserve">Land Value</w:t>
            </w:r>
          </w:p>
        </w:tc>
        <w:tc>
          <w:tcPr>
            <w:tcMar>
              <w:top w:type="dxa" w:w="100"/>
              <w:left w:type="dxa" w:w="120"/>
              <w:bottom w:type="dxa" w:w="100"/>
              <w:right w:type="dxa" w:w="120"/>
            </w:tcMar>
            <w:vAlign w:val="center"/>
          </w:tcPr>
          <w:p>
            <w:pPr>
              <w:pStyle w:val="MdTableHeader"/>
              <w:jc w:val="left"/>
            </w:pPr>
            <w:r>
              <w:t xml:space="preserve">Improvement Value</w:t>
            </w:r>
          </w:p>
        </w:tc>
        <w:tc>
          <w:tcPr>
            <w:tcMar>
              <w:top w:type="dxa" w:w="100"/>
              <w:left w:type="dxa" w:w="120"/>
              <w:bottom w:type="dxa" w:w="100"/>
              <w:right w:type="dxa" w:w="120"/>
            </w:tcMar>
            <w:vAlign w:val="center"/>
          </w:tcPr>
          <w:p>
            <w:pPr>
              <w:pStyle w:val="MdTableHeader"/>
              <w:jc w:val="left"/>
            </w:pPr>
            <w:r>
              <w:t xml:space="preserve">YOY Change (%)</w:t>
            </w:r>
          </w:p>
        </w:tc>
        <w:tc>
          <w:tcPr>
            <w:tcBorders>
              <w:right w:val="none"/>
            </w:tcBorders>
            <w:tcMar>
              <w:top w:type="dxa" w:w="100"/>
              <w:left w:type="dxa" w:w="120"/>
              <w:bottom w:type="dxa" w:w="100"/>
              <w:right w:type="dxa" w:w="120"/>
            </w:tcMar>
            <w:vAlign w:val="center"/>
          </w:tcPr>
          <w:p>
            <w:pPr>
              <w:pStyle w:val="MdTableHeader"/>
              <w:jc w:val="left"/>
            </w:pPr>
            <w:r>
              <w:t xml:space="preserve">Source</w:t>
            </w:r>
          </w:p>
        </w:tc>
      </w:tr>
      <w:tr>
        <w:trPr>
          <w:cantSplit/>
          <w:trHeight w:val="576" w:hRule="atLeast"/>
        </w:trPr>
        <w:tc>
          <w:tcPr>
            <w:tcBorders>
              <w:left w:val="none"/>
            </w:tcBorders>
            <w:tcMar>
              <w:top w:type="dxa" w:w="80"/>
              <w:left w:type="dxa" w:w="120"/>
              <w:bottom w:type="dxa" w:w="80"/>
              <w:right w:type="dxa" w:w="120"/>
            </w:tcMar>
            <w:vAlign w:val="center"/>
          </w:tcPr>
          <w:p>
            <w:pPr>
              <w:pStyle w:val="MdTableCell"/>
              <w:jc w:val="left"/>
            </w:pPr>
            <w:r>
              <w:t xml:space="preserve">2025</w:t>
            </w:r>
          </w:p>
        </w:tc>
        <w:tc>
          <w:tcPr>
            <w:tcMar>
              <w:top w:type="dxa" w:w="80"/>
              <w:left w:type="dxa" w:w="120"/>
              <w:bottom w:type="dxa" w:w="80"/>
              <w:right w:type="dxa" w:w="120"/>
            </w:tcMar>
            <w:vAlign w:val="center"/>
          </w:tcPr>
          <w:p>
            <w:pPr>
              <w:pStyle w:val="MdTableCell"/>
              <w:jc w:val="left"/>
            </w:pPr>
            <w:r>
              <w:t xml:space="preserve">$918,000</w:t>
            </w:r>
          </w:p>
        </w:tc>
        <w:tc>
          <w:tcPr>
            <w:tcMar>
              <w:top w:type="dxa" w:w="80"/>
              <w:left w:type="dxa" w:w="120"/>
              <w:bottom w:type="dxa" w:w="80"/>
              <w:right w:type="dxa" w:w="120"/>
            </w:tcMar>
            <w:vAlign w:val="center"/>
          </w:tcPr>
          <w:p>
            <w:pPr>
              <w:pStyle w:val="MdTableCell"/>
              <w:jc w:val="left"/>
            </w:pPr>
            <w:r>
              <w:t xml:space="preserve">$791,905</w:t>
            </w:r>
          </w:p>
        </w:tc>
        <w:tc>
          <w:tcPr>
            <w:tcMar>
              <w:top w:type="dxa" w:w="80"/>
              <w:left w:type="dxa" w:w="120"/>
              <w:bottom w:type="dxa" w:w="80"/>
              <w:right w:type="dxa" w:w="120"/>
            </w:tcMar>
            <w:vAlign w:val="center"/>
          </w:tcPr>
          <w:p>
            <w:pPr>
              <w:pStyle w:val="MdTableCell"/>
              <w:jc w:val="left"/>
            </w:pPr>
            <w:r>
              <w:t xml:space="preserve">$126,095</w:t>
            </w:r>
          </w:p>
        </w:tc>
        <w:tc>
          <w:tcPr>
            <w:tcMar>
              <w:top w:type="dxa" w:w="80"/>
              <w:left w:type="dxa" w:w="120"/>
              <w:bottom w:type="dxa" w:w="80"/>
              <w:right w:type="dxa" w:w="120"/>
            </w:tcMar>
            <w:vAlign w:val="center"/>
          </w:tcPr>
          <w:p>
            <w:pPr>
              <w:pStyle w:val="MdTableCell"/>
              <w:jc w:val="left"/>
            </w:pPr>
            <w:r>
              <w:t xml:space="preserve">2.00%</w:t>
            </w:r>
          </w:p>
        </w:tc>
        <w:tc>
          <w:tcPr>
            <w:tcBorders>
              <w:right w:val="none"/>
            </w:tcBorders>
            <w:tcMar>
              <w:top w:type="dxa" w:w="80"/>
              <w:left w:type="dxa" w:w="120"/>
              <w:bottom w:type="dxa" w:w="80"/>
              <w:right w:type="dxa" w:w="120"/>
            </w:tcMar>
            <w:vAlign w:val="center"/>
          </w:tcPr>
          <w:p>
            <w:pPr>
              <w:pStyle w:val="MdTableCell"/>
              <w:jc w:val="left"/>
            </w:pPr>
            <w:r>
              <w:t xml:space="preserve">Subject Property PDF [1]</w:t>
            </w:r>
          </w:p>
        </w:tc>
      </w:tr>
      <w:tr>
        <w:trPr>
          <w:cantSplit/>
          <w:trHeight w:val="576" w:hRule="atLeast"/>
        </w:trPr>
        <w:tc>
          <w:tcPr>
            <w:tcBorders>
              <w:left w:val="none"/>
            </w:tcBorders>
            <w:tcMar>
              <w:top w:type="dxa" w:w="80"/>
              <w:left w:type="dxa" w:w="120"/>
              <w:bottom w:type="dxa" w:w="80"/>
              <w:right w:type="dxa" w:w="120"/>
            </w:tcMar>
            <w:vAlign w:val="center"/>
          </w:tcPr>
          <w:p>
            <w:pPr>
              <w:pStyle w:val="MdTableCell"/>
              <w:jc w:val="left"/>
            </w:pPr>
            <w:r>
              <w:t xml:space="preserve">2024</w:t>
            </w:r>
          </w:p>
        </w:tc>
        <w:tc>
          <w:tcPr>
            <w:tcMar>
              <w:top w:type="dxa" w:w="80"/>
              <w:left w:type="dxa" w:w="120"/>
              <w:bottom w:type="dxa" w:w="80"/>
              <w:right w:type="dxa" w:w="120"/>
            </w:tcMar>
            <w:vAlign w:val="center"/>
          </w:tcPr>
          <w:p>
            <w:pPr>
              <w:pStyle w:val="MdTableCell"/>
              <w:jc w:val="left"/>
            </w:pPr>
            <w:r>
              <w:t xml:space="preserve">$900,000</w:t>
            </w:r>
          </w:p>
        </w:tc>
        <w:tc>
          <w:tcPr>
            <w:tcMar>
              <w:top w:type="dxa" w:w="80"/>
              <w:left w:type="dxa" w:w="120"/>
              <w:bottom w:type="dxa" w:w="80"/>
              <w:right w:type="dxa" w:w="120"/>
            </w:tcMar>
            <w:vAlign w:val="center"/>
          </w:tcPr>
          <w:p>
            <w:pPr>
              <w:pStyle w:val="MdTableCell"/>
              <w:jc w:val="left"/>
            </w:pPr>
            <w:r>
              <w:t xml:space="preserve">$776,377</w:t>
            </w:r>
          </w:p>
        </w:tc>
        <w:tc>
          <w:tcPr>
            <w:tcMar>
              <w:top w:type="dxa" w:w="80"/>
              <w:left w:type="dxa" w:w="120"/>
              <w:bottom w:type="dxa" w:w="80"/>
              <w:right w:type="dxa" w:w="120"/>
            </w:tcMar>
            <w:vAlign w:val="center"/>
          </w:tcPr>
          <w:p>
            <w:pPr>
              <w:pStyle w:val="MdTableCell"/>
              <w:jc w:val="left"/>
            </w:pPr>
            <w:r>
              <w:t xml:space="preserve">$123,623</w:t>
            </w:r>
          </w:p>
        </w:tc>
        <w:tc>
          <w:tcPr>
            <w:tcMar>
              <w:top w:type="dxa" w:w="80"/>
              <w:left w:type="dxa" w:w="120"/>
              <w:bottom w:type="dxa" w:w="80"/>
              <w:right w:type="dxa" w:w="120"/>
            </w:tcMar>
            <w:vAlign w:val="center"/>
          </w:tcPr>
          <w:p>
            <w:pPr>
              <w:pStyle w:val="MdTableCell"/>
              <w:jc w:val="left"/>
            </w:pPr>
            <w:r>
              <w:t xml:space="preserve">33.08%</w:t>
            </w:r>
          </w:p>
        </w:tc>
        <w:tc>
          <w:tcPr>
            <w:tcBorders>
              <w:right w:val="none"/>
            </w:tcBorders>
            <w:tcMar>
              <w:top w:type="dxa" w:w="80"/>
              <w:left w:type="dxa" w:w="120"/>
              <w:bottom w:type="dxa" w:w="80"/>
              <w:right w:type="dxa" w:w="120"/>
            </w:tcMar>
            <w:vAlign w:val="center"/>
          </w:tcPr>
          <w:p>
            <w:pPr>
              <w:pStyle w:val="MdTableCell"/>
              <w:jc w:val="left"/>
            </w:pPr>
            <w:r>
              <w:t xml:space="preserve">Subject Property PDF [1]</w:t>
            </w:r>
          </w:p>
        </w:tc>
      </w:tr>
      <w:tr>
        <w:trPr>
          <w:cantSplit/>
          <w:trHeight w:val="576" w:hRule="atLeast"/>
        </w:trPr>
        <w:tc>
          <w:tcPr>
            <w:tcBorders>
              <w:left w:val="none"/>
              <w:bottom w:val="single" w:color="E1E4E8" w:sz="4"/>
            </w:tcBorders>
            <w:tcMar>
              <w:top w:type="dxa" w:w="80"/>
              <w:left w:type="dxa" w:w="120"/>
              <w:bottom w:type="dxa" w:w="80"/>
              <w:right w:type="dxa" w:w="120"/>
            </w:tcMar>
            <w:vAlign w:val="center"/>
          </w:tcPr>
          <w:p>
            <w:pPr>
              <w:pStyle w:val="MdTableCell"/>
              <w:jc w:val="left"/>
            </w:pPr>
            <w:r>
              <w:t xml:space="preserve">2023</w:t>
            </w:r>
          </w:p>
        </w:tc>
        <w:tc>
          <w:tcPr>
            <w:tcBorders>
              <w:bottom w:val="single" w:color="E1E4E8" w:sz="4"/>
            </w:tcBorders>
            <w:tcMar>
              <w:top w:type="dxa" w:w="80"/>
              <w:left w:type="dxa" w:w="120"/>
              <w:bottom w:type="dxa" w:w="80"/>
              <w:right w:type="dxa" w:w="120"/>
            </w:tcMar>
            <w:vAlign w:val="center"/>
          </w:tcPr>
          <w:p>
            <w:pPr>
              <w:pStyle w:val="MdTableCell"/>
              <w:jc w:val="left"/>
            </w:pPr>
            <w:r>
              <w:t xml:space="preserve">$676,260</w:t>
            </w:r>
          </w:p>
        </w:tc>
        <w:tc>
          <w:tcPr>
            <w:tcBorders>
              <w:bottom w:val="single" w:color="E1E4E8" w:sz="4"/>
            </w:tcBorders>
            <w:tcMar>
              <w:top w:type="dxa" w:w="80"/>
              <w:left w:type="dxa" w:w="120"/>
              <w:bottom w:type="dxa" w:w="80"/>
              <w:right w:type="dxa" w:w="120"/>
            </w:tcMar>
            <w:vAlign w:val="center"/>
          </w:tcPr>
          <w:p>
            <w:pPr>
              <w:pStyle w:val="MdTableCell"/>
              <w:jc w:val="left"/>
            </w:pPr>
            <w:r>
              <w:t xml:space="preserve">$565,055</w:t>
            </w:r>
          </w:p>
        </w:tc>
        <w:tc>
          <w:tcPr>
            <w:tcBorders>
              <w:bottom w:val="single" w:color="E1E4E8" w:sz="4"/>
            </w:tcBorders>
            <w:tcMar>
              <w:top w:type="dxa" w:w="80"/>
              <w:left w:type="dxa" w:w="120"/>
              <w:bottom w:type="dxa" w:w="80"/>
              <w:right w:type="dxa" w:w="120"/>
            </w:tcMar>
            <w:vAlign w:val="center"/>
          </w:tcPr>
          <w:p>
            <w:pPr>
              <w:pStyle w:val="MdTableCell"/>
              <w:jc w:val="left"/>
            </w:pPr>
            <w:r>
              <w:t xml:space="preserve">$111,205</w:t>
            </w:r>
          </w:p>
        </w:tc>
        <w:tc>
          <w:tcPr>
            <w:tcBorders>
              <w:bottom w:val="single" w:color="E1E4E8" w:sz="4"/>
            </w:tcBorders>
            <w:tcMar>
              <w:top w:type="dxa" w:w="80"/>
              <w:left w:type="dxa" w:w="120"/>
              <w:bottom w:type="dxa" w:w="80"/>
              <w:right w:type="dxa" w:w="120"/>
            </w:tcMar>
            <w:vAlign w:val="center"/>
          </w:tcPr>
          <w:p>
            <w:pPr>
              <w:pStyle w:val="MdTableCell"/>
              <w:jc w:val="left"/>
            </w:pPr>
            <w:r>
              <w:t xml:space="preserve">N/A</w:t>
            </w:r>
          </w:p>
        </w:tc>
        <w:tc>
          <w:tcPr>
            <w:tcBorders>
              <w:bottom w:val="single" w:color="E1E4E8" w:sz="4"/>
              <w:right w:val="none"/>
            </w:tcBorders>
            <w:tcMar>
              <w:top w:type="dxa" w:w="80"/>
              <w:left w:type="dxa" w:w="120"/>
              <w:bottom w:type="dxa" w:w="80"/>
              <w:right w:type="dxa" w:w="120"/>
            </w:tcMar>
            <w:vAlign w:val="center"/>
          </w:tcPr>
          <w:p>
            <w:pPr>
              <w:pStyle w:val="MdTableCell"/>
              <w:jc w:val="left"/>
            </w:pPr>
            <w:r>
              <w:t xml:space="preserve">Subject Property PDF [1]</w:t>
            </w:r>
          </w:p>
        </w:tc>
      </w:tr>
    </w:tbl>
    <w:p>
      <w:pPr>
        <w:pStyle w:val="MdParagraph"/>
      </w:pPr>
      <w:r>
        <w:t xml:space="preserve">The total tax burden for 2025 is $11,456, yielding an effective tax rate of approximately 1.25% based on the assessed value. This total includes $447.53 in special annual assessments, such as sewer user fees ($384.00), street lighting ($28.71), and park maintenance ($13.75). The property does not currently benefit from an owner-occupied tax exemption (Subject Property PDF) [1].</w:t>
      </w:r>
    </w:p>
    <w:p>
      <w:pPr>
        <w:pStyle w:val="MdSpace"/>
        <w:spacing w:before="0" w:after="60"/>
      </w:pPr>
    </w:p>
    <w:p>
      <w:pPr>
        <w:pStyle w:val="Heading2"/>
        <w:pStyle w:val="MdHeading2"/>
      </w:pPr>
      <w:r>
        <w:t xml:space="preserve">7. Comparative Market Analysis (CMA)</w:t>
      </w:r>
    </w:p>
    <w:p>
      <w:pPr>
        <w:pStyle w:val="Heading3"/>
        <w:pStyle w:val="MdHeading3"/>
      </w:pPr>
      <w:r>
        <w:t xml:space="preserve">7.1 Subject Property Summary</w:t>
      </w:r>
    </w:p>
    <w:p>
      <w:pPr>
        <w:pStyle w:val="MdParagraph"/>
      </w:pPr>
      <w:r>
        <w:t xml:space="preserve">The subject property is a 1,870-square-foot, 3-bedroom, 2-bathroom single-family residence built in 1949, situated on a 14,040-square-foot lot in Garden Grove, CA 92840.</w:t>
      </w:r>
    </w:p>
    <w:p>
      <w:pPr>
        <w:pStyle w:val="MdSpace"/>
        <w:spacing w:before="0" w:after="60"/>
      </w:pPr>
    </w:p>
    <w:p>
      <w:pPr>
        <w:pStyle w:val="Heading3"/>
        <w:pStyle w:val="MdHeading3"/>
      </w:pPr>
      <w:r>
        <w:t xml:space="preserve">7.2 Comparable Selection Criteria</w:t>
      </w:r>
    </w:p>
    <w:p>
      <w:pPr>
        <w:pStyle w:val="MdParagraph"/>
      </w:pPr>
      <w:r>
        <w:t xml:space="preserve">Comparables were selected based on recent sales (within the past 6 months) of single-family residences in the 92840 zip code, focusing on 3-to-4-bedroom homes with living areas between 1,100 and 1,800 square feet to bracket the subject property's size and utility.</w:t>
      </w:r>
    </w:p>
    <w:p>
      <w:pPr>
        <w:pStyle w:val="MdSpace"/>
        <w:spacing w:before="0" w:after="60"/>
      </w:pPr>
    </w:p>
    <w:p>
      <w:pPr>
        <w:pStyle w:val="Heading3"/>
        <w:pStyle w:val="MdHeading3"/>
      </w:pPr>
      <w:r>
        <w:t xml:space="preserve">7.3 Comparable Properties Overview</w:t>
      </w:r>
    </w:p>
    <w:tbl>
      <w:tblPr>
        <w:tblStyle w:val="MdTable"/>
        <w:tblW w:type="pct" w:w="100%"/>
        <w:tblBorders>
          <w:top w:val="single" w:color="E1E4E8" w:sz="4"/>
          <w:left w:val="none"/>
          <w:bottom w:val="single" w:color="E1E4E8" w:sz="4"/>
          <w:right w:val="none"/>
          <w:insideH w:val="single" w:color="E1E4E8" w:sz="2"/>
          <w:insideV w:val="single" w:color="F6F8FA" w:sz="2"/>
        </w:tblBorders>
      </w:tblPr>
      <w:tblGrid>
        <w:gridCol w:w="100"/>
        <w:gridCol w:w="100"/>
        <w:gridCol w:w="100"/>
        <w:gridCol w:w="100"/>
        <w:gridCol w:w="100"/>
        <w:gridCol w:w="100"/>
        <w:gridCol w:w="100"/>
      </w:tblGrid>
      <w:tr>
        <w:trPr>
          <w:cantSplit/>
          <w:tblHeader/>
          <w:trHeight w:val="720" w:hRule="atLeast"/>
        </w:trPr>
        <w:tc>
          <w:tcPr>
            <w:tcBorders>
              <w:left w:val="none"/>
            </w:tcBorders>
            <w:tcMar>
              <w:top w:type="dxa" w:w="100"/>
              <w:left w:type="dxa" w:w="120"/>
              <w:bottom w:type="dxa" w:w="100"/>
              <w:right w:type="dxa" w:w="120"/>
            </w:tcMar>
            <w:vAlign w:val="center"/>
          </w:tcPr>
          <w:p>
            <w:pPr>
              <w:pStyle w:val="MdTableHeader"/>
              <w:jc w:val="left"/>
            </w:pPr>
            <w:r>
              <w:t xml:space="preserve">Address / Location</w:t>
            </w:r>
          </w:p>
        </w:tc>
        <w:tc>
          <w:tcPr>
            <w:tcMar>
              <w:top w:type="dxa" w:w="100"/>
              <w:left w:type="dxa" w:w="120"/>
              <w:bottom w:type="dxa" w:w="100"/>
              <w:right w:type="dxa" w:w="120"/>
            </w:tcMar>
            <w:vAlign w:val="center"/>
          </w:tcPr>
          <w:p>
            <w:pPr>
              <w:pStyle w:val="MdTableHeader"/>
              <w:jc w:val="left"/>
            </w:pPr>
            <w:r>
              <w:t xml:space="preserve">Sale Date</w:t>
            </w:r>
          </w:p>
        </w:tc>
        <w:tc>
          <w:tcPr>
            <w:tcMar>
              <w:top w:type="dxa" w:w="100"/>
              <w:left w:type="dxa" w:w="120"/>
              <w:bottom w:type="dxa" w:w="100"/>
              <w:right w:type="dxa" w:w="120"/>
            </w:tcMar>
            <w:vAlign w:val="center"/>
          </w:tcPr>
          <w:p>
            <w:pPr>
              <w:pStyle w:val="MdTableHeader"/>
              <w:jc w:val="left"/>
            </w:pPr>
            <w:r>
              <w:t xml:space="preserve">Sale Price</w:t>
            </w:r>
          </w:p>
        </w:tc>
        <w:tc>
          <w:tcPr>
            <w:tcMar>
              <w:top w:type="dxa" w:w="100"/>
              <w:left w:type="dxa" w:w="120"/>
              <w:bottom w:type="dxa" w:w="100"/>
              <w:right w:type="dxa" w:w="120"/>
            </w:tcMar>
            <w:vAlign w:val="center"/>
          </w:tcPr>
          <w:p>
            <w:pPr>
              <w:pStyle w:val="MdTableHeader"/>
              <w:jc w:val="left"/>
            </w:pPr>
            <w:r>
              <w:t xml:space="preserve">Sq Ft</w:t>
            </w:r>
          </w:p>
        </w:tc>
        <w:tc>
          <w:tcPr>
            <w:tcMar>
              <w:top w:type="dxa" w:w="100"/>
              <w:left w:type="dxa" w:w="120"/>
              <w:bottom w:type="dxa" w:w="100"/>
              <w:right w:type="dxa" w:w="120"/>
            </w:tcMar>
            <w:vAlign w:val="center"/>
          </w:tcPr>
          <w:p>
            <w:pPr>
              <w:pStyle w:val="MdTableHeader"/>
              <w:jc w:val="left"/>
            </w:pPr>
            <w:r>
              <w:t xml:space="preserve">Price/Sq Ft</w:t>
            </w:r>
          </w:p>
        </w:tc>
        <w:tc>
          <w:tcPr>
            <w:tcMar>
              <w:top w:type="dxa" w:w="100"/>
              <w:left w:type="dxa" w:w="120"/>
              <w:bottom w:type="dxa" w:w="100"/>
              <w:right w:type="dxa" w:w="120"/>
            </w:tcMar>
            <w:vAlign w:val="center"/>
          </w:tcPr>
          <w:p>
            <w:pPr>
              <w:pStyle w:val="MdTableHeader"/>
              <w:jc w:val="left"/>
            </w:pPr>
            <w:r>
              <w:t xml:space="preserve">Beds/Baths</w:t>
            </w:r>
          </w:p>
        </w:tc>
        <w:tc>
          <w:tcPr>
            <w:tcBorders>
              <w:right w:val="none"/>
            </w:tcBorders>
            <w:tcMar>
              <w:top w:type="dxa" w:w="100"/>
              <w:left w:type="dxa" w:w="120"/>
              <w:bottom w:type="dxa" w:w="100"/>
              <w:right w:type="dxa" w:w="120"/>
            </w:tcMar>
            <w:vAlign w:val="center"/>
          </w:tcPr>
          <w:p>
            <w:pPr>
              <w:pStyle w:val="MdTableHeader"/>
              <w:jc w:val="left"/>
            </w:pPr>
            <w:r>
              <w:t xml:space="preserve">Source</w:t>
            </w:r>
          </w:p>
        </w:tc>
      </w:tr>
      <w:tr>
        <w:trPr>
          <w:cantSplit/>
          <w:trHeight w:val="576" w:hRule="atLeast"/>
        </w:trPr>
        <w:tc>
          <w:tcPr>
            <w:tcBorders>
              <w:left w:val="none"/>
            </w:tcBorders>
            <w:tcMar>
              <w:top w:type="dxa" w:w="80"/>
              <w:left w:type="dxa" w:w="120"/>
              <w:bottom w:type="dxa" w:w="80"/>
              <w:right w:type="dxa" w:w="120"/>
            </w:tcMar>
            <w:vAlign w:val="center"/>
          </w:tcPr>
          <w:p>
            <w:pPr>
              <w:pStyle w:val="MdTableCell"/>
              <w:jc w:val="left"/>
            </w:pPr>
            <w:r>
              <w:t xml:space="preserve">1100 Block, 92840</w:t>
            </w:r>
          </w:p>
        </w:tc>
        <w:tc>
          <w:tcPr>
            <w:tcMar>
              <w:top w:type="dxa" w:w="80"/>
              <w:left w:type="dxa" w:w="120"/>
              <w:bottom w:type="dxa" w:w="80"/>
              <w:right w:type="dxa" w:w="120"/>
            </w:tcMar>
            <w:vAlign w:val="center"/>
          </w:tcPr>
          <w:p>
            <w:pPr>
              <w:pStyle w:val="MdTableCell"/>
              <w:jc w:val="left"/>
            </w:pPr>
            <w:r>
              <w:t xml:space="preserve">Jan 2026</w:t>
            </w:r>
          </w:p>
        </w:tc>
        <w:tc>
          <w:tcPr>
            <w:tcMar>
              <w:top w:type="dxa" w:w="80"/>
              <w:left w:type="dxa" w:w="120"/>
              <w:bottom w:type="dxa" w:w="80"/>
              <w:right w:type="dxa" w:w="120"/>
            </w:tcMar>
            <w:vAlign w:val="center"/>
          </w:tcPr>
          <w:p>
            <w:pPr>
              <w:pStyle w:val="MdTableCell"/>
              <w:jc w:val="left"/>
            </w:pPr>
            <w:r>
              <w:t xml:space="preserve">$1,100,000</w:t>
            </w:r>
          </w:p>
        </w:tc>
        <w:tc>
          <w:tcPr>
            <w:tcMar>
              <w:top w:type="dxa" w:w="80"/>
              <w:left w:type="dxa" w:w="120"/>
              <w:bottom w:type="dxa" w:w="80"/>
              <w:right w:type="dxa" w:w="120"/>
            </w:tcMar>
            <w:vAlign w:val="center"/>
          </w:tcPr>
          <w:p>
            <w:pPr>
              <w:pStyle w:val="MdTableCell"/>
              <w:jc w:val="left"/>
            </w:pPr>
            <w:r>
              <w:t xml:space="preserve">1,368</w:t>
            </w:r>
          </w:p>
        </w:tc>
        <w:tc>
          <w:tcPr>
            <w:tcMar>
              <w:top w:type="dxa" w:w="80"/>
              <w:left w:type="dxa" w:w="120"/>
              <w:bottom w:type="dxa" w:w="80"/>
              <w:right w:type="dxa" w:w="120"/>
            </w:tcMar>
            <w:vAlign w:val="center"/>
          </w:tcPr>
          <w:p>
            <w:pPr>
              <w:pStyle w:val="MdTableCell"/>
              <w:jc w:val="left"/>
            </w:pPr>
            <w:r>
              <w:t xml:space="preserve">$804</w:t>
            </w:r>
          </w:p>
        </w:tc>
        <w:tc>
          <w:tcPr>
            <w:tcMar>
              <w:top w:type="dxa" w:w="80"/>
              <w:left w:type="dxa" w:w="120"/>
              <w:bottom w:type="dxa" w:w="80"/>
              <w:right w:type="dxa" w:w="120"/>
            </w:tcMar>
            <w:vAlign w:val="center"/>
          </w:tcPr>
          <w:p>
            <w:pPr>
              <w:pStyle w:val="MdTableCell"/>
              <w:jc w:val="left"/>
            </w:pPr>
            <w:r>
              <w:t xml:space="preserve">3 / 1</w:t>
            </w:r>
          </w:p>
        </w:tc>
        <w:tc>
          <w:tcPr>
            <w:tcBorders>
              <w:right w:val="none"/>
            </w:tcBorders>
            <w:tcMar>
              <w:top w:type="dxa" w:w="80"/>
              <w:left w:type="dxa" w:w="120"/>
              <w:bottom w:type="dxa" w:w="80"/>
              <w:right w:type="dxa" w:w="120"/>
            </w:tcMar>
            <w:vAlign w:val="center"/>
          </w:tcPr>
          <w:p>
            <w:pPr>
              <w:pStyle w:val="MdTableCell"/>
              <w:jc w:val="left"/>
            </w:pPr>
            <w:r>
              <w:t xml:space="preserve">Comparable Sales [6]</w:t>
            </w:r>
          </w:p>
        </w:tc>
      </w:tr>
      <w:tr>
        <w:trPr>
          <w:cantSplit/>
          <w:trHeight w:val="576" w:hRule="atLeast"/>
        </w:trPr>
        <w:tc>
          <w:tcPr>
            <w:tcBorders>
              <w:left w:val="none"/>
            </w:tcBorders>
            <w:tcMar>
              <w:top w:type="dxa" w:w="80"/>
              <w:left w:type="dxa" w:w="120"/>
              <w:bottom w:type="dxa" w:w="80"/>
              <w:right w:type="dxa" w:w="120"/>
            </w:tcMar>
            <w:vAlign w:val="center"/>
          </w:tcPr>
          <w:p>
            <w:pPr>
              <w:pStyle w:val="MdTableCell"/>
              <w:jc w:val="left"/>
            </w:pPr>
            <w:r>
              <w:t xml:space="preserve">1080 Block, 92840</w:t>
            </w:r>
          </w:p>
        </w:tc>
        <w:tc>
          <w:tcPr>
            <w:tcMar>
              <w:top w:type="dxa" w:w="80"/>
              <w:left w:type="dxa" w:w="120"/>
              <w:bottom w:type="dxa" w:w="80"/>
              <w:right w:type="dxa" w:w="120"/>
            </w:tcMar>
            <w:vAlign w:val="center"/>
          </w:tcPr>
          <w:p>
            <w:pPr>
              <w:pStyle w:val="MdTableCell"/>
              <w:jc w:val="left"/>
            </w:pPr>
            <w:r>
              <w:t xml:space="preserve">Mar 2026</w:t>
            </w:r>
          </w:p>
        </w:tc>
        <w:tc>
          <w:tcPr>
            <w:tcMar>
              <w:top w:type="dxa" w:w="80"/>
              <w:left w:type="dxa" w:w="120"/>
              <w:bottom w:type="dxa" w:w="80"/>
              <w:right w:type="dxa" w:w="120"/>
            </w:tcMar>
            <w:vAlign w:val="center"/>
          </w:tcPr>
          <w:p>
            <w:pPr>
              <w:pStyle w:val="MdTableCell"/>
              <w:jc w:val="left"/>
            </w:pPr>
            <w:r>
              <w:t xml:space="preserve">$1,080,000</w:t>
            </w:r>
          </w:p>
        </w:tc>
        <w:tc>
          <w:tcPr>
            <w:tcMar>
              <w:top w:type="dxa" w:w="80"/>
              <w:left w:type="dxa" w:w="120"/>
              <w:bottom w:type="dxa" w:w="80"/>
              <w:right w:type="dxa" w:w="120"/>
            </w:tcMar>
            <w:vAlign w:val="center"/>
          </w:tcPr>
          <w:p>
            <w:pPr>
              <w:pStyle w:val="MdTableCell"/>
              <w:jc w:val="left"/>
            </w:pPr>
            <w:r>
              <w:t xml:space="preserve">1,776</w:t>
            </w:r>
          </w:p>
        </w:tc>
        <w:tc>
          <w:tcPr>
            <w:tcMar>
              <w:top w:type="dxa" w:w="80"/>
              <w:left w:type="dxa" w:w="120"/>
              <w:bottom w:type="dxa" w:w="80"/>
              <w:right w:type="dxa" w:w="120"/>
            </w:tcMar>
            <w:vAlign w:val="center"/>
          </w:tcPr>
          <w:p>
            <w:pPr>
              <w:pStyle w:val="MdTableCell"/>
              <w:jc w:val="left"/>
            </w:pPr>
            <w:r>
              <w:t xml:space="preserve">$608</w:t>
            </w:r>
          </w:p>
        </w:tc>
        <w:tc>
          <w:tcPr>
            <w:tcMar>
              <w:top w:type="dxa" w:w="80"/>
              <w:left w:type="dxa" w:w="120"/>
              <w:bottom w:type="dxa" w:w="80"/>
              <w:right w:type="dxa" w:w="120"/>
            </w:tcMar>
            <w:vAlign w:val="center"/>
          </w:tcPr>
          <w:p>
            <w:pPr>
              <w:pStyle w:val="MdTableCell"/>
              <w:jc w:val="left"/>
            </w:pPr>
            <w:r>
              <w:t xml:space="preserve">4 / 2</w:t>
            </w:r>
          </w:p>
        </w:tc>
        <w:tc>
          <w:tcPr>
            <w:tcBorders>
              <w:right w:val="none"/>
            </w:tcBorders>
            <w:tcMar>
              <w:top w:type="dxa" w:w="80"/>
              <w:left w:type="dxa" w:w="120"/>
              <w:bottom w:type="dxa" w:w="80"/>
              <w:right w:type="dxa" w:w="120"/>
            </w:tcMar>
            <w:vAlign w:val="center"/>
          </w:tcPr>
          <w:p>
            <w:pPr>
              <w:pStyle w:val="MdTableCell"/>
              <w:jc w:val="left"/>
            </w:pPr>
            <w:r>
              <w:t xml:space="preserve">Comparable Sales [6]</w:t>
            </w:r>
          </w:p>
        </w:tc>
      </w:tr>
      <w:tr>
        <w:trPr>
          <w:cantSplit/>
          <w:trHeight w:val="576" w:hRule="atLeast"/>
        </w:trPr>
        <w:tc>
          <w:tcPr>
            <w:tcBorders>
              <w:left w:val="none"/>
            </w:tcBorders>
            <w:tcMar>
              <w:top w:type="dxa" w:w="80"/>
              <w:left w:type="dxa" w:w="120"/>
              <w:bottom w:type="dxa" w:w="80"/>
              <w:right w:type="dxa" w:w="120"/>
            </w:tcMar>
            <w:vAlign w:val="center"/>
          </w:tcPr>
          <w:p>
            <w:pPr>
              <w:pStyle w:val="MdTableCell"/>
              <w:jc w:val="left"/>
            </w:pPr>
            <w:r>
              <w:t xml:space="preserve">950K Block, 92840</w:t>
            </w:r>
          </w:p>
        </w:tc>
        <w:tc>
          <w:tcPr>
            <w:tcMar>
              <w:top w:type="dxa" w:w="80"/>
              <w:left w:type="dxa" w:w="120"/>
              <w:bottom w:type="dxa" w:w="80"/>
              <w:right w:type="dxa" w:w="120"/>
            </w:tcMar>
            <w:vAlign w:val="center"/>
          </w:tcPr>
          <w:p>
            <w:pPr>
              <w:pStyle w:val="MdTableCell"/>
              <w:jc w:val="left"/>
            </w:pPr>
            <w:r>
              <w:t xml:space="preserve">Jan 2026</w:t>
            </w:r>
          </w:p>
        </w:tc>
        <w:tc>
          <w:tcPr>
            <w:tcMar>
              <w:top w:type="dxa" w:w="80"/>
              <w:left w:type="dxa" w:w="120"/>
              <w:bottom w:type="dxa" w:w="80"/>
              <w:right w:type="dxa" w:w="120"/>
            </w:tcMar>
            <w:vAlign w:val="center"/>
          </w:tcPr>
          <w:p>
            <w:pPr>
              <w:pStyle w:val="MdTableCell"/>
              <w:jc w:val="left"/>
            </w:pPr>
            <w:r>
              <w:t xml:space="preserve">$950,000</w:t>
            </w:r>
          </w:p>
        </w:tc>
        <w:tc>
          <w:tcPr>
            <w:tcMar>
              <w:top w:type="dxa" w:w="80"/>
              <w:left w:type="dxa" w:w="120"/>
              <w:bottom w:type="dxa" w:w="80"/>
              <w:right w:type="dxa" w:w="120"/>
            </w:tcMar>
            <w:vAlign w:val="center"/>
          </w:tcPr>
          <w:p>
            <w:pPr>
              <w:pStyle w:val="MdTableCell"/>
              <w:jc w:val="left"/>
            </w:pPr>
            <w:r>
              <w:t xml:space="preserve">1,695</w:t>
            </w:r>
          </w:p>
        </w:tc>
        <w:tc>
          <w:tcPr>
            <w:tcMar>
              <w:top w:type="dxa" w:w="80"/>
              <w:left w:type="dxa" w:w="120"/>
              <w:bottom w:type="dxa" w:w="80"/>
              <w:right w:type="dxa" w:w="120"/>
            </w:tcMar>
            <w:vAlign w:val="center"/>
          </w:tcPr>
          <w:p>
            <w:pPr>
              <w:pStyle w:val="MdTableCell"/>
              <w:jc w:val="left"/>
            </w:pPr>
            <w:r>
              <w:t xml:space="preserve">$560</w:t>
            </w:r>
          </w:p>
        </w:tc>
        <w:tc>
          <w:tcPr>
            <w:tcMar>
              <w:top w:type="dxa" w:w="80"/>
              <w:left w:type="dxa" w:w="120"/>
              <w:bottom w:type="dxa" w:w="80"/>
              <w:right w:type="dxa" w:w="120"/>
            </w:tcMar>
            <w:vAlign w:val="center"/>
          </w:tcPr>
          <w:p>
            <w:pPr>
              <w:pStyle w:val="MdTableCell"/>
              <w:jc w:val="left"/>
            </w:pPr>
            <w:r>
              <w:t xml:space="preserve">3 / 1</w:t>
            </w:r>
          </w:p>
        </w:tc>
        <w:tc>
          <w:tcPr>
            <w:tcBorders>
              <w:right w:val="none"/>
            </w:tcBorders>
            <w:tcMar>
              <w:top w:type="dxa" w:w="80"/>
              <w:left w:type="dxa" w:w="120"/>
              <w:bottom w:type="dxa" w:w="80"/>
              <w:right w:type="dxa" w:w="120"/>
            </w:tcMar>
            <w:vAlign w:val="center"/>
          </w:tcPr>
          <w:p>
            <w:pPr>
              <w:pStyle w:val="MdTableCell"/>
              <w:jc w:val="left"/>
            </w:pPr>
            <w:r>
              <w:t xml:space="preserve">Comparable Sales [6]</w:t>
            </w:r>
          </w:p>
        </w:tc>
      </w:tr>
      <w:tr>
        <w:trPr>
          <w:cantSplit/>
          <w:trHeight w:val="576" w:hRule="atLeast"/>
        </w:trPr>
        <w:tc>
          <w:tcPr>
            <w:tcBorders>
              <w:left w:val="none"/>
            </w:tcBorders>
            <w:tcMar>
              <w:top w:type="dxa" w:w="80"/>
              <w:left w:type="dxa" w:w="120"/>
              <w:bottom w:type="dxa" w:w="80"/>
              <w:right w:type="dxa" w:w="120"/>
            </w:tcMar>
            <w:vAlign w:val="center"/>
          </w:tcPr>
          <w:p>
            <w:pPr>
              <w:pStyle w:val="MdTableCell"/>
              <w:jc w:val="left"/>
            </w:pPr>
            <w:r>
              <w:t xml:space="preserve">1040K Block, 92840</w:t>
            </w:r>
          </w:p>
        </w:tc>
        <w:tc>
          <w:tcPr>
            <w:tcMar>
              <w:top w:type="dxa" w:w="80"/>
              <w:left w:type="dxa" w:w="120"/>
              <w:bottom w:type="dxa" w:w="80"/>
              <w:right w:type="dxa" w:w="120"/>
            </w:tcMar>
            <w:vAlign w:val="center"/>
          </w:tcPr>
          <w:p>
            <w:pPr>
              <w:pStyle w:val="MdTableCell"/>
              <w:jc w:val="left"/>
            </w:pPr>
            <w:r>
              <w:t xml:space="preserve">Jan 2026</w:t>
            </w:r>
          </w:p>
        </w:tc>
        <w:tc>
          <w:tcPr>
            <w:tcMar>
              <w:top w:type="dxa" w:w="80"/>
              <w:left w:type="dxa" w:w="120"/>
              <w:bottom w:type="dxa" w:w="80"/>
              <w:right w:type="dxa" w:w="120"/>
            </w:tcMar>
            <w:vAlign w:val="center"/>
          </w:tcPr>
          <w:p>
            <w:pPr>
              <w:pStyle w:val="MdTableCell"/>
              <w:jc w:val="left"/>
            </w:pPr>
            <w:r>
              <w:t xml:space="preserve">$1,040,000</w:t>
            </w:r>
          </w:p>
        </w:tc>
        <w:tc>
          <w:tcPr>
            <w:tcMar>
              <w:top w:type="dxa" w:w="80"/>
              <w:left w:type="dxa" w:w="120"/>
              <w:bottom w:type="dxa" w:w="80"/>
              <w:right w:type="dxa" w:w="120"/>
            </w:tcMar>
            <w:vAlign w:val="center"/>
          </w:tcPr>
          <w:p>
            <w:pPr>
              <w:pStyle w:val="MdTableCell"/>
              <w:jc w:val="left"/>
            </w:pPr>
            <w:r>
              <w:t xml:space="preserve">1,164</w:t>
            </w:r>
          </w:p>
        </w:tc>
        <w:tc>
          <w:tcPr>
            <w:tcMar>
              <w:top w:type="dxa" w:w="80"/>
              <w:left w:type="dxa" w:w="120"/>
              <w:bottom w:type="dxa" w:w="80"/>
              <w:right w:type="dxa" w:w="120"/>
            </w:tcMar>
            <w:vAlign w:val="center"/>
          </w:tcPr>
          <w:p>
            <w:pPr>
              <w:pStyle w:val="MdTableCell"/>
              <w:jc w:val="left"/>
            </w:pPr>
            <w:r>
              <w:t xml:space="preserve">$893</w:t>
            </w:r>
          </w:p>
        </w:tc>
        <w:tc>
          <w:tcPr>
            <w:tcMar>
              <w:top w:type="dxa" w:w="80"/>
              <w:left w:type="dxa" w:w="120"/>
              <w:bottom w:type="dxa" w:w="80"/>
              <w:right w:type="dxa" w:w="120"/>
            </w:tcMar>
            <w:vAlign w:val="center"/>
          </w:tcPr>
          <w:p>
            <w:pPr>
              <w:pStyle w:val="MdTableCell"/>
              <w:jc w:val="left"/>
            </w:pPr>
            <w:r>
              <w:t xml:space="preserve">3 / 2</w:t>
            </w:r>
          </w:p>
        </w:tc>
        <w:tc>
          <w:tcPr>
            <w:tcBorders>
              <w:right w:val="none"/>
            </w:tcBorders>
            <w:tcMar>
              <w:top w:type="dxa" w:w="80"/>
              <w:left w:type="dxa" w:w="120"/>
              <w:bottom w:type="dxa" w:w="80"/>
              <w:right w:type="dxa" w:w="120"/>
            </w:tcMar>
            <w:vAlign w:val="center"/>
          </w:tcPr>
          <w:p>
            <w:pPr>
              <w:pStyle w:val="MdTableCell"/>
              <w:jc w:val="left"/>
            </w:pPr>
            <w:r>
              <w:t xml:space="preserve">Comparable Sales [6]</w:t>
            </w:r>
          </w:p>
        </w:tc>
      </w:tr>
      <w:tr>
        <w:trPr>
          <w:cantSplit/>
          <w:trHeight w:val="576" w:hRule="atLeast"/>
        </w:trPr>
        <w:tc>
          <w:tcPr>
            <w:tcBorders>
              <w:left w:val="none"/>
            </w:tcBorders>
            <w:tcMar>
              <w:top w:type="dxa" w:w="80"/>
              <w:left w:type="dxa" w:w="120"/>
              <w:bottom w:type="dxa" w:w="80"/>
              <w:right w:type="dxa" w:w="120"/>
            </w:tcMar>
            <w:vAlign w:val="center"/>
          </w:tcPr>
          <w:p>
            <w:pPr>
              <w:pStyle w:val="MdTableCell"/>
              <w:jc w:val="left"/>
            </w:pPr>
            <w:r>
              <w:t xml:space="preserve">1160K Block, 92840</w:t>
            </w:r>
          </w:p>
        </w:tc>
        <w:tc>
          <w:tcPr>
            <w:tcMar>
              <w:top w:type="dxa" w:w="80"/>
              <w:left w:type="dxa" w:w="120"/>
              <w:bottom w:type="dxa" w:w="80"/>
              <w:right w:type="dxa" w:w="120"/>
            </w:tcMar>
            <w:vAlign w:val="center"/>
          </w:tcPr>
          <w:p>
            <w:pPr>
              <w:pStyle w:val="MdTableCell"/>
              <w:jc w:val="left"/>
            </w:pPr>
            <w:r>
              <w:t xml:space="preserve">Jan 2026</w:t>
            </w:r>
          </w:p>
        </w:tc>
        <w:tc>
          <w:tcPr>
            <w:tcMar>
              <w:top w:type="dxa" w:w="80"/>
              <w:left w:type="dxa" w:w="120"/>
              <w:bottom w:type="dxa" w:w="80"/>
              <w:right w:type="dxa" w:w="120"/>
            </w:tcMar>
            <w:vAlign w:val="center"/>
          </w:tcPr>
          <w:p>
            <w:pPr>
              <w:pStyle w:val="MdTableCell"/>
              <w:jc w:val="left"/>
            </w:pPr>
            <w:r>
              <w:t xml:space="preserve">$1,160,000</w:t>
            </w:r>
          </w:p>
        </w:tc>
        <w:tc>
          <w:tcPr>
            <w:tcMar>
              <w:top w:type="dxa" w:w="80"/>
              <w:left w:type="dxa" w:w="120"/>
              <w:bottom w:type="dxa" w:w="80"/>
              <w:right w:type="dxa" w:w="120"/>
            </w:tcMar>
            <w:vAlign w:val="center"/>
          </w:tcPr>
          <w:p>
            <w:pPr>
              <w:pStyle w:val="MdTableCell"/>
              <w:jc w:val="left"/>
            </w:pPr>
            <w:r>
              <w:t xml:space="preserve">1,334</w:t>
            </w:r>
          </w:p>
        </w:tc>
        <w:tc>
          <w:tcPr>
            <w:tcMar>
              <w:top w:type="dxa" w:w="80"/>
              <w:left w:type="dxa" w:w="120"/>
              <w:bottom w:type="dxa" w:w="80"/>
              <w:right w:type="dxa" w:w="120"/>
            </w:tcMar>
            <w:vAlign w:val="center"/>
          </w:tcPr>
          <w:p>
            <w:pPr>
              <w:pStyle w:val="MdTableCell"/>
              <w:jc w:val="left"/>
            </w:pPr>
            <w:r>
              <w:t xml:space="preserve">$870</w:t>
            </w:r>
          </w:p>
        </w:tc>
        <w:tc>
          <w:tcPr>
            <w:tcMar>
              <w:top w:type="dxa" w:w="80"/>
              <w:left w:type="dxa" w:w="120"/>
              <w:bottom w:type="dxa" w:w="80"/>
              <w:right w:type="dxa" w:w="120"/>
            </w:tcMar>
            <w:vAlign w:val="center"/>
          </w:tcPr>
          <w:p>
            <w:pPr>
              <w:pStyle w:val="MdTableCell"/>
              <w:jc w:val="left"/>
            </w:pPr>
            <w:r>
              <w:t xml:space="preserve">3 / 2</w:t>
            </w:r>
          </w:p>
        </w:tc>
        <w:tc>
          <w:tcPr>
            <w:tcBorders>
              <w:right w:val="none"/>
            </w:tcBorders>
            <w:tcMar>
              <w:top w:type="dxa" w:w="80"/>
              <w:left w:type="dxa" w:w="120"/>
              <w:bottom w:type="dxa" w:w="80"/>
              <w:right w:type="dxa" w:w="120"/>
            </w:tcMar>
            <w:vAlign w:val="center"/>
          </w:tcPr>
          <w:p>
            <w:pPr>
              <w:pStyle w:val="MdTableCell"/>
              <w:jc w:val="left"/>
            </w:pPr>
            <w:r>
              <w:t xml:space="preserve">Comparable Sales [6]</w:t>
            </w:r>
          </w:p>
        </w:tc>
      </w:tr>
      <w:tr>
        <w:trPr>
          <w:cantSplit/>
          <w:trHeight w:val="576" w:hRule="atLeast"/>
        </w:trPr>
        <w:tc>
          <w:tcPr>
            <w:tcBorders>
              <w:left w:val="none"/>
              <w:bottom w:val="single" w:color="E1E4E8" w:sz="4"/>
            </w:tcBorders>
            <w:tcMar>
              <w:top w:type="dxa" w:w="80"/>
              <w:left w:type="dxa" w:w="120"/>
              <w:bottom w:type="dxa" w:w="80"/>
              <w:right w:type="dxa" w:w="120"/>
            </w:tcMar>
            <w:vAlign w:val="center"/>
          </w:tcPr>
          <w:p>
            <w:pPr>
              <w:pStyle w:val="MdTableCell"/>
              <w:jc w:val="left"/>
            </w:pPr>
            <w:r>
              <w:t xml:space="preserve">756K Block, 92840</w:t>
            </w:r>
          </w:p>
        </w:tc>
        <w:tc>
          <w:tcPr>
            <w:tcBorders>
              <w:bottom w:val="single" w:color="E1E4E8" w:sz="4"/>
            </w:tcBorders>
            <w:tcMar>
              <w:top w:type="dxa" w:w="80"/>
              <w:left w:type="dxa" w:w="120"/>
              <w:bottom w:type="dxa" w:w="80"/>
              <w:right w:type="dxa" w:w="120"/>
            </w:tcMar>
            <w:vAlign w:val="center"/>
          </w:tcPr>
          <w:p>
            <w:pPr>
              <w:pStyle w:val="MdTableCell"/>
              <w:jc w:val="left"/>
            </w:pPr>
            <w:r>
              <w:t xml:space="preserve">Apr 2026</w:t>
            </w:r>
          </w:p>
        </w:tc>
        <w:tc>
          <w:tcPr>
            <w:tcBorders>
              <w:bottom w:val="single" w:color="E1E4E8" w:sz="4"/>
            </w:tcBorders>
            <w:tcMar>
              <w:top w:type="dxa" w:w="80"/>
              <w:left w:type="dxa" w:w="120"/>
              <w:bottom w:type="dxa" w:w="80"/>
              <w:right w:type="dxa" w:w="120"/>
            </w:tcMar>
            <w:vAlign w:val="center"/>
          </w:tcPr>
          <w:p>
            <w:pPr>
              <w:pStyle w:val="MdTableCell"/>
              <w:jc w:val="left"/>
            </w:pPr>
            <w:r>
              <w:t xml:space="preserve">$756,000</w:t>
            </w:r>
          </w:p>
        </w:tc>
        <w:tc>
          <w:tcPr>
            <w:tcBorders>
              <w:bottom w:val="single" w:color="E1E4E8" w:sz="4"/>
            </w:tcBorders>
            <w:tcMar>
              <w:top w:type="dxa" w:w="80"/>
              <w:left w:type="dxa" w:w="120"/>
              <w:bottom w:type="dxa" w:w="80"/>
              <w:right w:type="dxa" w:w="120"/>
            </w:tcMar>
            <w:vAlign w:val="center"/>
          </w:tcPr>
          <w:p>
            <w:pPr>
              <w:pStyle w:val="MdTableCell"/>
              <w:jc w:val="left"/>
            </w:pPr>
            <w:r>
              <w:t xml:space="preserve">1,398</w:t>
            </w:r>
          </w:p>
        </w:tc>
        <w:tc>
          <w:tcPr>
            <w:tcBorders>
              <w:bottom w:val="single" w:color="E1E4E8" w:sz="4"/>
            </w:tcBorders>
            <w:tcMar>
              <w:top w:type="dxa" w:w="80"/>
              <w:left w:type="dxa" w:w="120"/>
              <w:bottom w:type="dxa" w:w="80"/>
              <w:right w:type="dxa" w:w="120"/>
            </w:tcMar>
            <w:vAlign w:val="center"/>
          </w:tcPr>
          <w:p>
            <w:pPr>
              <w:pStyle w:val="MdTableCell"/>
              <w:jc w:val="left"/>
            </w:pPr>
            <w:r>
              <w:t xml:space="preserve">$541</w:t>
            </w:r>
          </w:p>
        </w:tc>
        <w:tc>
          <w:tcPr>
            <w:tcBorders>
              <w:bottom w:val="single" w:color="E1E4E8" w:sz="4"/>
            </w:tcBorders>
            <w:tcMar>
              <w:top w:type="dxa" w:w="80"/>
              <w:left w:type="dxa" w:w="120"/>
              <w:bottom w:type="dxa" w:w="80"/>
              <w:right w:type="dxa" w:w="120"/>
            </w:tcMar>
            <w:vAlign w:val="center"/>
          </w:tcPr>
          <w:p>
            <w:pPr>
              <w:pStyle w:val="MdTableCell"/>
              <w:jc w:val="left"/>
            </w:pPr>
            <w:r>
              <w:t xml:space="preserve">3 / 2.5</w:t>
            </w:r>
          </w:p>
        </w:tc>
        <w:tc>
          <w:tcPr>
            <w:tcBorders>
              <w:bottom w:val="single" w:color="E1E4E8" w:sz="4"/>
              <w:right w:val="none"/>
            </w:tcBorders>
            <w:tcMar>
              <w:top w:type="dxa" w:w="80"/>
              <w:left w:type="dxa" w:w="120"/>
              <w:bottom w:type="dxa" w:w="80"/>
              <w:right w:type="dxa" w:w="120"/>
            </w:tcMar>
            <w:vAlign w:val="center"/>
          </w:tcPr>
          <w:p>
            <w:pPr>
              <w:pStyle w:val="MdTableCell"/>
              <w:jc w:val="left"/>
            </w:pPr>
            <w:r>
              <w:t xml:space="preserve">Comparable Sales [6]</w:t>
            </w:r>
          </w:p>
        </w:tc>
      </w:tr>
    </w:tbl>
    <w:p>
      <w:pPr>
        <w:pStyle w:val="Heading3"/>
        <w:pStyle w:val="MdHeading3"/>
      </w:pPr>
      <w:r>
        <w:t xml:space="preserve">7.4 Market Adjustments and Rationale</w:t>
      </w:r>
    </w:p>
    <w:p>
      <w:pPr>
        <w:pStyle w:val="MdParagraph"/>
      </w:pPr>
      <w:r>
        <w:t xml:space="preserve">The comparable sales exhibit a wide price-per-square-foot range from $541 to $893, with an average of $713/sq ft. The subject property, at its estimated value of $1,055,007, implies a price of $564/sq ft, placing it at the lower end of the comparable spectrum. Qualitative adjustments are warranted: the subject's larger lot size (14,040 sq ft) and detached garage merit a positive adjustment, while its older vintage (1949) and lack of central HVAC or pool require negative adjustments compared to modernized or newer comparables. </w:t>
      </w:r>
    </w:p>
    <w:p>
      <w:pPr>
        <w:pStyle w:val="MdSpace"/>
        <w:spacing w:before="0" w:after="60"/>
      </w:pPr>
    </w:p>
    <w:p>
      <w:pPr>
        <w:pStyle w:val="Heading3"/>
        <w:pStyle w:val="MdHeading3"/>
      </w:pPr>
      <w:r>
        <w:t xml:space="preserve">7.5 Value Range Indications</w:t>
      </w:r>
    </w:p>
    <w:p>
      <w:pPr>
        <w:pStyle w:val="MdParagraph"/>
      </w:pPr>
      <w:r>
        <w:t xml:space="preserve">Based on the average comparable price per square foot ($713), the implied value of the subject property's 1,870 square feet would be approximately $1,332,687. However, given the subject's condition and age, a more conservative valuation aligns with the AVM estimate. The as-is market value range is estimated between $950,000 and $1,100,000, with a central tendency around $1,050,000. From an investment perspective, the low capitalization rate (1.87%) indicates that the property's value is driven primarily by land and appreciation potential rather than current income-generating capacity.</w:t>
      </w:r>
    </w:p>
    <w:p>
      <w:pPr>
        <w:pStyle w:val="MdSpace"/>
        <w:spacing w:before="0" w:after="60"/>
      </w:pPr>
    </w:p>
    <w:p>
      <w:pPr>
        <w:pStyle w:val="Heading3"/>
        <w:pStyle w:val="MdHeading3"/>
      </w:pPr>
      <w:r>
        <w:t xml:space="preserve">7.6 CMA Limitations</w:t>
      </w:r>
    </w:p>
    <w:p>
      <w:pPr>
        <w:pStyle w:val="MdParagraph"/>
      </w:pPr>
      <w:r>
        <w:t xml:space="preserve">This analysis is limited by the lack of interior inspection data for both the subject and comparable properties. Unverified differences in condition, upgrades, and specific locational nuances within the 92840 zip code may significantly impact actual market value. </w:t>
      </w:r>
    </w:p>
    <w:p>
      <w:pPr>
        <w:pStyle w:val="MdSpace"/>
        <w:spacing w:before="0" w:after="60"/>
      </w:pPr>
    </w:p>
    <w:p>
      <w:pPr>
        <w:pStyle w:val="Heading2"/>
        <w:pStyle w:val="MdHeading2"/>
      </w:pPr>
      <w:r>
        <w:t xml:space="preserve">8. Market &amp; Neighborhood Context</w:t>
      </w:r>
    </w:p>
    <w:p>
      <w:pPr>
        <w:pStyle w:val="MdParagraph"/>
      </w:pPr>
      <w:r>
        <w:t xml:space="preserve">Garden Grove is a well-established city in Orange County characterized by steady demand and limited new supply. As of early 2026, the median home price in Garden Grove ranges between $950,000 and $1,000,000, reflecting modest year-over-year appreciation of 1% to 4% (Market Data) [5]. The market is currently experiencing a plateau, with prices holding steady and inventory remaining relatively low, creating a balanced to slightly seller-advantaged environment.</w:t>
      </w:r>
    </w:p>
    <w:p>
      <w:pPr>
        <w:pStyle w:val="MdSpace"/>
        <w:spacing w:before="0" w:after="60"/>
      </w:pPr>
    </w:p>
    <w:p>
      <w:pPr>
        <w:pStyle w:val="MdParagraph"/>
      </w:pPr>
      <w:r>
        <w:t xml:space="preserve">The subject property's neighborhood in the 92840 zip code is highly walkable (Walk Score: 82/100) and family-friendly, supported by the Garden Grove Unified School District. Crime risk is moderate (35/100 relative to the national average) (Subject Property PDF) [1]. The rental market in Garden Grove is robust, with average rents for 3-bedroom single-family homes ranging from $2,750 to $4,000 per month. The subject property's estimated rent of $4,153 is at the premium end of the market, likely supported by its large lot and square footage. Demand drivers include the area's relative affordability compared to coastal Orange County and its proximity to major employment centers.</w:t>
      </w:r>
    </w:p>
    <w:p>
      <w:pPr>
        <w:pStyle w:val="MdSpace"/>
        <w:spacing w:before="0" w:after="60"/>
      </w:pPr>
    </w:p>
    <w:p>
      <w:pPr>
        <w:pStyle w:val="Heading2"/>
        <w:pStyle w:val="MdHeading2"/>
      </w:pPr>
      <w:r>
        <w:t xml:space="preserve">9. Risk Analysis &amp; Constraints</w:t>
      </w:r>
    </w:p>
    <w:p>
      <w:pPr>
        <w:pStyle w:val="MdParagraph"/>
      </w:pPr>
      <w:r>
        <w:rPr>
          <w:rStyle w:val="MdStrong"/>
          <w:b/>
          <w:bCs/>
        </w:rPr>
        <w:t xml:space="preserve">Negative Cash Flow Risk (High Materiality):</w:t>
      </w:r>
      <w:r>
        <w:t xml:space="preserve"> Based on the current mortgage of $745,000 at an assumed 6.5% interest rate, the annual debt service is approximately $56,507. With an estimated NOI of $19,704, the property generates a negative annual cash flow after debt of -$36,803 (Financial Output) [9]. This requires the investor to have sufficient capital reserves to subsidize the property while waiting for appreciation.</w:t>
      </w:r>
    </w:p>
    <w:p>
      <w:pPr>
        <w:pStyle w:val="MdSpace"/>
        <w:spacing w:before="0" w:after="60"/>
      </w:pPr>
    </w:p>
    <w:p>
      <w:pPr>
        <w:pStyle w:val="MdParagraph"/>
      </w:pPr>
      <w:r>
        <w:rPr>
          <w:rStyle w:val="MdStrong"/>
          <w:b/>
          <w:bCs/>
        </w:rPr>
        <w:t xml:space="preserve">Property Age &amp; Deferred Maintenance (Medium Materiality):</w:t>
      </w:r>
      <w:r>
        <w:t xml:space="preserve"> Built in 1949, the property is over 75 years old. Without documented recent renovations, there is a moderate to high risk of unforeseen capital expenditures related to roof, plumbing, electrical, or foundation systems.</w:t>
      </w:r>
    </w:p>
    <w:p>
      <w:pPr>
        <w:pStyle w:val="MdSpace"/>
        <w:spacing w:before="0" w:after="60"/>
      </w:pPr>
    </w:p>
    <w:p>
      <w:pPr>
        <w:pStyle w:val="MdParagraph"/>
      </w:pPr>
      <w:r>
        <w:rPr>
          <w:rStyle w:val="MdStrong"/>
          <w:b/>
          <w:bCs/>
        </w:rPr>
        <w:t xml:space="preserve">Market Volatility (Medium Materiality):</w:t>
      </w:r>
      <w:r>
        <w:t xml:space="preserve"> While the Garden Grove market is historically stable, the recent price decline of the subject property from $900,000 in 2023 to a transfer value of $745,000 in 2025 highlights potential localized volatility or distress that warrants careful monitoring.</w:t>
      </w:r>
    </w:p>
    <w:p>
      <w:pPr>
        <w:pStyle w:val="MdSpace"/>
        <w:spacing w:before="0" w:after="60"/>
      </w:pPr>
    </w:p>
    <w:p>
      <w:pPr>
        <w:pStyle w:val="MdParagraph"/>
      </w:pPr>
      <w:r>
        <w:rPr>
          <w:rStyle w:val="MdStrong"/>
          <w:b/>
          <w:bCs/>
        </w:rPr>
        <w:t xml:space="preserve">Environmental &amp; Natural Hazards (Low Materiality):</w:t>
      </w:r>
      <w:r>
        <w:t xml:space="preserve"> The property is located in a minimal exposure zone for wildfires and is not currently within a high-risk FEMA flood zone. However, Orange County faces moderate seismic risks, necessitating appropriate insurance coverage (Environmental Risks) [8].</w:t>
      </w:r>
    </w:p>
    <w:p>
      <w:pPr>
        <w:pStyle w:val="MdSpace"/>
        <w:spacing w:before="0" w:after="60"/>
      </w:pPr>
    </w:p>
    <w:p>
      <w:pPr>
        <w:pStyle w:val="Heading2"/>
        <w:pStyle w:val="MdHeading2"/>
      </w:pPr>
      <w:r>
        <w:t xml:space="preserve">10. Investment, Use &amp; Strategic Observations</w:t>
      </w:r>
    </w:p>
    <w:p>
      <w:pPr>
        <w:pStyle w:val="MdParagraph"/>
      </w:pPr>
      <w:r>
        <w:rPr>
          <w:rStyle w:val="MdStrong"/>
          <w:b/>
          <w:bCs/>
        </w:rPr>
        <w:t xml:space="preserve">Highest and Best Use:</w:t>
      </w:r>
      <w:r>
        <w:t xml:space="preserve"> The legally permissible, physically possible, and financially feasible highest and best use of the property is its continued use as a single-family residence, optimized through the addition of an Accessory Dwelling Unit (ADU) to maximize the utility of the large 14,040-square-foot lot.</w:t>
      </w:r>
    </w:p>
    <w:p>
      <w:pPr>
        <w:pStyle w:val="MdSpace"/>
        <w:spacing w:before="0" w:after="60"/>
      </w:pPr>
    </w:p>
    <w:p>
      <w:pPr>
        <w:pStyle w:val="MdParagraph"/>
      </w:pPr>
      <w:r>
        <w:rPr>
          <w:rStyle w:val="MdStrong"/>
          <w:b/>
          <w:bCs/>
        </w:rPr>
        <w:t xml:space="preserve">Hold Strategy:</w:t>
      </w:r>
      <w:r>
        <w:t xml:space="preserve"> Given the negative cash flow profile but strong historical appreciation, the optimal strategy is a long-term hold. The property is best suited for an investor focused on equity growth or an owner-occupant who can offset the negative investment cash flow with personal utility value.</w:t>
      </w:r>
    </w:p>
    <w:p>
      <w:pPr>
        <w:pStyle w:val="MdSpace"/>
        <w:spacing w:before="0" w:after="60"/>
      </w:pPr>
    </w:p>
    <w:p>
      <w:pPr>
        <w:pStyle w:val="MdParagraph"/>
      </w:pPr>
      <w:r>
        <w:rPr>
          <w:rStyle w:val="MdStrong"/>
          <w:b/>
          <w:bCs/>
        </w:rPr>
        <w:t xml:space="preserve">Rental Optimization:</w:t>
      </w:r>
      <w:r>
        <w:t xml:space="preserve"> To improve the 1.87% capitalization rate, the owner should aggressively pursue ADU development. Converting the 1,040-square-foot detached garage into a rentable unit could add $1,500 to $2,500 in monthly gross income, significantly improving the NOI and overall yield.</w:t>
      </w:r>
    </w:p>
    <w:p>
      <w:pPr>
        <w:pStyle w:val="MdSpace"/>
        <w:spacing w:before="0" w:after="60"/>
      </w:pPr>
    </w:p>
    <w:p>
      <w:pPr>
        <w:pStyle w:val="MdParagraph"/>
      </w:pPr>
      <w:r>
        <w:rPr>
          <w:rStyle w:val="MdStrong"/>
          <w:b/>
          <w:bCs/>
        </w:rPr>
        <w:t xml:space="preserve">Redevelopment Considerations:</w:t>
      </w:r>
      <w:r>
        <w:t xml:space="preserve"> Full redevelopment is constrained by the R-1 zoning. Strategic capital should be deployed toward modernization of the existing 1949 structure and ADU implementation rather than attempting to rezone or subdivide.</w:t>
      </w:r>
    </w:p>
    <w:p>
      <w:pPr>
        <w:pStyle w:val="MdSpace"/>
        <w:spacing w:before="0" w:after="60"/>
      </w:pPr>
    </w:p>
    <w:p>
      <w:pPr>
        <w:pStyle w:val="Heading2"/>
        <w:pStyle w:val="MdHeading2"/>
      </w:pPr>
      <w:r>
        <w:t xml:space="preserve">11. Sources, Assumptions &amp; Confidence Assessment</w:t>
      </w:r>
    </w:p>
    <w:p>
      <w:pPr>
        <w:pStyle w:val="Heading3"/>
        <w:pStyle w:val="MdHeading3"/>
      </w:pPr>
      <w:r>
        <w:t xml:space="preserve">11.1 Enumerated Data Sources</w:t>
      </w:r>
    </w:p>
    <w:tbl>
      <w:tblPr>
        <w:tblStyle w:val="MdTable"/>
        <w:tblW w:type="pct" w:w="100%"/>
        <w:tblBorders>
          <w:top w:val="single" w:color="E1E4E8" w:sz="4"/>
          <w:left w:val="none"/>
          <w:bottom w:val="single" w:color="E1E4E8" w:sz="4"/>
          <w:right w:val="none"/>
          <w:insideH w:val="single" w:color="E1E4E8" w:sz="2"/>
          <w:insideV w:val="single" w:color="F6F8FA" w:sz="2"/>
        </w:tblBorders>
      </w:tblPr>
      <w:tblGrid>
        <w:gridCol w:w="100"/>
        <w:gridCol w:w="100"/>
        <w:gridCol w:w="100"/>
      </w:tblGrid>
      <w:tr>
        <w:trPr>
          <w:cantSplit/>
          <w:tblHeader/>
          <w:trHeight w:val="720" w:hRule="atLeast"/>
        </w:trPr>
        <w:tc>
          <w:tcPr>
            <w:tcBorders>
              <w:left w:val="none"/>
            </w:tcBorders>
            <w:tcMar>
              <w:top w:type="dxa" w:w="100"/>
              <w:left w:type="dxa" w:w="120"/>
              <w:bottom w:type="dxa" w:w="100"/>
              <w:right w:type="dxa" w:w="120"/>
            </w:tcMar>
            <w:vAlign w:val="center"/>
          </w:tcPr>
          <w:p>
            <w:pPr>
              <w:pStyle w:val="MdTableHeader"/>
              <w:jc w:val="left"/>
            </w:pPr>
            <w:r>
              <w:t xml:space="preserve">Label</w:t>
            </w:r>
          </w:p>
        </w:tc>
        <w:tc>
          <w:tcPr>
            <w:tcMar>
              <w:top w:type="dxa" w:w="100"/>
              <w:left w:type="dxa" w:w="120"/>
              <w:bottom w:type="dxa" w:w="100"/>
              <w:right w:type="dxa" w:w="120"/>
            </w:tcMar>
            <w:vAlign w:val="center"/>
          </w:tcPr>
          <w:p>
            <w:pPr>
              <w:pStyle w:val="MdTableHeader"/>
              <w:jc w:val="left"/>
            </w:pPr>
            <w:r>
              <w:t xml:space="preserve">Source Description</w:t>
            </w:r>
          </w:p>
        </w:tc>
        <w:tc>
          <w:tcPr>
            <w:tcBorders>
              <w:right w:val="none"/>
            </w:tcBorders>
            <w:tcMar>
              <w:top w:type="dxa" w:w="100"/>
              <w:left w:type="dxa" w:w="120"/>
              <w:bottom w:type="dxa" w:w="100"/>
              <w:right w:type="dxa" w:w="120"/>
            </w:tcMar>
            <w:vAlign w:val="center"/>
          </w:tcPr>
          <w:p>
            <w:pPr>
              <w:pStyle w:val="MdTableHeader"/>
              <w:jc w:val="left"/>
            </w:pPr>
            <w:r>
              <w:t xml:space="preserve">Provenance</w:t>
            </w:r>
          </w:p>
        </w:tc>
      </w:tr>
      <w:tr>
        <w:trPr>
          <w:cantSplit/>
          <w:trHeight w:val="576" w:hRule="atLeast"/>
        </w:trPr>
        <w:tc>
          <w:tcPr>
            <w:tcBorders>
              <w:left w:val="none"/>
            </w:tcBorders>
            <w:tcMar>
              <w:top w:type="dxa" w:w="80"/>
              <w:left w:type="dxa" w:w="120"/>
              <w:bottom w:type="dxa" w:w="80"/>
              <w:right w:type="dxa" w:w="120"/>
            </w:tcMar>
            <w:vAlign w:val="center"/>
          </w:tcPr>
          <w:p>
            <w:pPr>
              <w:pStyle w:val="MdTableCell"/>
              <w:jc w:val="left"/>
            </w:pPr>
            <w:r>
              <w:t xml:space="preserve">[1]</w:t>
            </w:r>
          </w:p>
        </w:tc>
        <w:tc>
          <w:tcPr>
            <w:tcMar>
              <w:top w:type="dxa" w:w="80"/>
              <w:left w:type="dxa" w:w="120"/>
              <w:bottom w:type="dxa" w:w="80"/>
              <w:right w:type="dxa" w:w="120"/>
            </w:tcMar>
            <w:vAlign w:val="center"/>
          </w:tcPr>
          <w:p>
            <w:pPr>
              <w:pStyle w:val="MdTableCell"/>
              <w:jc w:val="left"/>
            </w:pPr>
            <w:r>
              <w:t xml:space="preserve">Subject Property PDF</w:t>
            </w:r>
          </w:p>
        </w:tc>
        <w:tc>
          <w:tcPr>
            <w:tcBorders>
              <w:right w:val="none"/>
            </w:tcBorders>
            <w:tcMar>
              <w:top w:type="dxa" w:w="80"/>
              <w:left w:type="dxa" w:w="120"/>
              <w:bottom w:type="dxa" w:w="80"/>
              <w:right w:type="dxa" w:w="120"/>
            </w:tcMar>
            <w:vAlign w:val="center"/>
          </w:tcPr>
          <w:p>
            <w:pPr>
              <w:pStyle w:val="MdTableCell"/>
              <w:jc w:val="left"/>
            </w:pPr>
            <w:r>
              <w:t xml:space="preserve">CoreLogic / CRMLS Export (Attached)</w:t>
            </w:r>
          </w:p>
        </w:tc>
      </w:tr>
      <w:tr>
        <w:trPr>
          <w:cantSplit/>
          <w:trHeight w:val="576" w:hRule="atLeast"/>
        </w:trPr>
        <w:tc>
          <w:tcPr>
            <w:tcBorders>
              <w:left w:val="none"/>
            </w:tcBorders>
            <w:tcMar>
              <w:top w:type="dxa" w:w="80"/>
              <w:left w:type="dxa" w:w="120"/>
              <w:bottom w:type="dxa" w:w="80"/>
              <w:right w:type="dxa" w:w="120"/>
            </w:tcMar>
            <w:vAlign w:val="center"/>
          </w:tcPr>
          <w:p>
            <w:pPr>
              <w:pStyle w:val="MdTableCell"/>
              <w:jc w:val="left"/>
            </w:pPr>
            <w:r>
              <w:t xml:space="preserve">[2]</w:t>
            </w:r>
          </w:p>
        </w:tc>
        <w:tc>
          <w:tcPr>
            <w:tcMar>
              <w:top w:type="dxa" w:w="80"/>
              <w:left w:type="dxa" w:w="120"/>
              <w:bottom w:type="dxa" w:w="80"/>
              <w:right w:type="dxa" w:w="120"/>
            </w:tcMar>
            <w:vAlign w:val="center"/>
          </w:tcPr>
          <w:p>
            <w:pPr>
              <w:pStyle w:val="MdTableCell"/>
              <w:jc w:val="left"/>
            </w:pPr>
            <w:r>
              <w:t xml:space="preserve">Property Profile PDF</w:t>
            </w:r>
          </w:p>
        </w:tc>
        <w:tc>
          <w:tcPr>
            <w:tcBorders>
              <w:right w:val="none"/>
            </w:tcBorders>
            <w:tcMar>
              <w:top w:type="dxa" w:w="80"/>
              <w:left w:type="dxa" w:w="120"/>
              <w:bottom w:type="dxa" w:w="80"/>
              <w:right w:type="dxa" w:w="120"/>
            </w:tcMar>
            <w:vAlign w:val="center"/>
          </w:tcPr>
          <w:p>
            <w:pPr>
              <w:pStyle w:val="MdTableCell"/>
              <w:jc w:val="left"/>
            </w:pPr>
            <w:r>
              <w:t xml:space="preserve">Title/Profile Export (Attached)</w:t>
            </w:r>
          </w:p>
        </w:tc>
      </w:tr>
      <w:tr>
        <w:trPr>
          <w:cantSplit/>
          <w:trHeight w:val="576" w:hRule="atLeast"/>
        </w:trPr>
        <w:tc>
          <w:tcPr>
            <w:tcBorders>
              <w:left w:val="none"/>
            </w:tcBorders>
            <w:tcMar>
              <w:top w:type="dxa" w:w="80"/>
              <w:left w:type="dxa" w:w="120"/>
              <w:bottom w:type="dxa" w:w="80"/>
              <w:right w:type="dxa" w:w="120"/>
            </w:tcMar>
            <w:vAlign w:val="center"/>
          </w:tcPr>
          <w:p>
            <w:pPr>
              <w:pStyle w:val="MdTableCell"/>
              <w:jc w:val="left"/>
            </w:pPr>
            <w:r>
              <w:t xml:space="preserve">[3]</w:t>
            </w:r>
          </w:p>
        </w:tc>
        <w:tc>
          <w:tcPr>
            <w:tcMar>
              <w:top w:type="dxa" w:w="80"/>
              <w:left w:type="dxa" w:w="120"/>
              <w:bottom w:type="dxa" w:w="80"/>
              <w:right w:type="dxa" w:w="120"/>
            </w:tcMar>
            <w:vAlign w:val="center"/>
          </w:tcPr>
          <w:p>
            <w:pPr>
              <w:pStyle w:val="MdTableCell"/>
              <w:jc w:val="left"/>
            </w:pPr>
            <w:r>
              <w:t xml:space="preserve">MLS Data</w:t>
            </w:r>
          </w:p>
        </w:tc>
        <w:tc>
          <w:tcPr>
            <w:tcBorders>
              <w:right w:val="none"/>
            </w:tcBorders>
            <w:tcMar>
              <w:top w:type="dxa" w:w="80"/>
              <w:left w:type="dxa" w:w="120"/>
              <w:bottom w:type="dxa" w:w="80"/>
              <w:right w:type="dxa" w:w="120"/>
            </w:tcMar>
            <w:vAlign w:val="center"/>
          </w:tcPr>
          <w:p>
            <w:pPr>
              <w:pStyle w:val="MdTableCell"/>
              <w:jc w:val="left"/>
            </w:pPr>
            <w:r>
              <w:t xml:space="preserve">Embedded in PDFs</w:t>
            </w:r>
          </w:p>
        </w:tc>
      </w:tr>
      <w:tr>
        <w:trPr>
          <w:cantSplit/>
          <w:trHeight w:val="576" w:hRule="atLeast"/>
        </w:trPr>
        <w:tc>
          <w:tcPr>
            <w:tcBorders>
              <w:left w:val="none"/>
            </w:tcBorders>
            <w:tcMar>
              <w:top w:type="dxa" w:w="80"/>
              <w:left w:type="dxa" w:w="120"/>
              <w:bottom w:type="dxa" w:w="80"/>
              <w:right w:type="dxa" w:w="120"/>
            </w:tcMar>
            <w:vAlign w:val="center"/>
          </w:tcPr>
          <w:p>
            <w:pPr>
              <w:pStyle w:val="MdTableCell"/>
              <w:jc w:val="left"/>
            </w:pPr>
            <w:r>
              <w:t xml:space="preserve">[4]</w:t>
            </w:r>
          </w:p>
        </w:tc>
        <w:tc>
          <w:tcPr>
            <w:tcMar>
              <w:top w:type="dxa" w:w="80"/>
              <w:left w:type="dxa" w:w="120"/>
              <w:bottom w:type="dxa" w:w="80"/>
              <w:right w:type="dxa" w:w="120"/>
            </w:tcMar>
            <w:vAlign w:val="center"/>
          </w:tcPr>
          <w:p>
            <w:pPr>
              <w:pStyle w:val="MdTableCell"/>
              <w:jc w:val="left"/>
            </w:pPr>
            <w:r>
              <w:t xml:space="preserve">Assessor Record</w:t>
            </w:r>
          </w:p>
        </w:tc>
        <w:tc>
          <w:tcPr>
            <w:tcBorders>
              <w:right w:val="none"/>
            </w:tcBorders>
            <w:tcMar>
              <w:top w:type="dxa" w:w="80"/>
              <w:left w:type="dxa" w:w="120"/>
              <w:bottom w:type="dxa" w:w="80"/>
              <w:right w:type="dxa" w:w="120"/>
            </w:tcMar>
            <w:vAlign w:val="center"/>
          </w:tcPr>
          <w:p>
            <w:pPr>
              <w:pStyle w:val="MdTableCell"/>
              <w:jc w:val="left"/>
            </w:pPr>
            <w:r>
              <w:t xml:space="preserve">Embedded in PDFs</w:t>
            </w:r>
          </w:p>
        </w:tc>
      </w:tr>
      <w:tr>
        <w:trPr>
          <w:cantSplit/>
          <w:trHeight w:val="576" w:hRule="atLeast"/>
        </w:trPr>
        <w:tc>
          <w:tcPr>
            <w:tcBorders>
              <w:left w:val="none"/>
            </w:tcBorders>
            <w:tcMar>
              <w:top w:type="dxa" w:w="80"/>
              <w:left w:type="dxa" w:w="120"/>
              <w:bottom w:type="dxa" w:w="80"/>
              <w:right w:type="dxa" w:w="120"/>
            </w:tcMar>
            <w:vAlign w:val="center"/>
          </w:tcPr>
          <w:p>
            <w:pPr>
              <w:pStyle w:val="MdTableCell"/>
              <w:jc w:val="left"/>
            </w:pPr>
            <w:r>
              <w:t xml:space="preserve">[5]</w:t>
            </w:r>
          </w:p>
        </w:tc>
        <w:tc>
          <w:tcPr>
            <w:tcMar>
              <w:top w:type="dxa" w:w="80"/>
              <w:left w:type="dxa" w:w="120"/>
              <w:bottom w:type="dxa" w:w="80"/>
              <w:right w:type="dxa" w:w="120"/>
            </w:tcMar>
            <w:vAlign w:val="center"/>
          </w:tcPr>
          <w:p>
            <w:pPr>
              <w:pStyle w:val="MdTableCell"/>
              <w:jc w:val="left"/>
            </w:pPr>
            <w:r>
              <w:t xml:space="preserve">Market Data</w:t>
            </w:r>
          </w:p>
        </w:tc>
        <w:tc>
          <w:tcPr>
            <w:tcBorders>
              <w:right w:val="none"/>
            </w:tcBorders>
            <w:tcMar>
              <w:top w:type="dxa" w:w="80"/>
              <w:left w:type="dxa" w:w="120"/>
              <w:bottom w:type="dxa" w:w="80"/>
              <w:right w:type="dxa" w:w="120"/>
            </w:tcMar>
            <w:vAlign w:val="center"/>
          </w:tcPr>
          <w:p>
            <w:pPr>
              <w:pStyle w:val="MdTableCell"/>
              <w:jc w:val="left"/>
            </w:pPr>
            <w:r>
              <w:t xml:space="preserve">Zillow, Realtor.com, Redfin, Movoto (Web Search)</w:t>
            </w:r>
          </w:p>
        </w:tc>
      </w:tr>
      <w:tr>
        <w:trPr>
          <w:cantSplit/>
          <w:trHeight w:val="576" w:hRule="atLeast"/>
        </w:trPr>
        <w:tc>
          <w:tcPr>
            <w:tcBorders>
              <w:left w:val="none"/>
            </w:tcBorders>
            <w:tcMar>
              <w:top w:type="dxa" w:w="80"/>
              <w:left w:type="dxa" w:w="120"/>
              <w:bottom w:type="dxa" w:w="80"/>
              <w:right w:type="dxa" w:w="120"/>
            </w:tcMar>
            <w:vAlign w:val="center"/>
          </w:tcPr>
          <w:p>
            <w:pPr>
              <w:pStyle w:val="MdTableCell"/>
              <w:jc w:val="left"/>
            </w:pPr>
            <w:r>
              <w:t xml:space="preserve">[6]</w:t>
            </w:r>
          </w:p>
        </w:tc>
        <w:tc>
          <w:tcPr>
            <w:tcMar>
              <w:top w:type="dxa" w:w="80"/>
              <w:left w:type="dxa" w:w="120"/>
              <w:bottom w:type="dxa" w:w="80"/>
              <w:right w:type="dxa" w:w="120"/>
            </w:tcMar>
            <w:vAlign w:val="center"/>
          </w:tcPr>
          <w:p>
            <w:pPr>
              <w:pStyle w:val="MdTableCell"/>
              <w:jc w:val="left"/>
            </w:pPr>
            <w:r>
              <w:t xml:space="preserve">Comparable Sales</w:t>
            </w:r>
          </w:p>
        </w:tc>
        <w:tc>
          <w:tcPr>
            <w:tcBorders>
              <w:right w:val="none"/>
            </w:tcBorders>
            <w:tcMar>
              <w:top w:type="dxa" w:w="80"/>
              <w:left w:type="dxa" w:w="120"/>
              <w:bottom w:type="dxa" w:w="80"/>
              <w:right w:type="dxa" w:w="120"/>
            </w:tcMar>
            <w:vAlign w:val="center"/>
          </w:tcPr>
          <w:p>
            <w:pPr>
              <w:pStyle w:val="MdTableCell"/>
              <w:jc w:val="left"/>
            </w:pPr>
            <w:r>
              <w:t xml:space="preserve">Redfin, Realtor.com, Zillow (Web Search)</w:t>
            </w:r>
          </w:p>
        </w:tc>
      </w:tr>
      <w:tr>
        <w:trPr>
          <w:cantSplit/>
          <w:trHeight w:val="576" w:hRule="atLeast"/>
        </w:trPr>
        <w:tc>
          <w:tcPr>
            <w:tcBorders>
              <w:left w:val="none"/>
            </w:tcBorders>
            <w:tcMar>
              <w:top w:type="dxa" w:w="80"/>
              <w:left w:type="dxa" w:w="120"/>
              <w:bottom w:type="dxa" w:w="80"/>
              <w:right w:type="dxa" w:w="120"/>
            </w:tcMar>
            <w:vAlign w:val="center"/>
          </w:tcPr>
          <w:p>
            <w:pPr>
              <w:pStyle w:val="MdTableCell"/>
              <w:jc w:val="left"/>
            </w:pPr>
            <w:r>
              <w:t xml:space="preserve">[7]</w:t>
            </w:r>
          </w:p>
        </w:tc>
        <w:tc>
          <w:tcPr>
            <w:tcMar>
              <w:top w:type="dxa" w:w="80"/>
              <w:left w:type="dxa" w:w="120"/>
              <w:bottom w:type="dxa" w:w="80"/>
              <w:right w:type="dxa" w:w="120"/>
            </w:tcMar>
            <w:vAlign w:val="center"/>
          </w:tcPr>
          <w:p>
            <w:pPr>
              <w:pStyle w:val="MdTableCell"/>
              <w:jc w:val="left"/>
            </w:pPr>
            <w:r>
              <w:t xml:space="preserve">Zoning Data</w:t>
            </w:r>
          </w:p>
        </w:tc>
        <w:tc>
          <w:tcPr>
            <w:tcBorders>
              <w:right w:val="none"/>
            </w:tcBorders>
            <w:tcMar>
              <w:top w:type="dxa" w:w="80"/>
              <w:left w:type="dxa" w:w="120"/>
              <w:bottom w:type="dxa" w:w="80"/>
              <w:right w:type="dxa" w:w="120"/>
            </w:tcMar>
            <w:vAlign w:val="center"/>
          </w:tcPr>
          <w:p>
            <w:pPr>
              <w:pStyle w:val="MdTableCell"/>
              <w:jc w:val="left"/>
            </w:pPr>
            <w:r>
              <w:t xml:space="preserve">Garden Grove Municipal Code (Web Search)</w:t>
            </w:r>
          </w:p>
        </w:tc>
      </w:tr>
      <w:tr>
        <w:trPr>
          <w:cantSplit/>
          <w:trHeight w:val="576" w:hRule="atLeast"/>
        </w:trPr>
        <w:tc>
          <w:tcPr>
            <w:tcBorders>
              <w:left w:val="none"/>
            </w:tcBorders>
            <w:tcMar>
              <w:top w:type="dxa" w:w="80"/>
              <w:left w:type="dxa" w:w="120"/>
              <w:bottom w:type="dxa" w:w="80"/>
              <w:right w:type="dxa" w:w="120"/>
            </w:tcMar>
            <w:vAlign w:val="center"/>
          </w:tcPr>
          <w:p>
            <w:pPr>
              <w:pStyle w:val="MdTableCell"/>
              <w:jc w:val="left"/>
            </w:pPr>
            <w:r>
              <w:t xml:space="preserve">[8]</w:t>
            </w:r>
          </w:p>
        </w:tc>
        <w:tc>
          <w:tcPr>
            <w:tcMar>
              <w:top w:type="dxa" w:w="80"/>
              <w:left w:type="dxa" w:w="120"/>
              <w:bottom w:type="dxa" w:w="80"/>
              <w:right w:type="dxa" w:w="120"/>
            </w:tcMar>
            <w:vAlign w:val="center"/>
          </w:tcPr>
          <w:p>
            <w:pPr>
              <w:pStyle w:val="MdTableCell"/>
              <w:jc w:val="left"/>
            </w:pPr>
            <w:r>
              <w:t xml:space="preserve">Environmental Risks</w:t>
            </w:r>
          </w:p>
        </w:tc>
        <w:tc>
          <w:tcPr>
            <w:tcBorders>
              <w:right w:val="none"/>
            </w:tcBorders>
            <w:tcMar>
              <w:top w:type="dxa" w:w="80"/>
              <w:left w:type="dxa" w:w="120"/>
              <w:bottom w:type="dxa" w:w="80"/>
              <w:right w:type="dxa" w:w="120"/>
            </w:tcMar>
            <w:vAlign w:val="center"/>
          </w:tcPr>
          <w:p>
            <w:pPr>
              <w:pStyle w:val="MdTableCell"/>
              <w:jc w:val="left"/>
            </w:pPr>
            <w:r>
              <w:t xml:space="preserve">ClimateCheck, FEMA, CAL FIRE (Web Search)</w:t>
            </w:r>
          </w:p>
        </w:tc>
      </w:tr>
      <w:tr>
        <w:trPr>
          <w:cantSplit/>
          <w:trHeight w:val="576" w:hRule="atLeast"/>
        </w:trPr>
        <w:tc>
          <w:tcPr>
            <w:tcBorders>
              <w:left w:val="none"/>
              <w:bottom w:val="single" w:color="E1E4E8" w:sz="4"/>
            </w:tcBorders>
            <w:tcMar>
              <w:top w:type="dxa" w:w="80"/>
              <w:left w:type="dxa" w:w="120"/>
              <w:bottom w:type="dxa" w:w="80"/>
              <w:right w:type="dxa" w:w="120"/>
            </w:tcMar>
            <w:vAlign w:val="center"/>
          </w:tcPr>
          <w:p>
            <w:pPr>
              <w:pStyle w:val="MdTableCell"/>
              <w:jc w:val="left"/>
            </w:pPr>
            <w:r>
              <w:t xml:space="preserve">[9]</w:t>
            </w:r>
          </w:p>
        </w:tc>
        <w:tc>
          <w:tcPr>
            <w:tcBorders>
              <w:bottom w:val="single" w:color="E1E4E8" w:sz="4"/>
            </w:tcBorders>
            <w:tcMar>
              <w:top w:type="dxa" w:w="80"/>
              <w:left w:type="dxa" w:w="120"/>
              <w:bottom w:type="dxa" w:w="80"/>
              <w:right w:type="dxa" w:w="120"/>
            </w:tcMar>
            <w:vAlign w:val="center"/>
          </w:tcPr>
          <w:p>
            <w:pPr>
              <w:pStyle w:val="MdTableCell"/>
              <w:jc w:val="left"/>
            </w:pPr>
            <w:r>
              <w:t xml:space="preserve">Financial Output</w:t>
            </w:r>
          </w:p>
        </w:tc>
        <w:tc>
          <w:tcPr>
            <w:tcBorders>
              <w:bottom w:val="single" w:color="E1E4E8" w:sz="4"/>
              <w:right w:val="none"/>
            </w:tcBorders>
            <w:tcMar>
              <w:top w:type="dxa" w:w="80"/>
              <w:left w:type="dxa" w:w="120"/>
              <w:bottom w:type="dxa" w:w="80"/>
              <w:right w:type="dxa" w:w="120"/>
            </w:tcMar>
            <w:vAlign w:val="center"/>
          </w:tcPr>
          <w:p>
            <w:pPr>
              <w:pStyle w:val="MdTableCell"/>
              <w:jc w:val="left"/>
            </w:pPr>
            <w:r>
              <w:t xml:space="preserve">Internal Financial Analysis Script</w:t>
            </w:r>
          </w:p>
        </w:tc>
      </w:tr>
    </w:tbl>
    <w:p>
      <w:pPr>
        <w:pStyle w:val="Heading3"/>
        <w:pStyle w:val="MdHeading3"/>
      </w:pPr>
      <w:r>
        <w:t xml:space="preserve">11.2 Explicit Assumptions</w:t>
      </w:r>
    </w:p>
    <w:p>
      <w:pPr>
        <w:pStyle w:val="MdListItem"/>
        <w:numPr>
          <w:ilvl w:val="0"/>
          <w:numId w:val="2"/>
        </w:numPr>
      </w:pPr>
      <w:r>
        <w:t xml:space="preserve">The estimated rental income of $4,153 per month is achievable without significant immediate capital improvements.</w:t>
      </w:r>
    </w:p>
    <w:p>
      <w:pPr>
        <w:pStyle w:val="MdListItem"/>
        <w:numPr>
          <w:ilvl w:val="0"/>
          <w:numId w:val="2"/>
        </w:numPr>
      </w:pPr>
      <w:r>
        <w:t xml:space="preserve">The current mortgage of $745,000 carries an estimated interest rate of 6.5% for cash flow calculation purposes.</w:t>
      </w:r>
    </w:p>
    <w:p>
      <w:pPr>
        <w:pStyle w:val="MdListItem"/>
        <w:numPr>
          <w:ilvl w:val="0"/>
          <w:numId w:val="2"/>
        </w:numPr>
      </w:pPr>
      <w:r>
        <w:t xml:space="preserve">Operating expenses (insurance, maintenance, management, vacancy) are estimated at standard market percentages as detailed in the financial analysis.</w:t>
      </w:r>
    </w:p>
    <w:p>
      <w:pPr>
        <w:pStyle w:val="MdListItem"/>
        <w:numPr>
          <w:ilvl w:val="0"/>
          <w:numId w:val="2"/>
        </w:numPr>
      </w:pPr>
      <w:r>
        <w:t xml:space="preserve">The property is in average, leasable condition despite its 1949 vintage.</w:t>
      </w:r>
    </w:p>
    <w:p>
      <w:pPr>
        <w:pStyle w:val="MdListItem"/>
        <w:numPr>
          <w:ilvl w:val="0"/>
          <w:numId w:val="2"/>
        </w:numPr>
      </w:pPr>
      <w:r>
        <w:t xml:space="preserve">The transaction recorded in March 2025 for $745,000 was a non-arm's-length or distressed transfer, and does not represent the true open-market value.</w:t>
      </w:r>
    </w:p>
    <w:p>
      <w:pPr>
        <w:pStyle w:val="MdSpace"/>
        <w:spacing w:before="0" w:after="60"/>
      </w:pPr>
    </w:p>
    <w:p>
      <w:pPr>
        <w:pStyle w:val="Heading3"/>
        <w:pStyle w:val="MdHeading3"/>
      </w:pPr>
      <w:r>
        <w:t xml:space="preserve">11.3 Overall Confidence Assessment</w:t>
      </w:r>
    </w:p>
    <w:p>
      <w:pPr>
        <w:pStyle w:val="MdParagraph"/>
      </w:pPr>
      <w:r>
        <w:rPr>
          <w:rStyle w:val="MdStrong"/>
          <w:b/>
          <w:bCs/>
        </w:rPr>
        <w:t xml:space="preserve">Confidence Level: Medium</w:t>
      </w:r>
      <w:r>
        <w:t xml:space="preserve">
The confidence level is medium due to the reliance on automated valuation models and aggregate zip-code-level market data without the benefit of an interior inspection or a formal appraisal. The wide variance in comparable price-per-square-foot metrics ($541 to $893) and the unusual recent transfer history (price drop from $900K to $745K) introduce elements of uncertainty. To elevate this confidence to High, a physical property inspection, a verified rent roll (if currently tenanted), and a formal broker price opinion (BPO) or appraisal would be required.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lvl w:ilvl="1" w15:tentative="1">
      <w:start w:val="1"/>
      <w:numFmt w:val="decimal"/>
      <w:lvlText w:val="%1.%2"/>
      <w:lvlJc w:val="left"/>
      <w:pPr>
        <w:ind w:left="1440" w:hanging="360"/>
      </w:pPr>
    </w:lvl>
    <w:lvl w:ilvl="2" w15:tentative="1">
      <w:start w:val="1"/>
      <w:numFmt w:val="decimal"/>
      <w:lvlText w:val="%1.%2.%3"/>
      <w:lvlJc w:val="left"/>
      <w:pPr>
        <w:ind w:left="2160" w:hanging="360"/>
      </w:pPr>
    </w:lvl>
    <w:lvl w:ilvl="3" w15:tentative="1">
      <w:start w:val="1"/>
      <w:numFmt w:val="decimal"/>
      <w:lvlText w:val="%4)"/>
      <w:lvlJc w:val="left"/>
      <w:pPr>
        <w:ind w:left="2880" w:hanging="360"/>
      </w:pPr>
    </w:lvl>
    <w:lvl w:ilvl="4" w15:tentative="1">
      <w:start w:val="1"/>
      <w:numFmt w:val="decimal"/>
      <w:lvlText w:val="%5)"/>
      <w:lvlJc w:val="left"/>
      <w:pPr>
        <w:ind w:left="3600" w:hanging="360"/>
      </w:pPr>
    </w:lvl>
    <w:lvl w:ilvl="5" w15:tentative="1">
      <w:start w:val="1"/>
      <w:numFmt w:val="decimal"/>
      <w:lvlText w:val="%6)"/>
      <w:lvlJc w:val="left"/>
      <w:pPr>
        <w:ind w:left="4320" w:hanging="360"/>
      </w:pPr>
    </w:lvl>
    <w:lvl w:ilvl="6" w15:tentative="1">
      <w:start w:val="1"/>
      <w:numFmt w:val="decimal"/>
      <w:lvlText w:val="%7)"/>
      <w:lvlJc w:val="left"/>
      <w:pPr>
        <w:ind w:left="5040" w:hanging="360"/>
      </w:pPr>
    </w:lvl>
    <w:lvl w:ilvl="7" w15:tentative="1">
      <w:start w:val="1"/>
      <w:numFmt w:val="decimal"/>
      <w:lvlText w:val="%8)"/>
      <w:lvlJc w:val="left"/>
      <w:pPr>
        <w:ind w:left="5760" w:hanging="360"/>
      </w:pPr>
    </w:lvl>
    <w:lvl w:ilvl="8" w15:tentative="1">
      <w:start w:val="1"/>
      <w:numFmt w:val="decimal"/>
      <w:lvlText w:val="%9)"/>
      <w:lvlJc w:val="left"/>
      <w:pPr>
        <w:ind w:left="6480" w:hanging="360"/>
      </w:pPr>
    </w:lvl>
  </w:abstractNum>
  <w:abstractNum w:abstractNumId="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rPr>
    </w:rPrDefault>
    <w:pPrDefault>
      <w:pPr>
        <w:spacing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color="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dSpace">
    <w:name w:val="MdSpace"/>
    <w:basedOn w:val="Normal"/>
    <w:next w:val="Normal"/>
    <w:qFormat/>
    <w:pPr>
      <w:spacing w:before="0" w:after="0"/>
    </w:pPr>
    <w:rPr>
      <w:sz w:val="12"/>
      <w:szCs w:val="12"/>
    </w:rPr>
  </w:style>
  <w:style w:type="paragraph" w:styleId="MdCode">
    <w:name w:val="MdCode"/>
    <w:basedOn w:val="Normal"/>
    <w:next w:val="Normal"/>
    <w:qFormat/>
    <w:pPr>
      <w:pBdr>
        <w:top w:val="single" w:color="A5A5A5" w:sz="1" w:space="8"/>
        <w:bottom w:val="single" w:color="A5A5A5" w:sz="1" w:space="8"/>
        <w:left w:val="single" w:color="A5A5A5" w:sz="1" w:space="8"/>
        <w:right w:val="single" w:color="A5A5A5" w:sz="1" w:space="8"/>
      </w:pBdr>
      <w:spacing w:before="200" w:after="200"/>
    </w:pPr>
    <w:rPr>
      <w:rFonts w:ascii="Courier New" w:cs="Courier New" w:eastAsia="Courier New" w:hAnsi="Courier New"/>
      <w:color w:val="70AD47"/>
      <w:sz w:val="22"/>
      <w:szCs w:val="22"/>
    </w:rPr>
  </w:style>
  <w:style w:type="paragraph" w:styleId="MdHr">
    <w:name w:val="MdHr"/>
    <w:basedOn w:val="Normal"/>
    <w:next w:val="Normal"/>
    <w:qFormat/>
    <w:pPr>
      <w:pBdr>
        <w:bottom w:val="single" w:color="A5A5A5" w:sz="1" w:space="1"/>
      </w:pBdr>
      <w:spacing w:before="240" w:after="240"/>
    </w:pPr>
  </w:style>
  <w:style w:type="paragraph" w:styleId="MdBlockquote">
    <w:name w:val="MdBlockquote"/>
    <w:basedOn w:val="Normal"/>
    <w:next w:val="Normal"/>
    <w:qFormat/>
    <w:pPr>
      <w:pBdr>
        <w:left w:val="single" w:color="A5A5A5" w:sz="20" w:space="12"/>
      </w:pBdr>
      <w:spacing w:before="200" w:after="200"/>
      <w:ind w:left="360"/>
    </w:pPr>
    <w:rPr>
      <w:i/>
      <w:iCs/>
      <w:color w:val="666666"/>
    </w:rPr>
  </w:style>
  <w:style w:type="paragraph" w:styleId="MdHtml">
    <w:name w:val="MdHtml"/>
    <w:basedOn w:val="Normal"/>
    <w:next w:val="Normal"/>
    <w:qFormat/>
    <w:rPr>
      <w:rFonts w:ascii="Courier New" w:cs="Courier New" w:eastAsia="Courier New" w:hAnsi="Courier New"/>
      <w:color w:val="ED7D31"/>
    </w:rPr>
  </w:style>
  <w:style w:type="paragraph" w:styleId="MdDef">
    <w:name w:val="MdDef"/>
    <w:basedOn w:val="Normal"/>
    <w:next w:val="Normal"/>
    <w:qFormat/>
    <w:pPr>
      <w:ind w:left="720" w:hanging="360"/>
    </w:pPr>
  </w:style>
  <w:style w:type="paragraph" w:styleId="MdParagraph">
    <w:name w:val="MdParagraph"/>
    <w:basedOn w:val="Normal"/>
    <w:next w:val="Normal"/>
    <w:qFormat/>
    <w:pPr>
      <w:spacing w:before="120" w:after="120"/>
    </w:pPr>
  </w:style>
  <w:style w:type="paragraph" w:styleId="MdText">
    <w:name w:val="MdText"/>
    <w:basedOn w:val="Normal"/>
    <w:next w:val="Normal"/>
    <w:qFormat/>
  </w:style>
  <w:style w:type="paragraph" w:styleId="MdFootnote">
    <w:name w:val="MdFootnote"/>
    <w:basedOn w:val="Normal"/>
    <w:next w:val="Normal"/>
    <w:qFormat/>
    <w:rPr>
      <w:vertAlign w:val="superscript"/>
    </w:rPr>
  </w:style>
  <w:style w:type="paragraph" w:styleId="MdListItem">
    <w:name w:val="MdListItem"/>
    <w:basedOn w:val="Normal"/>
    <w:next w:val="Normal"/>
    <w:qFormat/>
    <w:pPr>
      <w:spacing w:before="60" w:after="60"/>
      <w:ind w:left="720" w:hanging="360"/>
    </w:pPr>
  </w:style>
  <w:style w:type="paragraph" w:styleId="MdTable">
    <w:name w:val="MdTable"/>
    <w:basedOn w:val="Normal"/>
    <w:next w:val="Normal"/>
    <w:qFormat/>
    <w:pPr>
      <w:spacing w:before="60" w:after="60"/>
    </w:pPr>
  </w:style>
  <w:style w:type="paragraph" w:styleId="MdTableHeader">
    <w:name w:val="MdTableHeader"/>
    <w:basedOn w:val="Normal"/>
    <w:next w:val="Normal"/>
    <w:qFormat/>
    <w:pPr>
      <w:spacing w:before="60" w:after="60"/>
    </w:pPr>
    <w:rPr>
      <w:b/>
      <w:bCs/>
      <w:sz w:val="22"/>
      <w:szCs w:val="22"/>
    </w:rPr>
  </w:style>
  <w:style w:type="paragraph" w:styleId="MdTableCell">
    <w:name w:val="MdTableCell"/>
    <w:basedOn w:val="Normal"/>
    <w:next w:val="Normal"/>
    <w:qFormat/>
    <w:pPr>
      <w:spacing w:before="40" w:after="40"/>
    </w:pPr>
    <w:rPr>
      <w:sz w:val="20"/>
      <w:szCs w:val="20"/>
    </w:rPr>
  </w:style>
  <w:style w:type="paragraph" w:styleId="MdHeading1">
    <w:name w:val="MdHeading1"/>
    <w:basedOn w:val="Normal"/>
    <w:next w:val="Normal"/>
    <w:qFormat/>
    <w:pPr>
      <w:keepNext/>
      <w:spacing w:before="480" w:after="240"/>
      <w:outlineLvl w:val="0"/>
    </w:pPr>
    <w:rPr>
      <w:b/>
      <w:bCs/>
      <w:sz w:val="36"/>
      <w:szCs w:val="36"/>
    </w:rPr>
  </w:style>
  <w:style w:type="paragraph" w:styleId="MdHeading2">
    <w:name w:val="MdHeading2"/>
    <w:basedOn w:val="Normal"/>
    <w:next w:val="Normal"/>
    <w:qFormat/>
    <w:pPr>
      <w:keepNext/>
      <w:spacing w:before="400" w:after="200"/>
      <w:outlineLvl w:val="1"/>
    </w:pPr>
    <w:rPr>
      <w:b/>
      <w:bCs/>
      <w:sz w:val="32"/>
      <w:szCs w:val="32"/>
    </w:rPr>
  </w:style>
  <w:style w:type="paragraph" w:styleId="MdHeading3">
    <w:name w:val="MdHeading3"/>
    <w:basedOn w:val="Normal"/>
    <w:next w:val="Normal"/>
    <w:qFormat/>
    <w:pPr>
      <w:keepNext/>
      <w:spacing w:before="320" w:after="160"/>
      <w:outlineLvl w:val="2"/>
    </w:pPr>
    <w:rPr>
      <w:b/>
      <w:bCs/>
      <w:sz w:val="28"/>
      <w:szCs w:val="28"/>
    </w:rPr>
  </w:style>
  <w:style w:type="paragraph" w:styleId="MdHeading4">
    <w:name w:val="MdHeading4"/>
    <w:basedOn w:val="Normal"/>
    <w:next w:val="Normal"/>
    <w:qFormat/>
    <w:pPr>
      <w:keepNext/>
      <w:spacing w:before="280" w:after="140"/>
      <w:outlineLvl w:val="3"/>
    </w:pPr>
    <w:rPr>
      <w:b/>
      <w:bCs/>
      <w:sz w:val="26"/>
      <w:szCs w:val="26"/>
    </w:rPr>
  </w:style>
  <w:style w:type="paragraph" w:styleId="MdHeading5">
    <w:name w:val="MdHeading5"/>
    <w:basedOn w:val="Normal"/>
    <w:next w:val="Normal"/>
    <w:qFormat/>
    <w:pPr>
      <w:keepNext/>
      <w:spacing w:before="240" w:after="120"/>
      <w:outlineLvl w:val="4"/>
    </w:pPr>
    <w:rPr>
      <w:b/>
      <w:bCs/>
      <w:i/>
      <w:iCs/>
      <w:sz w:val="24"/>
      <w:szCs w:val="24"/>
    </w:rPr>
  </w:style>
  <w:style w:type="paragraph" w:styleId="MdHeading6">
    <w:name w:val="MdHeading6"/>
    <w:basedOn w:val="Normal"/>
    <w:next w:val="Normal"/>
    <w:qFormat/>
    <w:pPr>
      <w:keepNext/>
      <w:spacing w:before="240" w:after="120"/>
      <w:outlineLvl w:val="5"/>
    </w:pPr>
    <w:rPr>
      <w:b w:val="false"/>
      <w:bCs w:val="false"/>
      <w:i/>
      <w:iCs/>
      <w:sz w:val="24"/>
      <w:szCs w:val="24"/>
    </w:rPr>
  </w:style>
  <w:style w:type="character" w:styleId="MdTag">
    <w:name w:val="MdTag"/>
    <w:basedOn w:val="Normal"/>
    <w:next w:val="Normal"/>
    <w:uiPriority w:val="99"/>
    <w:unhideWhenUsed/>
    <w:qFormat/>
    <w:rPr>
      <w:rFonts w:ascii="Courier New" w:cs="Courier New" w:eastAsia="Courier New" w:hAnsi="Courier New"/>
      <w:color w:val="ED7D31"/>
    </w:rPr>
  </w:style>
  <w:style w:type="character" w:styleId="MdLink">
    <w:name w:val="MdLink"/>
    <w:basedOn w:val="Normal"/>
    <w:next w:val="Normal"/>
    <w:uiPriority w:val="99"/>
    <w:unhideWhenUsed/>
    <w:qFormat/>
    <w:rPr>
      <w:color w:val="0563C1"/>
      <w:u w:val="single"/>
    </w:rPr>
  </w:style>
  <w:style w:type="character" w:styleId="MdStrong">
    <w:name w:val="MdStrong"/>
    <w:basedOn w:val="Normal"/>
    <w:next w:val="Normal"/>
    <w:uiPriority w:val="99"/>
    <w:unhideWhenUsed/>
    <w:qFormat/>
    <w:rPr>
      <w:b/>
      <w:bCs/>
    </w:rPr>
  </w:style>
  <w:style w:type="character" w:styleId="MdEm">
    <w:name w:val="MdEm"/>
    <w:basedOn w:val="Normal"/>
    <w:next w:val="Normal"/>
    <w:uiPriority w:val="99"/>
    <w:unhideWhenUsed/>
    <w:qFormat/>
    <w:rPr>
      <w:i/>
      <w:iCs/>
    </w:rPr>
  </w:style>
  <w:style w:type="character" w:styleId="MdCodespan">
    <w:name w:val="MdCodespan"/>
    <w:basedOn w:val="Normal"/>
    <w:next w:val="Normal"/>
    <w:uiPriority w:val="99"/>
    <w:unhideWhenUsed/>
    <w:qFormat/>
    <w:rPr>
      <w:rFonts w:ascii="Courier New" w:cs="Courier New" w:eastAsia="Courier New" w:hAnsi="Courier New"/>
      <w:color w:val="70AD47"/>
    </w:rPr>
  </w:style>
  <w:style w:type="character" w:styleId="MdDel">
    <w:name w:val="MdDel"/>
    <w:basedOn w:val="Normal"/>
    <w:next w:val="Normal"/>
    <w:uiPriority w:val="99"/>
    <w:unhideWhenUsed/>
    <w:qFormat/>
    <w:rPr>
      <w:strike/>
    </w:rPr>
  </w:style>
  <w:style w:type="character" w:styleId="MdBr">
    <w:name w:val="MdBr"/>
    <w:basedOn w:val="Normal"/>
    <w:next w:val="Normal"/>
    <w:uiPriority w:val="99"/>
    <w:unhideWhenUsed/>
    <w:qFormat/>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Converted Document</dc:title>
  <dc:creator>md2docx converter</dc:creator>
  <dc:description>Converted from Markdown</dc:description>
  <cp:lastModifiedBy>Un-named</cp:lastModifiedBy>
  <cp:revision>1</cp:revision>
  <dcterms:created xsi:type="dcterms:W3CDTF">2026-04-12T14:23:51.532Z</dcterms:created>
  <dcterms:modified xsi:type="dcterms:W3CDTF">2026-04-12T14:23:51.532Z</dcterms:modified>
</cp:coreProperties>
</file>

<file path=docProps/custom.xml><?xml version="1.0" encoding="utf-8"?>
<Properties xmlns="http://schemas.openxmlformats.org/officeDocument/2006/custom-properties" xmlns:vt="http://schemas.openxmlformats.org/officeDocument/2006/docPropsVTypes"/>
</file>