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Borders>
          <w:top w:val="none"/>
          <w:left w:val="none"/>
          <w:bottom w:val="none"/>
          <w:right w:val="none"/>
          <w:insideH w:val="none"/>
          <w:insideV w:val="none"/>
        </w:tblBorders>
      </w:tblPr>
      <w:tblGrid>
        <w:gridCol w:w="4703"/>
        <w:gridCol w:w="4703"/>
      </w:tblGrid>
      <w:tr>
        <w:tc>
          <w:tcPr>
            <w:tcW w:type="dxa" w:w="2880"/>
          </w:tcPr>
          <w:p>
            <w:pPr>
              <w:jc w:val="left"/>
            </w:pPr>
            <w:r>
              <w:drawing>
                <wp:inline xmlns:a="http://schemas.openxmlformats.org/drawingml/2006/main" xmlns:pic="http://schemas.openxmlformats.org/drawingml/2006/picture">
                  <wp:extent cx="1463040" cy="1463040"/>
                  <wp:docPr id="1" name="Picture 1"/>
                  <wp:cNvGraphicFramePr>
                    <a:graphicFrameLocks noChangeAspect="1"/>
                  </wp:cNvGraphicFramePr>
                  <a:graphic>
                    <a:graphicData uri="http://schemas.openxmlformats.org/drawingml/2006/picture">
                      <pic:pic>
                        <pic:nvPicPr>
                          <pic:cNvPr id="0" name="GlobalBase_goldenlogoatgreen-01.png"/>
                          <pic:cNvPicPr/>
                        </pic:nvPicPr>
                        <pic:blipFill>
                          <a:blip r:embed="rId9"/>
                          <a:stretch>
                            <a:fillRect/>
                          </a:stretch>
                        </pic:blipFill>
                        <pic:spPr>
                          <a:xfrm>
                            <a:off x="0" y="0"/>
                            <a:ext cx="1463040" cy="1463040"/>
                          </a:xfrm>
                          <a:prstGeom prst="rect"/>
                        </pic:spPr>
                      </pic:pic>
                    </a:graphicData>
                  </a:graphic>
                </wp:inline>
              </w:drawing>
            </w:r>
          </w:p>
        </w:tc>
        <w:tc>
          <w:tcPr>
            <w:tcW w:type="dxa" w:w="4703"/>
            <w:vAlign w:val="center"/>
          </w:tcPr>
          <w:p>
            <w:pPr>
              <w:spacing w:before="0" w:after="40"/>
              <w:jc w:val="right"/>
            </w:pPr>
            <w:r>
              <w:rPr>
                <w:b/>
                <w:color w:val="B48C3C"/>
                <w:sz w:val="20"/>
              </w:rPr>
              <w:t>The Global Committee Ltd.</w:t>
              <w:br/>
            </w:r>
            <w:r>
              <w:rPr>
                <w:b w:val="0"/>
                <w:color w:val="3C3C3C"/>
                <w:sz w:val="18"/>
              </w:rPr>
              <w:t>2a Lord Street, Douglas,</w:t>
              <w:br/>
            </w:r>
            <w:r>
              <w:rPr>
                <w:b w:val="0"/>
                <w:color w:val="3C3C3C"/>
                <w:sz w:val="18"/>
              </w:rPr>
              <w:t>Isle of Man, IM99 1HP</w:t>
              <w:br/>
            </w:r>
            <w:r>
              <w:rPr>
                <w:b w:val="0"/>
                <w:color w:val="3C3C3C"/>
                <w:sz w:val="18"/>
              </w:rPr>
              <w:t>Tel.: +971 585964669</w:t>
              <w:br/>
            </w:r>
            <w:r>
              <w:rPr>
                <w:b w:val="0"/>
                <w:color w:val="3C3C3C"/>
                <w:sz w:val="18"/>
              </w:rPr>
              <w:t>www.myglobalbase.com</w:t>
              <w:br/>
            </w:r>
          </w:p>
        </w:tc>
      </w:tr>
    </w:tbl>
    <w:p/>
    <w:p>
      <w:pPr>
        <w:spacing w:before="80" w:after="80"/>
        <w:pBdr>
          <w:bottom w:val="single" w:sz="6" w:space="1" w:color="C8A951"/>
        </w:pBdr>
      </w:pPr>
    </w:p>
    <w:p>
      <w:pPr>
        <w:spacing w:before="280" w:after="120"/>
        <w:jc w:val="center"/>
      </w:pPr>
      <w:r>
        <w:rPr>
          <w:b/>
          <w:color w:val="B48C3C"/>
          <w:sz w:val="28"/>
        </w:rPr>
        <w:t>LOT RESERVATION AGREEMENT</w:t>
      </w:r>
    </w:p>
    <w:p>
      <w:pPr>
        <w:spacing w:before="80" w:after="80"/>
        <w:pBdr>
          <w:bottom w:val="single" w:sz="6" w:space="1" w:color="C8A951"/>
        </w:pBdr>
      </w:pPr>
    </w:p>
    <w:p>
      <w:pPr>
        <w:spacing w:before="200" w:after="200" w:line="280" w:lineRule="exact"/>
        <w:jc w:val="both"/>
      </w:pPr>
      <w:r>
        <w:rPr>
          <w:b w:val="0"/>
          <w:color w:val="1E1E1E"/>
          <w:sz w:val="21"/>
        </w:rPr>
        <w:t>THIS WILL ACKNOWLEDGE receipt of ($20,000) twenty thousand USD deposit as consideration for The Global Committee Ltd., represented by director Jonathan James Dodge from now called "Developer" reserving for the benefit of Vinay Kapoor ("Buyer") the leasehold property known as Global Base Villa #04, a 4 bedroom villa with a rice field view, on a land size of 421sqm, located at SD No.1 Buduk Jl. Gunung Agung, Tumbak Bayuh, Mengwi, Badung Regency, Bali, and recorded or to be recorded, in the Office of the Register of Badung, Bali, Indonesia. The deposit needs to be sent and will be held in the developer bank account stated below:</w:t>
      </w:r>
    </w:p>
    <w:tbl>
      <w:tblPr>
        <w:tblStyle w:val="TableGrid"/>
        <w:tblW w:type="auto" w:w="0"/>
        <w:jc w:val="center"/>
        <w:tblLook w:firstColumn="1" w:firstRow="1" w:lastColumn="0" w:lastRow="0" w:noHBand="0" w:noVBand="1" w:val="04A0"/>
      </w:tblPr>
      <w:tblGrid>
        <w:gridCol w:w="4703"/>
        <w:gridCol w:w="4703"/>
      </w:tblGrid>
      <w:tr>
        <w:tc>
          <w:tcPr>
            <w:tcW w:type="dxa" w:w="2880"/>
            <w:shd w:val="clear" w:color="auto" w:fill="FAF3E0"/>
          </w:tcPr>
          <w:p>
            <w:pPr>
              <w:spacing w:before="60" w:after="60"/>
            </w:pPr>
            <w:r>
              <w:rPr>
                <w:b/>
                <w:color w:val="B48C3C"/>
                <w:sz w:val="19"/>
              </w:rPr>
              <w:t>Account holder</w:t>
            </w:r>
          </w:p>
        </w:tc>
        <w:tc>
          <w:tcPr>
            <w:tcW w:type="dxa" w:w="4703"/>
          </w:tcPr>
          <w:p>
            <w:pPr>
              <w:spacing w:before="60" w:after="60"/>
            </w:pPr>
            <w:r>
              <w:rPr>
                <w:color w:val="1E1E1E"/>
                <w:sz w:val="19"/>
              </w:rPr>
              <w:t>Global Committee Limited</w:t>
            </w:r>
          </w:p>
        </w:tc>
      </w:tr>
      <w:tr>
        <w:tc>
          <w:tcPr>
            <w:tcW w:type="dxa" w:w="2880"/>
            <w:shd w:val="clear" w:color="auto" w:fill="FAF3E0"/>
          </w:tcPr>
          <w:p>
            <w:pPr>
              <w:spacing w:before="60" w:after="60"/>
            </w:pPr>
            <w:r>
              <w:rPr>
                <w:b/>
                <w:color w:val="B48C3C"/>
                <w:sz w:val="19"/>
              </w:rPr>
              <w:t>Bank Name</w:t>
            </w:r>
          </w:p>
        </w:tc>
        <w:tc>
          <w:tcPr>
            <w:tcW w:type="dxa" w:w="4703"/>
          </w:tcPr>
          <w:p>
            <w:pPr>
              <w:spacing w:before="60" w:after="60"/>
            </w:pPr>
            <w:r>
              <w:rPr>
                <w:color w:val="1E1E1E"/>
                <w:sz w:val="19"/>
              </w:rPr>
              <w:t>Revolut Ltd</w:t>
            </w:r>
          </w:p>
        </w:tc>
      </w:tr>
      <w:tr>
        <w:tc>
          <w:tcPr>
            <w:tcW w:type="dxa" w:w="2880"/>
            <w:shd w:val="clear" w:color="auto" w:fill="FAF3E0"/>
          </w:tcPr>
          <w:p>
            <w:pPr>
              <w:spacing w:before="60" w:after="60"/>
            </w:pPr>
            <w:r>
              <w:rPr>
                <w:b/>
                <w:color w:val="B48C3C"/>
                <w:sz w:val="19"/>
              </w:rPr>
              <w:t>IBAN</w:t>
            </w:r>
          </w:p>
        </w:tc>
        <w:tc>
          <w:tcPr>
            <w:tcW w:type="dxa" w:w="4703"/>
          </w:tcPr>
          <w:p>
            <w:pPr>
              <w:spacing w:before="60" w:after="60"/>
            </w:pPr>
            <w:r>
              <w:rPr>
                <w:color w:val="1E1E1E"/>
                <w:sz w:val="19"/>
              </w:rPr>
              <w:t>GB27 REVO 0099 6980 4047 17</w:t>
            </w:r>
          </w:p>
        </w:tc>
      </w:tr>
      <w:tr>
        <w:tc>
          <w:tcPr>
            <w:tcW w:type="dxa" w:w="2880"/>
            <w:shd w:val="clear" w:color="auto" w:fill="FAF3E0"/>
          </w:tcPr>
          <w:p>
            <w:pPr>
              <w:spacing w:before="60" w:after="60"/>
            </w:pPr>
            <w:r>
              <w:rPr>
                <w:b/>
                <w:color w:val="B48C3C"/>
                <w:sz w:val="19"/>
              </w:rPr>
              <w:t>BIC</w:t>
            </w:r>
          </w:p>
        </w:tc>
        <w:tc>
          <w:tcPr>
            <w:tcW w:type="dxa" w:w="4703"/>
          </w:tcPr>
          <w:p>
            <w:pPr>
              <w:spacing w:before="60" w:after="60"/>
            </w:pPr>
            <w:r>
              <w:rPr>
                <w:color w:val="1E1E1E"/>
                <w:sz w:val="19"/>
              </w:rPr>
              <w:t>REVOGB2L</w:t>
            </w:r>
          </w:p>
        </w:tc>
      </w:tr>
      <w:tr>
        <w:tc>
          <w:tcPr>
            <w:tcW w:type="dxa" w:w="2880"/>
            <w:shd w:val="clear" w:color="auto" w:fill="FAF3E0"/>
          </w:tcPr>
          <w:p>
            <w:pPr>
              <w:spacing w:before="60" w:after="60"/>
            </w:pPr>
            <w:r>
              <w:rPr>
                <w:b/>
                <w:color w:val="B48C3C"/>
                <w:sz w:val="19"/>
              </w:rPr>
              <w:t>Intermediary BIC</w:t>
            </w:r>
          </w:p>
        </w:tc>
        <w:tc>
          <w:tcPr>
            <w:tcW w:type="dxa" w:w="4703"/>
          </w:tcPr>
          <w:p>
            <w:pPr>
              <w:spacing w:before="60" w:after="60"/>
            </w:pPr>
            <w:r>
              <w:rPr>
                <w:color w:val="1E1E1E"/>
                <w:sz w:val="19"/>
              </w:rPr>
              <w:t>CHASGB2L</w:t>
            </w:r>
          </w:p>
        </w:tc>
      </w:tr>
      <w:tr>
        <w:tc>
          <w:tcPr>
            <w:tcW w:type="dxa" w:w="2880"/>
            <w:shd w:val="clear" w:color="auto" w:fill="FAF3E0"/>
          </w:tcPr>
          <w:p>
            <w:pPr>
              <w:spacing w:before="60" w:after="60"/>
            </w:pPr>
            <w:r>
              <w:rPr>
                <w:b/>
                <w:color w:val="B48C3C"/>
                <w:sz w:val="19"/>
              </w:rPr>
              <w:t>Beneficiary Address</w:t>
            </w:r>
          </w:p>
        </w:tc>
        <w:tc>
          <w:tcPr>
            <w:tcW w:type="dxa" w:w="4703"/>
          </w:tcPr>
          <w:p>
            <w:pPr>
              <w:spacing w:before="60" w:after="60"/>
            </w:pPr>
            <w:r>
              <w:rPr>
                <w:color w:val="1E1E1E"/>
                <w:sz w:val="19"/>
              </w:rPr>
              <w:t>2a Lord Street, IM99 1HP, Douglas, Isle of Man</w:t>
            </w:r>
          </w:p>
        </w:tc>
      </w:tr>
      <w:tr>
        <w:tc>
          <w:tcPr>
            <w:tcW w:type="dxa" w:w="2880"/>
            <w:shd w:val="clear" w:color="auto" w:fill="FAF3E0"/>
          </w:tcPr>
          <w:p>
            <w:pPr>
              <w:spacing w:before="60" w:after="60"/>
            </w:pPr>
            <w:r>
              <w:rPr>
                <w:b/>
                <w:color w:val="B48C3C"/>
                <w:sz w:val="19"/>
              </w:rPr>
              <w:t>Beneficiary</w:t>
            </w:r>
          </w:p>
        </w:tc>
        <w:tc>
          <w:tcPr>
            <w:tcW w:type="dxa" w:w="4703"/>
          </w:tcPr>
          <w:p>
            <w:pPr>
              <w:spacing w:before="60" w:after="60"/>
            </w:pPr>
            <w:r>
              <w:rPr>
                <w:color w:val="1E1E1E"/>
                <w:sz w:val="19"/>
              </w:rPr>
              <w:t>Global Committee Limited</w:t>
            </w:r>
          </w:p>
        </w:tc>
      </w:tr>
      <w:tr>
        <w:tc>
          <w:tcPr>
            <w:tcW w:type="dxa" w:w="2880"/>
            <w:shd w:val="clear" w:color="auto" w:fill="FAF3E0"/>
          </w:tcPr>
          <w:p>
            <w:pPr>
              <w:spacing w:before="60" w:after="60"/>
            </w:pPr>
            <w:r>
              <w:rPr>
                <w:b/>
                <w:color w:val="B48C3C"/>
                <w:sz w:val="19"/>
              </w:rPr>
              <w:t>Crypto Wallet</w:t>
            </w:r>
          </w:p>
        </w:tc>
        <w:tc>
          <w:tcPr>
            <w:tcW w:type="dxa" w:w="4703"/>
          </w:tcPr>
          <w:p>
            <w:pPr>
              <w:spacing w:before="60" w:after="60"/>
            </w:pPr>
            <w:r>
              <w:rPr>
                <w:color w:val="1E1E1E"/>
                <w:sz w:val="19"/>
              </w:rPr>
              <w:t>0x3c9c04a719ae3b0a6f7f66b77149fc11b3b9556b</w:t>
            </w:r>
          </w:p>
        </w:tc>
      </w:tr>
      <w:tr>
        <w:tc>
          <w:tcPr>
            <w:tcW w:type="dxa" w:w="2880"/>
            <w:shd w:val="clear" w:color="auto" w:fill="FAF3E0"/>
          </w:tcPr>
          <w:p>
            <w:pPr>
              <w:spacing w:before="60" w:after="60"/>
            </w:pPr>
            <w:r>
              <w:rPr>
                <w:b/>
                <w:color w:val="B48C3C"/>
                <w:sz w:val="19"/>
              </w:rPr>
              <w:t>Network</w:t>
            </w:r>
          </w:p>
        </w:tc>
        <w:tc>
          <w:tcPr>
            <w:tcW w:type="dxa" w:w="4703"/>
          </w:tcPr>
          <w:p>
            <w:pPr>
              <w:spacing w:before="60" w:after="60"/>
            </w:pPr>
            <w:r>
              <w:rPr>
                <w:color w:val="1E1E1E"/>
                <w:sz w:val="19"/>
              </w:rPr>
              <w:t>USDT – ERC20</w:t>
            </w:r>
          </w:p>
        </w:tc>
      </w:tr>
    </w:tbl>
    <w:p/>
    <w:p>
      <w:pPr>
        <w:spacing w:before="200" w:after="80"/>
        <w:jc w:val="left"/>
      </w:pPr>
      <w:r>
        <w:rPr>
          <w:b/>
          <w:color w:val="B48C3C"/>
          <w:sz w:val="21"/>
        </w:rPr>
        <w:t>TERMS OF LOT RESERVATION</w:t>
      </w:r>
    </w:p>
    <w:p>
      <w:pPr>
        <w:spacing w:before="120" w:after="120" w:line="280" w:lineRule="exact"/>
        <w:jc w:val="both"/>
      </w:pPr>
      <w:r>
        <w:rPr>
          <w:b w:val="0"/>
          <w:color w:val="1E1E1E"/>
          <w:sz w:val="21"/>
        </w:rPr>
        <w:t>Developer agrees to reserve a lot for a term not to exceed ninety (90) days from the date of acceptance of this Lot Reservation Agreement.</w:t>
      </w:r>
    </w:p>
    <w:p>
      <w:pPr>
        <w:spacing w:before="120" w:after="120" w:line="280" w:lineRule="exact"/>
        <w:jc w:val="both"/>
      </w:pPr>
      <w:r>
        <w:rPr>
          <w:b w:val="0"/>
          <w:color w:val="1E1E1E"/>
          <w:sz w:val="21"/>
        </w:rPr>
        <w:t>Within the term of ninety (90) days, the Buyer or his representative should enter into a binding contract for the land lease and sign the land lease agreement at the notary office. Also the Buyer shall have the right to coordinate with the Developer, all aspects concerning the plans, price and specifications for a custom property to be built on the reserved lot. The lot reservation deposit will be applied toward land closing costs and down payment on the construction of the custom property.</w:t>
      </w:r>
    </w:p>
    <w:p>
      <w:pPr>
        <w:spacing w:before="120" w:after="120" w:line="280" w:lineRule="exact"/>
        <w:jc w:val="both"/>
      </w:pPr>
      <w:r>
        <w:rPr>
          <w:b w:val="0"/>
          <w:color w:val="1E1E1E"/>
          <w:sz w:val="21"/>
        </w:rPr>
        <w:t>In the event the Buyer for any reason has not entered into a binding contract for the land lease within (90) days from the date of acceptance of this Lot Reservation Agreement, then, without notice, this agreement shall be terminated and the deposit will be rewarded to the Developer as compensation for the agreement termination. If for any reason the Developer was not able to organise the signing for the land within ninety (90) days from the date of acceptance of this Lot Reservation Agreement, then, the full deposit amount of ($20,000) twenty thousand USD dollars will be refunded to the Buyer's account.</w:t>
      </w:r>
    </w:p>
    <w:p>
      <w:pPr>
        <w:spacing w:before="120" w:after="120" w:line="280" w:lineRule="exact"/>
        <w:jc w:val="both"/>
      </w:pPr>
      <w:r>
        <w:rPr>
          <w:b w:val="0"/>
          <w:color w:val="1E1E1E"/>
          <w:sz w:val="21"/>
        </w:rPr>
        <w:t>Upon termination of this agreement, the parties shall have no further liability to each other with respect to this agreement.</w:t>
      </w:r>
    </w:p>
    <w:p>
      <w:pPr>
        <w:spacing w:before="80" w:after="80"/>
        <w:pBdr>
          <w:bottom w:val="single" w:sz="6" w:space="1" w:color="C8A951"/>
        </w:pBdr>
      </w:pPr>
    </w:p>
    <w:p>
      <w:pPr>
        <w:spacing w:before="200" w:after="200"/>
        <w:jc w:val="center"/>
      </w:pPr>
      <w:r>
        <w:rPr>
          <w:color w:val="1E1E1E"/>
          <w:sz w:val="21"/>
        </w:rPr>
        <w:t>IN WITNESS WHEREOF, the undersigned have caused this agreement to be executed in duplicate on 12th of March, 2026.</w:t>
      </w:r>
    </w:p>
    <w:tbl>
      <w:tblPr>
        <w:tblW w:type="auto" w:w="0"/>
        <w:jc w:val="center"/>
        <w:tblLook w:firstColumn="1" w:firstRow="1" w:lastColumn="0" w:lastRow="0" w:noHBand="0" w:noVBand="1" w:val="04A0"/>
        <w:tblBorders>
          <w:top w:val="none"/>
          <w:left w:val="none"/>
          <w:bottom w:val="none"/>
          <w:right w:val="none"/>
          <w:insideH w:val="none"/>
          <w:insideV w:val="none"/>
        </w:tblBorders>
      </w:tblPr>
      <w:tblGrid>
        <w:gridCol w:w="4703"/>
        <w:gridCol w:w="4703"/>
      </w:tblGrid>
      <w:tr>
        <w:tc>
          <w:tcPr>
            <w:tcW w:type="dxa" w:w="4703"/>
            <w:tcBorders>
              <w:top w:val="single" w:sz="12" w:space="1" w:color="C8A951"/>
            </w:tcBorders>
          </w:tcPr>
          <w:p/>
        </w:tc>
        <w:tc>
          <w:tcPr>
            <w:tcW w:type="dxa" w:w="4703"/>
            <w:tcBorders>
              <w:top w:val="single" w:sz="12" w:space="1" w:color="C8A951"/>
            </w:tcBorders>
          </w:tcPr>
          <w:p/>
        </w:tc>
      </w:tr>
      <w:tr>
        <w:tc>
          <w:tcPr>
            <w:tcW w:type="dxa" w:w="4703"/>
          </w:tcPr>
          <w:p/>
        </w:tc>
        <w:tc>
          <w:tcPr>
            <w:tcW w:type="dxa" w:w="4703"/>
          </w:tcPr>
          <w:p/>
        </w:tc>
      </w:tr>
      <w:tr>
        <w:tc>
          <w:tcPr>
            <w:tcW w:type="dxa" w:w="4703"/>
          </w:tcPr>
          <w:p/>
        </w:tc>
        <w:tc>
          <w:tcPr>
            <w:tcW w:type="dxa" w:w="4703"/>
          </w:tcPr>
          <w:p/>
        </w:tc>
      </w:tr>
      <w:tr>
        <w:tc>
          <w:tcPr>
            <w:tcW w:type="dxa" w:w="4703"/>
          </w:tcPr>
          <w:p/>
        </w:tc>
        <w:tc>
          <w:tcPr>
            <w:tcW w:type="dxa" w:w="4703"/>
          </w:tcPr>
          <w:p/>
        </w:tc>
      </w:tr>
      <w:tr>
        <w:tc>
          <w:tcPr>
            <w:tcW w:type="dxa" w:w="4703"/>
          </w:tcPr>
          <w:p>
            <w:pPr>
              <w:spacing w:before="40" w:after="40"/>
              <w:jc w:val="center"/>
            </w:pPr>
            <w:r>
              <w:rPr>
                <w:b/>
                <w:color w:val="B48C3C"/>
                <w:sz w:val="20"/>
              </w:rPr>
              <w:t>Developer</w:t>
            </w:r>
          </w:p>
        </w:tc>
        <w:tc>
          <w:tcPr>
            <w:tcW w:type="dxa" w:w="4703"/>
          </w:tcPr>
          <w:p>
            <w:pPr>
              <w:spacing w:before="40" w:after="40"/>
              <w:jc w:val="center"/>
            </w:pPr>
            <w:r>
              <w:rPr>
                <w:b/>
                <w:color w:val="B48C3C"/>
                <w:sz w:val="20"/>
              </w:rPr>
              <w:t>Buyer</w:t>
            </w:r>
          </w:p>
        </w:tc>
      </w:tr>
      <w:tr>
        <w:tc>
          <w:tcPr>
            <w:tcW w:type="dxa" w:w="4703"/>
          </w:tcPr>
          <w:p>
            <w:pPr>
              <w:spacing w:before="40" w:after="40"/>
              <w:jc w:val="center"/>
            </w:pPr>
            <w:r>
              <w:rPr>
                <w:b w:val="0"/>
                <w:color w:val="1E1E1E"/>
                <w:sz w:val="20"/>
              </w:rPr>
              <w:t>The Global Committee Ltd.</w:t>
            </w:r>
          </w:p>
        </w:tc>
        <w:tc>
          <w:tcPr>
            <w:tcW w:type="dxa" w:w="4703"/>
          </w:tcPr>
          <w:p>
            <w:pPr>
              <w:spacing w:before="40" w:after="40"/>
              <w:jc w:val="center"/>
            </w:pPr>
            <w:r>
              <w:rPr>
                <w:b w:val="0"/>
                <w:color w:val="1E1E1E"/>
                <w:sz w:val="20"/>
              </w:rPr>
              <w:t>Vinay Kapoor</w:t>
            </w:r>
          </w:p>
        </w:tc>
      </w:tr>
      <w:tr>
        <w:tc>
          <w:tcPr>
            <w:tcW w:type="dxa" w:w="4703"/>
          </w:tcPr>
          <w:p>
            <w:pPr>
              <w:spacing w:before="40" w:after="40"/>
              <w:jc w:val="center"/>
            </w:pPr>
            <w:r>
              <w:rPr>
                <w:b w:val="0"/>
                <w:color w:val="1E1E1E"/>
                <w:sz w:val="20"/>
              </w:rPr>
              <w:t>Jonathan James Dodge</w:t>
            </w:r>
          </w:p>
        </w:tc>
        <w:tc>
          <w:tcPr>
            <w:tcW w:type="dxa" w:w="4703"/>
          </w:tcPr>
          <w:p>
            <w:pPr>
              <w:spacing w:before="40" w:after="40"/>
              <w:jc w:val="center"/>
            </w:pPr>
            <w:r>
              <w:rPr>
                <w:b w:val="0"/>
                <w:color w:val="1E1E1E"/>
                <w:sz w:val="20"/>
              </w:rPr>
            </w:r>
          </w:p>
        </w:tc>
      </w:tr>
      <w:tr>
        <w:tc>
          <w:tcPr>
            <w:tcW w:type="dxa" w:w="4703"/>
          </w:tcPr>
          <w:p>
            <w:pPr>
              <w:spacing w:before="40" w:after="40"/>
              <w:jc w:val="center"/>
            </w:pPr>
            <w:r>
              <w:rPr>
                <w:b w:val="0"/>
                <w:color w:val="1E1E1E"/>
                <w:sz w:val="20"/>
              </w:rPr>
              <w:t>Director</w:t>
            </w:r>
          </w:p>
        </w:tc>
        <w:tc>
          <w:tcPr>
            <w:tcW w:type="dxa" w:w="4703"/>
          </w:tcPr>
          <w:p>
            <w:pPr>
              <w:spacing w:before="40" w:after="40"/>
              <w:jc w:val="center"/>
            </w:pPr>
            <w:r>
              <w:rPr>
                <w:b w:val="0"/>
                <w:color w:val="1E1E1E"/>
                <w:sz w:val="20"/>
              </w:rPr>
            </w:r>
          </w:p>
        </w:tc>
      </w:tr>
    </w:tbl>
    <w:p/>
    <w:p>
      <w:pPr>
        <w:spacing w:before="160" w:after="0"/>
        <w:jc w:val="center"/>
      </w:pPr>
      <w:r>
        <w:rPr>
          <w:i/>
          <w:color w:val="A0823C"/>
          <w:sz w:val="16"/>
        </w:rPr>
        <w:t>www.myglobalbase.com  |  +971 585964669  |  2a Lord Street, Douglas, Isle of Man, IM99 1HP</w:t>
      </w:r>
    </w:p>
    <w:sectPr w:rsidR="00FC693F" w:rsidRPr="0006063C" w:rsidSect="00034616">
      <w:pgSz w:w="12240" w:h="15840"/>
      <w:pgMar w:top="850"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