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0E17"/>
          <w:sz w:val="52"/>
        </w:rPr>
        <w:t>MIMICRY INTERNATIONAL</w:t>
      </w:r>
    </w:p>
    <w:p>
      <w:pPr>
        <w:jc w:val="center"/>
      </w:pPr>
      <w:r>
        <w:rPr>
          <w:color w:val="1E90FF"/>
          <w:sz w:val="22"/>
        </w:rPr>
        <w:t>Driven by AI — A Vizaura Company</w:t>
      </w:r>
    </w:p>
    <w:p>
      <w:pPr>
        <w:jc w:val="center"/>
      </w:pPr>
      <w:r>
        <w:rPr>
          <w:caps/>
          <w:color w:val="999999"/>
          <w:sz w:val="18"/>
        </w:rPr>
        <w:t>EXECUTIVE ONE-SHEET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sz w:val="20"/>
        </w:rPr>
        <w:t>Four-dimensional AI-driven detection architecture for early warning of self-accelerating thermal decomposition in fertilizer storage and transport — preventing catastrophic explosions and protecting critical infrastructure worldwide.</w:t>
      </w:r>
    </w:p>
    <w:p/>
    <w:p>
      <w:pPr>
        <w:pStyle w:val="Heading2"/>
      </w:pPr>
      <w:r>
        <w:t>THE PROBLEM</w:t>
      </w:r>
    </w:p>
    <w:p>
      <w:r>
        <w:rPr>
          <w:sz w:val="20"/>
        </w:rPr>
        <w:t xml:space="preserve">Ammonium nitrate explosions — from Texas City (1947) to Toulouse (2001) to Beirut (2020) — have killed thousands and caused billions in damage. Analysis of </w:t>
      </w:r>
      <w:r>
        <w:rPr>
          <w:b/>
          <w:sz w:val="20"/>
        </w:rPr>
        <w:t>51+ major incidents</w:t>
      </w:r>
      <w:r>
        <w:rPr>
          <w:sz w:val="20"/>
        </w:rPr>
        <w:t xml:space="preserve"> across </w:t>
      </w:r>
      <w:r>
        <w:rPr>
          <w:b/>
          <w:sz w:val="20"/>
        </w:rPr>
        <w:t>20+ countries</w:t>
      </w:r>
      <w:r>
        <w:rPr>
          <w:sz w:val="20"/>
        </w:rPr>
        <w:t xml:space="preserve"> reveals most were preceded by hours or days of detectable thermal decomposition. Current single-threshold alarm systems detect too late. The critical variable is </w:t>
      </w:r>
      <w:r>
        <w:rPr>
          <w:b/>
          <w:sz w:val="20"/>
        </w:rPr>
        <w:t>time</w:t>
      </w:r>
      <w:r>
        <w:rPr>
          <w:sz w:val="20"/>
        </w:rPr>
        <w:t>.</w:t>
      </w:r>
    </w:p>
    <w:p>
      <w:pPr>
        <w:pStyle w:val="Heading2"/>
      </w:pPr>
      <w:r>
        <w:t>THREE-LAYER ARCHITECTURE</w:t>
      </w:r>
    </w:p>
    <w:p>
      <w:pPr>
        <w:pStyle w:val="Heading3"/>
      </w:pPr>
      <w:r>
        <w:t>Trinity — Command &amp; Intelligence</w:t>
      </w:r>
    </w:p>
    <w:p>
      <w:r>
        <w:t>Data fusion, swarm coordination, hazard decision logic, risk heatmaps, and adaptive sampling across the entire detection network.</w:t>
      </w:r>
    </w:p>
    <w:p>
      <w:pPr>
        <w:pStyle w:val="Heading3"/>
      </w:pPr>
      <w:r>
        <w:t>Virtual Mimic — Dual Digital Twin</w:t>
      </w:r>
    </w:p>
    <w:p>
      <w:r>
        <w:t>State estimation, decomposition prediction, cyber integrity monitoring, telemetry protection, and model-based inference engine.</w:t>
      </w:r>
    </w:p>
    <w:p>
      <w:pPr>
        <w:pStyle w:val="Heading3"/>
      </w:pPr>
      <w:r>
        <w:t>Physical Mimic — Autonomous Sensor Swarm</w:t>
      </w:r>
    </w:p>
    <w:p>
      <w:r>
        <w:t>Nanofiber-based multi-modal sensors, hyperspectral imaging, acoustic detection, thermal mapping, and coordinated drone swarm.</w:t>
      </w:r>
    </w:p>
    <w:p>
      <w:pPr>
        <w:pStyle w:val="Heading2"/>
      </w:pPr>
      <w:r>
        <w:t>MARKET &amp; FUNDING ALIGNMENT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Metric</w:t>
            </w:r>
          </w:p>
        </w:tc>
        <w:tc>
          <w:tcPr>
            <w:tcW w:type="dxa" w:w="4320"/>
          </w:tcPr>
          <w:p>
            <w:r>
              <w:t>Value</w:t>
            </w:r>
          </w:p>
        </w:tc>
      </w:tr>
      <w:tr>
        <w:tc>
          <w:tcPr>
            <w:tcW w:type="dxa" w:w="4320"/>
          </w:tcPr>
          <w:p>
            <w:r>
              <w:t>DOD AI Budget</w:t>
            </w:r>
          </w:p>
        </w:tc>
        <w:tc>
          <w:tcPr>
            <w:tcW w:type="dxa" w:w="4320"/>
          </w:tcPr>
          <w:p>
            <w:r>
              <w:t>$25B</w:t>
            </w:r>
          </w:p>
        </w:tc>
      </w:tr>
      <w:tr>
        <w:tc>
          <w:tcPr>
            <w:tcW w:type="dxa" w:w="4320"/>
          </w:tcPr>
          <w:p>
            <w:r>
              <w:t>Autonomous Systems</w:t>
            </w:r>
          </w:p>
        </w:tc>
        <w:tc>
          <w:tcPr>
            <w:tcW w:type="dxa" w:w="4320"/>
          </w:tcPr>
          <w:p>
            <w:r>
              <w:t>$13B</w:t>
            </w:r>
          </w:p>
        </w:tc>
      </w:tr>
      <w:tr>
        <w:tc>
          <w:tcPr>
            <w:tcW w:type="dxa" w:w="4320"/>
          </w:tcPr>
          <w:p>
            <w:r>
              <w:t>Incidents Analyzed</w:t>
            </w:r>
          </w:p>
        </w:tc>
        <w:tc>
          <w:tcPr>
            <w:tcW w:type="dxa" w:w="4320"/>
          </w:tcPr>
          <w:p>
            <w:r>
              <w:t>51+</w:t>
            </w:r>
          </w:p>
        </w:tc>
      </w:tr>
    </w:tbl>
    <w:p/>
    <w:p>
      <w:r>
        <w:rPr>
          <w:sz w:val="20"/>
        </w:rPr>
        <w:t xml:space="preserve">Directly aligned with </w:t>
      </w:r>
      <w:r>
        <w:rPr>
          <w:b/>
          <w:sz w:val="20"/>
        </w:rPr>
        <w:t>DARPA AIE</w:t>
      </w:r>
      <w:r>
        <w:rPr>
          <w:sz w:val="20"/>
        </w:rPr>
        <w:t xml:space="preserve">, </w:t>
      </w:r>
      <w:r>
        <w:rPr>
          <w:b/>
          <w:sz w:val="20"/>
        </w:rPr>
        <w:t>SBIR/CDAO</w:t>
      </w:r>
      <w:r>
        <w:rPr>
          <w:sz w:val="20"/>
        </w:rPr>
        <w:t xml:space="preserve">, and </w:t>
      </w:r>
      <w:r>
        <w:rPr>
          <w:b/>
          <w:sz w:val="20"/>
        </w:rPr>
        <w:t>DIU 2.0</w:t>
      </w:r>
      <w:r>
        <w:rPr>
          <w:sz w:val="20"/>
        </w:rPr>
        <w:t xml:space="preserve"> funding priorities for AI-enabled autonomous systems, swarm technologies, and rapid commercial technology adoption.</w:t>
      </w:r>
    </w:p>
    <w:p>
      <w:pPr>
        <w:pStyle w:val="Heading2"/>
      </w:pPr>
      <w:r>
        <w:t>PAST PERFORMANCE</w:t>
      </w:r>
    </w:p>
    <w:p>
      <w:pPr>
        <w:pStyle w:val="Heading3"/>
      </w:pPr>
      <w:r>
        <w:t>FBI / TSWG — Specialized Workstation Delivery</w:t>
      </w:r>
    </w:p>
    <w:p>
      <w:r>
        <w:t>Principal Investigator designed and delivered a specialized workstation system for the FBI's Counterterrorism and Forensic Science Research Unit (CFSRU) at Quantico, VA — 10 phases, 3 years, on time, within budget.</w:t>
      </w:r>
    </w:p>
    <w:p>
      <w:pPr>
        <w:pStyle w:val="Heading2"/>
      </w:pPr>
      <w:r>
        <w:t>EXECUTIVE TEAM</w:t>
      </w:r>
    </w:p>
    <w:p>
      <w:r>
        <w:rPr>
          <w:b/>
          <w:sz w:val="20"/>
        </w:rPr>
        <w:t>Mark Allen Lanoue</w:t>
      </w:r>
      <w:r>
        <w:rPr>
          <w:sz w:val="20"/>
        </w:rPr>
        <w:t xml:space="preserve"> — Chief Executive Officer</w:t>
      </w:r>
    </w:p>
    <w:p>
      <w:r>
        <w:t>NASA Space Technology Hall of Fame inductee. Decades of executive leadership in breakthrough technology commercialization.</w:t>
      </w:r>
    </w:p>
    <w:p>
      <w:r>
        <w:rPr>
          <w:b/>
          <w:sz w:val="20"/>
        </w:rPr>
        <w:t>Jeff W. Meredith</w:t>
      </w:r>
      <w:r>
        <w:rPr>
          <w:sz w:val="20"/>
        </w:rPr>
        <w:t xml:space="preserve"> — President &amp; CFO</w:t>
      </w:r>
    </w:p>
    <w:p>
      <w:r>
        <w:t>Finance and grants management executive overseeing millions in R&amp;D funding with deep compliance and stewardship experience.</w:t>
      </w:r>
    </w:p>
    <w:p>
      <w:r>
        <w:rPr>
          <w:b/>
          <w:sz w:val="20"/>
        </w:rPr>
        <w:t>Christian Wentz</w:t>
      </w:r>
      <w:r>
        <w:rPr>
          <w:sz w:val="20"/>
        </w:rPr>
        <w:t xml:space="preserve"> — Chief Technology Officer</w:t>
      </w:r>
    </w:p>
    <w:p>
      <w:r>
        <w:t>Technology founder with 20+ years in network engineering, cybersecurity, resilient infrastructure, and AI adoption.</w:t>
      </w:r>
    </w:p>
    <w:p>
      <w:r>
        <w:rPr>
          <w:b/>
          <w:sz w:val="20"/>
        </w:rPr>
        <w:t>Shelby Dawn Osborne</w:t>
      </w:r>
      <w:r>
        <w:rPr>
          <w:sz w:val="20"/>
        </w:rPr>
        <w:t xml:space="preserve"> — VP of Government Relations</w:t>
      </w:r>
    </w:p>
    <w:p>
      <w:r>
        <w:t>Cross-sector government relations spanning NASA, political offices, and academic institutions.</w:t>
      </w:r>
    </w:p>
    <w:p>
      <w:r>
        <w:rPr>
          <w:b/>
          <w:sz w:val="20"/>
        </w:rPr>
        <w:t>Bernard Prioux</w:t>
      </w:r>
      <w:r>
        <w:rPr>
          <w:sz w:val="20"/>
        </w:rPr>
        <w:t xml:space="preserve"> — VP of European Affairs</w:t>
      </w:r>
    </w:p>
    <w:p>
      <w:r>
        <w:t>France-based executive with international business development across luxury brands and European public-sector dealmaking.</w:t>
      </w:r>
    </w:p>
    <w:p>
      <w:pPr>
        <w:pStyle w:val="Heading2"/>
      </w:pPr>
      <w:r>
        <w:t>ACADEMIC &amp; RESEARCH PARTNERS</w:t>
      </w:r>
    </w:p>
    <w:p>
      <w:pPr>
        <w:pStyle w:val="ListBullet"/>
      </w:pPr>
      <w:r>
        <w:t>UCF CREOL (Optics)</w:t>
      </w:r>
    </w:p>
    <w:p>
      <w:pPr>
        <w:pStyle w:val="ListBullet"/>
      </w:pPr>
      <w:r>
        <w:t>UCF Computer Science</w:t>
      </w:r>
    </w:p>
    <w:p>
      <w:pPr>
        <w:pStyle w:val="ListBullet"/>
      </w:pPr>
      <w:r>
        <w:t>University of Southern Mississippi</w:t>
      </w:r>
    </w:p>
    <w:p>
      <w:pPr>
        <w:pStyle w:val="ListBullet"/>
      </w:pPr>
      <w:r>
        <w:t>INRES (France)</w:t>
      </w:r>
    </w:p>
    <w:p>
      <w:pPr>
        <w:pStyle w:val="Heading2"/>
      </w:pPr>
      <w:r>
        <w:t>LOCATIONS</w:t>
      </w:r>
    </w:p>
    <w:p>
      <w:pPr>
        <w:pStyle w:val="ListBullet"/>
      </w:pPr>
      <w:r>
        <w:t>NASA Stennis Space Center, MS — 1103 Balch Blvd, Bay Saint Louis, MS 39529, Room 146F</w:t>
      </w:r>
    </w:p>
    <w:p>
      <w:pPr>
        <w:pStyle w:val="ListBullet"/>
      </w:pPr>
      <w:r>
        <w:t>Springdale, AR — 3150 Birch Place, Springdale, AR 72762</w:t>
      </w:r>
    </w:p>
    <w:p>
      <w:pPr>
        <w:pStyle w:val="ListBullet"/>
      </w:pPr>
      <w:r>
        <w:t>San Francisco, CA — 455 Market St, Suite 1940, San Francisco, CA 94105</w:t>
      </w:r>
    </w:p>
    <w:p>
      <w:pPr>
        <w:pStyle w:val="ListBullet"/>
      </w:pPr>
      <w:r>
        <w:t>Champs Sur Yonne, France — 8 Quai Saint Louis, 89290 Champs Sur Yonne</w:t>
      </w:r>
    </w:p>
    <w:p>
      <w:pPr>
        <w:pStyle w:val="Heading2"/>
      </w:pPr>
      <w:r>
        <w:t>CONTACT</w:t>
      </w:r>
    </w:p>
    <w:p>
      <w:r>
        <w:t>Email: mlanoue@vizaura.com</w:t>
      </w:r>
    </w:p>
    <w:p>
      <w:r>
        <w:t>Phone: 228-363-4048</w:t>
      </w:r>
    </w:p>
    <w:p>
      <w:r>
        <w:t>Web: vizaura.com</w:t>
      </w:r>
    </w:p>
    <w:p/>
    <w:p>
      <w:pPr>
        <w:jc w:val="center"/>
      </w:pPr>
      <w:r>
        <w:rPr>
          <w:color w:val="999999"/>
          <w:sz w:val="16"/>
        </w:rPr>
        <w:t>Vizaura, LLC — Innovating Since 2012 | Proprietary &amp; Confidential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A0E17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E90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A0E1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