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960"/>
        <w:jc w:val="center"/>
      </w:pPr>
      <w:r>
        <w:rPr>
          <w:rFonts w:ascii="Calibri" w:hAnsi="Calibri"/>
          <w:b/>
          <w:color w:val="0B3A66"/>
          <w:sz w:val="36"/>
        </w:rPr>
        <w:t>TRUSTCYBER</w:t>
      </w:r>
    </w:p>
    <w:p/>
    <w:p>
      <w:pPr>
        <w:jc w:val="center"/>
      </w:pPr>
      <w:r>
        <w:rPr>
          <w:rFonts w:ascii="Calibri" w:hAnsi="Calibri"/>
          <w:b/>
          <w:color w:val="071E38"/>
          <w:sz w:val="64"/>
        </w:rPr>
        <w:t>Incident Response Plan</w:t>
      </w:r>
    </w:p>
    <w:p>
      <w:pPr>
        <w:jc w:val="center"/>
      </w:pPr>
      <w:r>
        <w:rPr>
          <w:rFonts w:ascii="Calibri" w:hAnsi="Calibri"/>
          <w:color w:val="64748B"/>
          <w:sz w:val="28"/>
        </w:rPr>
        <w:t>Cybersecurity Incident Management Framework</w:t>
      </w:r>
    </w:p>
    <w:p/>
    <w:p>
      <w:pPr>
        <w:spacing w:before="80" w:after="80"/>
        <w:pBdr>
          <w:bottom w:val="single" w:sz="6" w:space="1" w:color="19D3FF"/>
        </w:pBdr>
      </w:pP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536"/>
        <w:gridCol w:w="4536"/>
      </w:tblGrid>
      <w:tr>
        <w:tc>
          <w:tcPr>
            <w:tcW w:type="dxa" w:w="2880"/>
            <w:shd w:val="clear" w:color="auto" w:fill="f8fafc"/>
          </w:tcPr>
          <w:p>
            <w:r>
              <w:rPr>
                <w:rFonts w:ascii="Calibri" w:hAnsi="Calibri"/>
                <w:b/>
                <w:color w:val="0B3A66"/>
                <w:sz w:val="22"/>
              </w:rPr>
              <w:t>Organization Name:</w:t>
            </w:r>
          </w:p>
        </w:tc>
        <w:tc>
          <w:tcPr>
            <w:tcW w:type="dxa" w:w="5760"/>
            <w:shd w:val="clear" w:color="auto" w:fill="ffffff"/>
          </w:tcPr>
          <w:p>
            <w:r>
              <w:rPr>
                <w:rFonts w:ascii="Calibri" w:hAnsi="Calibri"/>
                <w:color w:val="071E38"/>
                <w:sz w:val="22"/>
              </w:rPr>
              <w:t>[Your Organization Name]</w:t>
            </w:r>
          </w:p>
        </w:tc>
      </w:tr>
      <w:tr>
        <w:tc>
          <w:tcPr>
            <w:tcW w:type="dxa" w:w="2880"/>
            <w:shd w:val="clear" w:color="auto" w:fill="f8fafc"/>
          </w:tcPr>
          <w:p>
            <w:r>
              <w:rPr>
                <w:rFonts w:ascii="Calibri" w:hAnsi="Calibri"/>
                <w:b/>
                <w:color w:val="0B3A66"/>
                <w:sz w:val="22"/>
              </w:rPr>
              <w:t>Version:</w:t>
            </w:r>
          </w:p>
        </w:tc>
        <w:tc>
          <w:tcPr>
            <w:tcW w:type="dxa" w:w="5760"/>
            <w:shd w:val="clear" w:color="auto" w:fill="ffffff"/>
          </w:tcPr>
          <w:p>
            <w:r>
              <w:rPr>
                <w:rFonts w:ascii="Calibri" w:hAnsi="Calibri"/>
                <w:color w:val="071E38"/>
                <w:sz w:val="22"/>
              </w:rPr>
              <w:t>1.0</w:t>
            </w:r>
          </w:p>
        </w:tc>
      </w:tr>
      <w:tr>
        <w:tc>
          <w:tcPr>
            <w:tcW w:type="dxa" w:w="2880"/>
            <w:shd w:val="clear" w:color="auto" w:fill="f8fafc"/>
          </w:tcPr>
          <w:p>
            <w:r>
              <w:rPr>
                <w:rFonts w:ascii="Calibri" w:hAnsi="Calibri"/>
                <w:b/>
                <w:color w:val="0B3A66"/>
                <w:sz w:val="22"/>
              </w:rPr>
              <w:t>Date:</w:t>
            </w:r>
          </w:p>
        </w:tc>
        <w:tc>
          <w:tcPr>
            <w:tcW w:type="dxa" w:w="5760"/>
            <w:shd w:val="clear" w:color="auto" w:fill="ffffff"/>
          </w:tcPr>
          <w:p>
            <w:r>
              <w:rPr>
                <w:rFonts w:ascii="Calibri" w:hAnsi="Calibri"/>
                <w:color w:val="071E38"/>
                <w:sz w:val="22"/>
              </w:rPr>
              <w:t>April 2026</w:t>
            </w:r>
          </w:p>
        </w:tc>
      </w:tr>
      <w:tr>
        <w:tc>
          <w:tcPr>
            <w:tcW w:type="dxa" w:w="2880"/>
            <w:shd w:val="clear" w:color="auto" w:fill="f8fafc"/>
          </w:tcPr>
          <w:p>
            <w:r>
              <w:rPr>
                <w:rFonts w:ascii="Calibri" w:hAnsi="Calibri"/>
                <w:b/>
                <w:color w:val="0B3A66"/>
                <w:sz w:val="22"/>
              </w:rPr>
              <w:t>Prepared By:</w:t>
            </w:r>
          </w:p>
        </w:tc>
        <w:tc>
          <w:tcPr>
            <w:tcW w:type="dxa" w:w="5760"/>
            <w:shd w:val="clear" w:color="auto" w:fill="ffffff"/>
          </w:tcPr>
          <w:p>
            <w:r>
              <w:rPr>
                <w:rFonts w:ascii="Calibri" w:hAnsi="Calibri"/>
                <w:color w:val="071E38"/>
                <w:sz w:val="22"/>
              </w:rPr>
              <w:t>TrustCyber</w:t>
            </w:r>
          </w:p>
        </w:tc>
      </w:tr>
      <w:tr>
        <w:tc>
          <w:tcPr>
            <w:tcW w:type="dxa" w:w="2880"/>
            <w:shd w:val="clear" w:color="auto" w:fill="f8fafc"/>
          </w:tcPr>
          <w:p>
            <w:r>
              <w:rPr>
                <w:rFonts w:ascii="Calibri" w:hAnsi="Calibri"/>
                <w:b/>
                <w:color w:val="0B3A66"/>
                <w:sz w:val="22"/>
              </w:rPr>
              <w:t>Classification:</w:t>
            </w:r>
          </w:p>
        </w:tc>
        <w:tc>
          <w:tcPr>
            <w:tcW w:type="dxa" w:w="5760"/>
            <w:shd w:val="clear" w:color="auto" w:fill="ffffff"/>
          </w:tcPr>
          <w:p>
            <w:r>
              <w:rPr>
                <w:rFonts w:ascii="Calibri" w:hAnsi="Calibri"/>
                <w:color w:val="071E38"/>
                <w:sz w:val="22"/>
              </w:rPr>
              <w:t>Confidential — Internal Use Only</w:t>
            </w:r>
          </w:p>
        </w:tc>
      </w:tr>
    </w:tbl>
    <w:p>
      <w:r>
        <w:br w:type="page"/>
      </w:r>
    </w:p>
    <w:p>
      <w:pPr>
        <w:pStyle w:val="Heading1"/>
        <w:spacing w:before="240" w:after="120"/>
      </w:pPr>
      <w:r>
        <w:rPr>
          <w:rFonts w:ascii="Calibri" w:hAnsi="Calibri"/>
          <w:color w:val="071E38"/>
        </w:rPr>
        <w:t>1. Purpose</w:t>
      </w:r>
    </w:p>
    <w:p>
      <w:pPr>
        <w:spacing w:before="80" w:after="80"/>
        <w:pBdr>
          <w:bottom w:val="single" w:sz="6" w:space="1" w:color="19D3FF"/>
        </w:pBdr>
      </w:pPr>
    </w:p>
    <w:p>
      <w:pPr>
        <w:spacing w:after="120"/>
      </w:pPr>
      <w:r>
        <w:rPr>
          <w:rFonts w:ascii="Calibri" w:hAnsi="Calibri"/>
          <w:b w:val="0"/>
          <w:sz w:val="22"/>
        </w:rPr>
        <w:t>This Incident Response Plan (IRP) establishes a structured framework for detecting, containing, investigating, and recovering from cybersecurity incidents. The plan defines roles, responsibilities, escalation procedures, and communication protocols to ensure a coordinated and effective response to security events.</w:t>
      </w:r>
    </w:p>
    <w:p>
      <w:pPr>
        <w:spacing w:after="120"/>
      </w:pPr>
      <w:r>
        <w:rPr>
          <w:rFonts w:ascii="Calibri" w:hAnsi="Calibri"/>
          <w:b w:val="0"/>
          <w:sz w:val="22"/>
        </w:rPr>
        <w:t>The objectives of this plan are to: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Minimize the business impact of cybersecurity incidents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Ensure rapid detection and containment of security threats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Preserve evidence for forensic investigation and legal proceedings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Restore normal business operations as quickly as possible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Meet regulatory and compliance notification requirements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Continuously improve incident response capabilities through lessons learned</w:t>
      </w:r>
    </w:p>
    <w:p/>
    <w:p>
      <w:pPr>
        <w:pStyle w:val="Heading1"/>
        <w:spacing w:before="240" w:after="120"/>
      </w:pPr>
      <w:r>
        <w:rPr>
          <w:rFonts w:ascii="Calibri" w:hAnsi="Calibri"/>
          <w:color w:val="071E38"/>
        </w:rPr>
        <w:t>2. Incident Response Team</w:t>
      </w:r>
    </w:p>
    <w:p>
      <w:pPr>
        <w:spacing w:before="80" w:after="80"/>
        <w:pBdr>
          <w:bottom w:val="single" w:sz="6" w:space="1" w:color="19D3FF"/>
        </w:pBdr>
      </w:pPr>
    </w:p>
    <w:p>
      <w:pPr>
        <w:spacing w:after="120"/>
      </w:pPr>
      <w:r>
        <w:rPr>
          <w:rFonts w:ascii="Calibri" w:hAnsi="Calibri"/>
          <w:b w:val="0"/>
          <w:sz w:val="22"/>
        </w:rPr>
        <w:t>The Incident Response Team (IRT) is responsible for executing this plan during a security incident. All team members should be familiar with their roles and responsibilities before an incident occurs.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268"/>
        <w:gridCol w:w="2268"/>
        <w:gridCol w:w="2268"/>
        <w:gridCol w:w="2268"/>
      </w:tblGrid>
      <w:tr>
        <w:tc>
          <w:tcPr>
            <w:tcW w:type="dxa" w:w="2160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Role</w:t>
            </w:r>
          </w:p>
        </w:tc>
        <w:tc>
          <w:tcPr>
            <w:tcW w:type="dxa" w:w="3600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Responsibility</w:t>
            </w:r>
          </w:p>
        </w:tc>
        <w:tc>
          <w:tcPr>
            <w:tcW w:type="dxa" w:w="1872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Primary Contact</w:t>
            </w:r>
          </w:p>
        </w:tc>
        <w:tc>
          <w:tcPr>
            <w:tcW w:type="dxa" w:w="1872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Backup Contact</w:t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Incident Commander</w:t>
            </w:r>
          </w:p>
        </w:tc>
        <w:tc>
          <w:tcPr>
            <w:tcW w:type="dxa" w:w="360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Overall incident coordination and decision authority</w:t>
            </w:r>
          </w:p>
        </w:tc>
        <w:tc>
          <w:tcPr>
            <w:tcW w:type="dxa" w:w="187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  <w:tc>
          <w:tcPr>
            <w:tcW w:type="dxa" w:w="187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</w:tr>
      <w:tr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Security Lead</w:t>
            </w:r>
          </w:p>
        </w:tc>
        <w:tc>
          <w:tcPr>
            <w:tcW w:type="dxa" w:w="360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Technical investigation, containment, and eradication</w:t>
            </w:r>
          </w:p>
        </w:tc>
        <w:tc>
          <w:tcPr>
            <w:tcW w:type="dxa" w:w="187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  <w:tc>
          <w:tcPr>
            <w:tcW w:type="dxa" w:w="187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IT Operations</w:t>
            </w:r>
          </w:p>
        </w:tc>
        <w:tc>
          <w:tcPr>
            <w:tcW w:type="dxa" w:w="360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System isolation, recovery, and infrastructure support</w:t>
            </w:r>
          </w:p>
        </w:tc>
        <w:tc>
          <w:tcPr>
            <w:tcW w:type="dxa" w:w="187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  <w:tc>
          <w:tcPr>
            <w:tcW w:type="dxa" w:w="187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</w:tr>
      <w:tr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Communications Lead</w:t>
            </w:r>
          </w:p>
        </w:tc>
        <w:tc>
          <w:tcPr>
            <w:tcW w:type="dxa" w:w="360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Internal and external stakeholder communications</w:t>
            </w:r>
          </w:p>
        </w:tc>
        <w:tc>
          <w:tcPr>
            <w:tcW w:type="dxa" w:w="187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  <w:tc>
          <w:tcPr>
            <w:tcW w:type="dxa" w:w="187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Legal Counsel</w:t>
            </w:r>
          </w:p>
        </w:tc>
        <w:tc>
          <w:tcPr>
            <w:tcW w:type="dxa" w:w="360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Legal obligations, regulatory notifications, evidence handling</w:t>
            </w:r>
          </w:p>
        </w:tc>
        <w:tc>
          <w:tcPr>
            <w:tcW w:type="dxa" w:w="187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  <w:tc>
          <w:tcPr>
            <w:tcW w:type="dxa" w:w="187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</w:tr>
      <w:tr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HR Representative</w:t>
            </w:r>
          </w:p>
        </w:tc>
        <w:tc>
          <w:tcPr>
            <w:tcW w:type="dxa" w:w="360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Employee-related incidents, insider threat coordination</w:t>
            </w:r>
          </w:p>
        </w:tc>
        <w:tc>
          <w:tcPr>
            <w:tcW w:type="dxa" w:w="187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  <w:tc>
          <w:tcPr>
            <w:tcW w:type="dxa" w:w="187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Executive Sponsor</w:t>
            </w:r>
          </w:p>
        </w:tc>
        <w:tc>
          <w:tcPr>
            <w:tcW w:type="dxa" w:w="360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Business decisions, resource authorization, board reporting</w:t>
            </w:r>
          </w:p>
        </w:tc>
        <w:tc>
          <w:tcPr>
            <w:tcW w:type="dxa" w:w="187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  <w:tc>
          <w:tcPr>
            <w:tcW w:type="dxa" w:w="187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[Name / Title]</w:t>
            </w:r>
          </w:p>
        </w:tc>
      </w:tr>
    </w:tbl>
    <w:p/>
    <w:p>
      <w:pPr>
        <w:pStyle w:val="Heading1"/>
        <w:spacing w:before="240" w:after="120"/>
      </w:pPr>
      <w:r>
        <w:rPr>
          <w:rFonts w:ascii="Calibri" w:hAnsi="Calibri"/>
          <w:color w:val="071E38"/>
        </w:rPr>
        <w:t>3. Incident Classification</w:t>
      </w:r>
    </w:p>
    <w:p>
      <w:pPr>
        <w:spacing w:before="80" w:after="80"/>
        <w:pBdr>
          <w:bottom w:val="single" w:sz="6" w:space="1" w:color="19D3FF"/>
        </w:pBdr>
      </w:pPr>
    </w:p>
    <w:p>
      <w:pPr>
        <w:spacing w:after="120"/>
      </w:pPr>
      <w:r>
        <w:rPr>
          <w:rFonts w:ascii="Calibri" w:hAnsi="Calibri"/>
          <w:b w:val="0"/>
          <w:sz w:val="22"/>
        </w:rPr>
        <w:t>All security incidents must be classified by severity to ensure appropriate resource allocation and escalation. The following severity levels apply: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268"/>
        <w:gridCol w:w="2268"/>
        <w:gridCol w:w="2268"/>
        <w:gridCol w:w="2268"/>
      </w:tblGrid>
      <w:tr>
        <w:tc>
          <w:tcPr>
            <w:tcW w:type="dxa" w:w="1440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Severity</w:t>
            </w:r>
          </w:p>
        </w:tc>
        <w:tc>
          <w:tcPr>
            <w:tcW w:type="dxa" w:w="3168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Description</w:t>
            </w:r>
          </w:p>
        </w:tc>
        <w:tc>
          <w:tcPr>
            <w:tcW w:type="dxa" w:w="1872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Response Time</w:t>
            </w:r>
          </w:p>
        </w:tc>
        <w:tc>
          <w:tcPr>
            <w:tcW w:type="dxa" w:w="3744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Examples</w:t>
            </w:r>
          </w:p>
        </w:tc>
      </w:tr>
      <w:tr>
        <w:tc>
          <w:tcPr>
            <w:tcW w:type="dxa" w:w="144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/>
                <w:color w:val="DC2626"/>
                <w:sz w:val="20"/>
              </w:rPr>
              <w:t>CRITICAL</w:t>
            </w:r>
          </w:p>
        </w:tc>
        <w:tc>
          <w:tcPr>
            <w:tcW w:type="dxa" w:w="3168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Active breach, ransomware, or complete system compromise. Immediate business impact.</w:t>
            </w:r>
          </w:p>
        </w:tc>
        <w:tc>
          <w:tcPr>
            <w:tcW w:type="dxa" w:w="187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Immediate — 24/7</w:t>
            </w:r>
          </w:p>
        </w:tc>
        <w:tc>
          <w:tcPr>
            <w:tcW w:type="dxa" w:w="3744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Ransomware deployment, data exfiltration, account takeover of admin</w:t>
            </w:r>
          </w:p>
        </w:tc>
      </w:tr>
      <w:tr>
        <w:tc>
          <w:tcPr>
            <w:tcW w:type="dxa" w:w="144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/>
                <w:color w:val="F59E0B"/>
                <w:sz w:val="20"/>
              </w:rPr>
              <w:t>HIGH</w:t>
            </w:r>
          </w:p>
        </w:tc>
        <w:tc>
          <w:tcPr>
            <w:tcW w:type="dxa" w:w="3168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Significant security event with potential for major business impact.</w:t>
            </w:r>
          </w:p>
        </w:tc>
        <w:tc>
          <w:tcPr>
            <w:tcW w:type="dxa" w:w="187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Within 4 hours</w:t>
            </w:r>
          </w:p>
        </w:tc>
        <w:tc>
          <w:tcPr>
            <w:tcW w:type="dxa" w:w="3744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Malware infection, credential compromise, unauthorized access</w:t>
            </w:r>
          </w:p>
        </w:tc>
      </w:tr>
      <w:tr>
        <w:tc>
          <w:tcPr>
            <w:tcW w:type="dxa" w:w="144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/>
                <w:color w:val="CA8A04"/>
                <w:sz w:val="20"/>
              </w:rPr>
              <w:t>MEDIUM</w:t>
            </w:r>
          </w:p>
        </w:tc>
        <w:tc>
          <w:tcPr>
            <w:tcW w:type="dxa" w:w="3168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Security event with limited immediate impact but requires investigation.</w:t>
            </w:r>
          </w:p>
        </w:tc>
        <w:tc>
          <w:tcPr>
            <w:tcW w:type="dxa" w:w="187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Within 24 hours</w:t>
            </w:r>
          </w:p>
        </w:tc>
        <w:tc>
          <w:tcPr>
            <w:tcW w:type="dxa" w:w="3744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Phishing attempt, policy violation, suspicious login activity</w:t>
            </w:r>
          </w:p>
        </w:tc>
      </w:tr>
      <w:tr>
        <w:tc>
          <w:tcPr>
            <w:tcW w:type="dxa" w:w="144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/>
                <w:color w:val="16A34A"/>
                <w:sz w:val="20"/>
              </w:rPr>
              <w:t>LOW</w:t>
            </w:r>
          </w:p>
        </w:tc>
        <w:tc>
          <w:tcPr>
            <w:tcW w:type="dxa" w:w="3168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Minor security event or potential indicator of compromise.</w:t>
            </w:r>
          </w:p>
        </w:tc>
        <w:tc>
          <w:tcPr>
            <w:tcW w:type="dxa" w:w="187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Within 72 hours</w:t>
            </w:r>
          </w:p>
        </w:tc>
        <w:tc>
          <w:tcPr>
            <w:tcW w:type="dxa" w:w="3744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Failed login attempts, spam campaigns, minor policy violations</w:t>
            </w:r>
          </w:p>
        </w:tc>
      </w:tr>
    </w:tbl>
    <w:p/>
    <w:p>
      <w:pPr>
        <w:pStyle w:val="Heading1"/>
        <w:spacing w:before="240" w:after="120"/>
      </w:pPr>
      <w:r>
        <w:rPr>
          <w:rFonts w:ascii="Calibri" w:hAnsi="Calibri"/>
          <w:color w:val="071E38"/>
        </w:rPr>
        <w:t>4. Incident Response Lifecycle</w:t>
      </w:r>
    </w:p>
    <w:p>
      <w:pPr>
        <w:spacing w:before="80" w:after="80"/>
        <w:pBdr>
          <w:bottom w:val="single" w:sz="6" w:space="1" w:color="19D3FF"/>
        </w:pBdr>
      </w:pPr>
    </w:p>
    <w:p>
      <w:pPr>
        <w:spacing w:after="120"/>
      </w:pPr>
      <w:r>
        <w:rPr>
          <w:rFonts w:ascii="Calibri" w:hAnsi="Calibri"/>
          <w:b w:val="0"/>
          <w:sz w:val="22"/>
        </w:rPr>
        <w:t>The TrustCyber Incident Response Lifecycle follows a six-phase approach aligned with NIST SP 800-61 and industry best practices.</w:t>
      </w:r>
    </w:p>
    <w:p/>
    <w:p>
      <w:pPr>
        <w:pStyle w:val="Heading2"/>
        <w:spacing w:before="200" w:after="80"/>
      </w:pPr>
      <w:r>
        <w:rPr>
          <w:rFonts w:ascii="Calibri" w:hAnsi="Calibri"/>
          <w:color w:val="0B3A66"/>
        </w:rPr>
        <w:t>Phase 1: Detection &amp; Analysis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Monitor security alerts from Microsoft Defender XDR, Sentinel, and endpoint protection tools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Validate the alert to confirm it is a genuine security incident (not a false positive)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Assign an initial severity classification based on available information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Log the incident in the incident tracking system with timestamp and initial details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Notify the Incident Commander and convene the Incident Response Team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Preserve initial evidence: screenshots, log exports, affected system identifiers</w:t>
      </w:r>
    </w:p>
    <w:p/>
    <w:p>
      <w:pPr>
        <w:pStyle w:val="Heading2"/>
        <w:spacing w:before="200" w:after="80"/>
      </w:pPr>
      <w:r>
        <w:rPr>
          <w:rFonts w:ascii="Calibri" w:hAnsi="Calibri"/>
          <w:color w:val="0B3A66"/>
        </w:rPr>
        <w:t>Phase 2: Containment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Isolate affected systems from the network to prevent lateral movement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Disable compromised user accounts and revoke active sessions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Block malicious IP addresses, domains, and file hashes at the perimeter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Preserve system state before making changes (memory dumps, disk images if required)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Implement emergency Conditional Access policies if identity compromise is suspected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Document all containment actions with timestamps for the incident record</w:t>
      </w:r>
    </w:p>
    <w:p/>
    <w:p>
      <w:pPr>
        <w:pStyle w:val="Heading2"/>
        <w:spacing w:before="200" w:after="80"/>
      </w:pPr>
      <w:r>
        <w:rPr>
          <w:rFonts w:ascii="Calibri" w:hAnsi="Calibri"/>
          <w:color w:val="0B3A66"/>
        </w:rPr>
        <w:t>Phase 3: Investigation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Conduct forensic analysis of affected systems and logs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Determine the initial attack vector (phishing, credential stuffing, vulnerability exploitation)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Identify the scope of compromise: affected users, systems, and data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Review Microsoft 365 Unified Audit Log for suspicious activity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Analyze Microsoft Defender XDR incident timeline for attack chain reconstruction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Determine if data exfiltration occurred and identify what data was accessed</w:t>
      </w:r>
    </w:p>
    <w:p/>
    <w:p>
      <w:pPr>
        <w:pStyle w:val="Heading2"/>
        <w:spacing w:before="200" w:after="80"/>
      </w:pPr>
      <w:r>
        <w:rPr>
          <w:rFonts w:ascii="Calibri" w:hAnsi="Calibri"/>
          <w:color w:val="0B3A66"/>
        </w:rPr>
        <w:t>Phase 4: Eradication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Remove malware, backdoors, and persistence mechanisms from all affected systems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Reset credentials for all compromised accounts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Revoke and reissue certificates and API keys if compromised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Patch or mitigate the vulnerability that was exploited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Verify eradication is complete before proceeding to recovery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Update threat intelligence with indicators of compromise (IOCs)</w:t>
      </w:r>
    </w:p>
    <w:p/>
    <w:p>
      <w:pPr>
        <w:pStyle w:val="Heading2"/>
        <w:spacing w:before="200" w:after="80"/>
      </w:pPr>
      <w:r>
        <w:rPr>
          <w:rFonts w:ascii="Calibri" w:hAnsi="Calibri"/>
          <w:color w:val="0B3A66"/>
        </w:rPr>
        <w:t>Phase 5: Recovery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Restore affected systems from clean backups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Re-enable isolated systems after confirming they are clean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Restore user access with enhanced monitoring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Verify business operations have returned to normal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Implement enhanced monitoring for 30 days post-incident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Communicate recovery status to stakeholders</w:t>
      </w:r>
    </w:p>
    <w:p/>
    <w:p>
      <w:pPr>
        <w:pStyle w:val="Heading2"/>
        <w:spacing w:before="200" w:after="80"/>
      </w:pPr>
      <w:r>
        <w:rPr>
          <w:rFonts w:ascii="Calibri" w:hAnsi="Calibri"/>
          <w:color w:val="0B3A66"/>
        </w:rPr>
        <w:t>Phase 6: Lessons Learned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Conduct post-incident review within 5 business days of incident closure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Document root cause, timeline, and impact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Identify gaps in detection, response, and recovery capabilities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Update this Incident Response Plan based on lessons learned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Implement process and technical improvements to prevent recurrence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Report findings to leadership and track improvement actions to completion</w:t>
      </w:r>
    </w:p>
    <w:p/>
    <w:p>
      <w:pPr>
        <w:pStyle w:val="Heading1"/>
        <w:spacing w:before="240" w:after="120"/>
      </w:pPr>
      <w:r>
        <w:rPr>
          <w:rFonts w:ascii="Calibri" w:hAnsi="Calibri"/>
          <w:color w:val="071E38"/>
        </w:rPr>
        <w:t>5. Communication Plan</w:t>
      </w:r>
    </w:p>
    <w:p>
      <w:pPr>
        <w:spacing w:before="80" w:after="80"/>
        <w:pBdr>
          <w:bottom w:val="single" w:sz="6" w:space="1" w:color="19D3FF"/>
        </w:pBdr>
      </w:pPr>
    </w:p>
    <w:p>
      <w:pPr>
        <w:spacing w:after="120"/>
      </w:pPr>
      <w:r>
        <w:rPr>
          <w:rFonts w:ascii="Calibri" w:hAnsi="Calibri"/>
          <w:b w:val="0"/>
          <w:sz w:val="22"/>
        </w:rPr>
        <w:t>Effective communication is critical during a security incident. The following protocols govern how information is shared internally and externally.</w:t>
      </w:r>
    </w:p>
    <w:p/>
    <w:p>
      <w:pPr>
        <w:pStyle w:val="Heading2"/>
        <w:spacing w:before="160" w:after="80"/>
      </w:pPr>
      <w:r>
        <w:rPr>
          <w:rFonts w:ascii="Calibri" w:hAnsi="Calibri"/>
          <w:color w:val="0B3A66"/>
        </w:rPr>
        <w:t>5.1 Internal Communications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268"/>
        <w:gridCol w:w="2268"/>
        <w:gridCol w:w="2268"/>
        <w:gridCol w:w="2268"/>
      </w:tblGrid>
      <w:tr>
        <w:tc>
          <w:tcPr>
            <w:tcW w:type="dxa" w:w="2304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Stakeholder</w:t>
            </w:r>
          </w:p>
        </w:tc>
        <w:tc>
          <w:tcPr>
            <w:tcW w:type="dxa" w:w="2592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Communication Method</w:t>
            </w:r>
          </w:p>
        </w:tc>
        <w:tc>
          <w:tcPr>
            <w:tcW w:type="dxa" w:w="2160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Frequency</w:t>
            </w:r>
          </w:p>
        </w:tc>
        <w:tc>
          <w:tcPr>
            <w:tcW w:type="dxa" w:w="2448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Responsible Party</w:t>
            </w:r>
          </w:p>
        </w:tc>
      </w:tr>
      <w:tr>
        <w:tc>
          <w:tcPr>
            <w:tcW w:type="dxa" w:w="2304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Incident Response Team</w:t>
            </w:r>
          </w:p>
        </w:tc>
        <w:tc>
          <w:tcPr>
            <w:tcW w:type="dxa" w:w="259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Secure messaging / War room bridge</w:t>
            </w:r>
          </w:p>
        </w:tc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Continuous</w:t>
            </w:r>
          </w:p>
        </w:tc>
        <w:tc>
          <w:tcPr>
            <w:tcW w:type="dxa" w:w="2448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Incident Commander</w:t>
            </w:r>
          </w:p>
        </w:tc>
      </w:tr>
      <w:tr>
        <w:tc>
          <w:tcPr>
            <w:tcW w:type="dxa" w:w="2304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Executive Leadership</w:t>
            </w:r>
          </w:p>
        </w:tc>
        <w:tc>
          <w:tcPr>
            <w:tcW w:type="dxa" w:w="259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Email / Phone briefing</w:t>
            </w:r>
          </w:p>
        </w:tc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Every 2–4 hours (Critical)</w:t>
            </w:r>
          </w:p>
        </w:tc>
        <w:tc>
          <w:tcPr>
            <w:tcW w:type="dxa" w:w="2448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Incident Commander</w:t>
            </w:r>
          </w:p>
        </w:tc>
      </w:tr>
      <w:tr>
        <w:tc>
          <w:tcPr>
            <w:tcW w:type="dxa" w:w="2304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IT Operations</w:t>
            </w:r>
          </w:p>
        </w:tc>
        <w:tc>
          <w:tcPr>
            <w:tcW w:type="dxa" w:w="259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Incident tracking system</w:t>
            </w:r>
          </w:p>
        </w:tc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Real-time updates</w:t>
            </w:r>
          </w:p>
        </w:tc>
        <w:tc>
          <w:tcPr>
            <w:tcW w:type="dxa" w:w="2448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Security Lead</w:t>
            </w:r>
          </w:p>
        </w:tc>
      </w:tr>
      <w:tr>
        <w:tc>
          <w:tcPr>
            <w:tcW w:type="dxa" w:w="2304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All Staff (if required)</w:t>
            </w:r>
          </w:p>
        </w:tc>
        <w:tc>
          <w:tcPr>
            <w:tcW w:type="dxa" w:w="259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Internal email / Intranet</w:t>
            </w:r>
          </w:p>
        </w:tc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As needed</w:t>
            </w:r>
          </w:p>
        </w:tc>
        <w:tc>
          <w:tcPr>
            <w:tcW w:type="dxa" w:w="2448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Communications Lead</w:t>
            </w:r>
          </w:p>
        </w:tc>
      </w:tr>
    </w:tbl>
    <w:p/>
    <w:p>
      <w:pPr>
        <w:pStyle w:val="Heading2"/>
        <w:spacing w:before="160" w:after="80"/>
      </w:pPr>
      <w:r>
        <w:rPr>
          <w:rFonts w:ascii="Calibri" w:hAnsi="Calibri"/>
          <w:color w:val="0B3A66"/>
        </w:rPr>
        <w:t>5.2 External Communications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268"/>
        <w:gridCol w:w="2268"/>
        <w:gridCol w:w="2268"/>
        <w:gridCol w:w="2268"/>
      </w:tblGrid>
      <w:tr>
        <w:tc>
          <w:tcPr>
            <w:tcW w:type="dxa" w:w="2160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Stakeholder</w:t>
            </w:r>
          </w:p>
        </w:tc>
        <w:tc>
          <w:tcPr>
            <w:tcW w:type="dxa" w:w="2592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Trigger</w:t>
            </w:r>
          </w:p>
        </w:tc>
        <w:tc>
          <w:tcPr>
            <w:tcW w:type="dxa" w:w="2160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Timeline</w:t>
            </w:r>
          </w:p>
        </w:tc>
        <w:tc>
          <w:tcPr>
            <w:tcW w:type="dxa" w:w="2592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Responsible Party</w:t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Customers / Partners</w:t>
            </w:r>
          </w:p>
        </w:tc>
        <w:tc>
          <w:tcPr>
            <w:tcW w:type="dxa" w:w="259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Data breach affecting their data</w:t>
            </w:r>
          </w:p>
        </w:tc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Per regulatory requirements</w:t>
            </w:r>
          </w:p>
        </w:tc>
        <w:tc>
          <w:tcPr>
            <w:tcW w:type="dxa" w:w="259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Communications Lead + Legal</w:t>
            </w:r>
          </w:p>
        </w:tc>
      </w:tr>
      <w:tr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Regulators (e.g., SEC, FTC)</w:t>
            </w:r>
          </w:p>
        </w:tc>
        <w:tc>
          <w:tcPr>
            <w:tcW w:type="dxa" w:w="259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Reportable breach per applicable law</w:t>
            </w:r>
          </w:p>
        </w:tc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72 hours (GDPR) / 4 days (SEC)</w:t>
            </w:r>
          </w:p>
        </w:tc>
        <w:tc>
          <w:tcPr>
            <w:tcW w:type="dxa" w:w="259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Legal Counsel</w:t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Law Enforcement (FBI, CISA)</w:t>
            </w:r>
          </w:p>
        </w:tc>
        <w:tc>
          <w:tcPr>
            <w:tcW w:type="dxa" w:w="259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Criminal activity, ransomware</w:t>
            </w:r>
          </w:p>
        </w:tc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As appropriate</w:t>
            </w:r>
          </w:p>
        </w:tc>
        <w:tc>
          <w:tcPr>
            <w:tcW w:type="dxa" w:w="259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Legal Counsel + Exec Sponsor</w:t>
            </w:r>
          </w:p>
        </w:tc>
      </w:tr>
      <w:tr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Cyber Insurance Provider</w:t>
            </w:r>
          </w:p>
        </w:tc>
        <w:tc>
          <w:tcPr>
            <w:tcW w:type="dxa" w:w="259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Incident meeting policy thresholds</w:t>
            </w:r>
          </w:p>
        </w:tc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Within 24–48 hours</w:t>
            </w:r>
          </w:p>
        </w:tc>
        <w:tc>
          <w:tcPr>
            <w:tcW w:type="dxa" w:w="259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Incident Commander + Legal</w:t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Media / Press</w:t>
            </w:r>
          </w:p>
        </w:tc>
        <w:tc>
          <w:tcPr>
            <w:tcW w:type="dxa" w:w="259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Only if required</w:t>
            </w:r>
          </w:p>
        </w:tc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Coordinated with Legal</w:t>
            </w:r>
          </w:p>
        </w:tc>
        <w:tc>
          <w:tcPr>
            <w:tcW w:type="dxa" w:w="259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Communications Lead</w:t>
            </w:r>
          </w:p>
        </w:tc>
      </w:tr>
    </w:tbl>
    <w:p/>
    <w:p/>
    <w:p>
      <w:pPr>
        <w:pStyle w:val="Heading1"/>
        <w:spacing w:before="240" w:after="120"/>
      </w:pPr>
      <w:r>
        <w:rPr>
          <w:rFonts w:ascii="Calibri" w:hAnsi="Calibri"/>
          <w:color w:val="071E38"/>
        </w:rPr>
        <w:t>6. Evidence Collection &amp; Preservation</w:t>
      </w:r>
    </w:p>
    <w:p>
      <w:pPr>
        <w:spacing w:before="80" w:after="80"/>
        <w:pBdr>
          <w:bottom w:val="single" w:sz="6" w:space="1" w:color="19D3FF"/>
        </w:pBdr>
      </w:pPr>
    </w:p>
    <w:p>
      <w:pPr>
        <w:spacing w:after="120"/>
      </w:pPr>
      <w:r>
        <w:rPr>
          <w:rFonts w:ascii="Calibri" w:hAnsi="Calibri"/>
          <w:b w:val="0"/>
          <w:sz w:val="22"/>
        </w:rPr>
        <w:t>Proper evidence collection and preservation is essential for forensic investigation, legal proceedings, and regulatory compliance. All evidence must be handled in accordance with chain-of-custody procedures.</w:t>
      </w:r>
    </w:p>
    <w:p/>
    <w:p>
      <w:pPr>
        <w:pStyle w:val="Heading2"/>
        <w:spacing w:before="160" w:after="80"/>
      </w:pPr>
      <w:r>
        <w:rPr>
          <w:rFonts w:ascii="Calibri" w:hAnsi="Calibri"/>
          <w:color w:val="0B3A66"/>
        </w:rPr>
        <w:t>Evidence Types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System logs: Windows Event Logs, application logs, security logs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Network logs: Firewall logs, DNS logs, proxy logs, NetFlow data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Microsoft 365 logs: Unified Audit Log, Azure AD Sign-in logs, Defender XDR incidents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Memory dumps: RAM captures from affected systems (before shutdown)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Disk images: Forensic copies of affected storage media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Email evidence: Phishing emails, malicious attachments (in quarantine)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Screenshots: Visual documentation of incident indicators and system state</w:t>
      </w:r>
    </w:p>
    <w:p/>
    <w:p>
      <w:pPr>
        <w:pStyle w:val="Heading2"/>
        <w:spacing w:before="160" w:after="80"/>
      </w:pPr>
      <w:r>
        <w:rPr>
          <w:rFonts w:ascii="Calibri" w:hAnsi="Calibri"/>
          <w:color w:val="0B3A66"/>
        </w:rPr>
        <w:t>Evidence Handling Requirements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Document all evidence with: date/time collected, collector name, system source, and hash value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Store evidence in a secure, access-controlled location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Maintain chain-of-custody documentation for all evidence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Do not alter original evidence — work from forensic copies</w:t>
      </w:r>
    </w:p>
    <w:p>
      <w:pPr>
        <w:pStyle w:val="ListBullet"/>
        <w:spacing w:after="60"/>
        <w:ind w:left="432"/>
      </w:pPr>
      <w:r>
        <w:rPr>
          <w:rFonts w:ascii="Calibri" w:hAnsi="Calibri"/>
          <w:sz w:val="20"/>
        </w:rPr>
        <w:t>Retain evidence for a minimum of 12 months or per legal hold requirements</w:t>
      </w:r>
    </w:p>
    <w:p/>
    <w:p>
      <w:pPr>
        <w:pStyle w:val="Heading1"/>
        <w:spacing w:before="240" w:after="120"/>
      </w:pPr>
      <w:r>
        <w:rPr>
          <w:rFonts w:ascii="Calibri" w:hAnsi="Calibri"/>
          <w:color w:val="071E38"/>
        </w:rPr>
        <w:t>7. Post-Incident Review</w:t>
      </w:r>
    </w:p>
    <w:p>
      <w:pPr>
        <w:spacing w:before="80" w:after="80"/>
        <w:pBdr>
          <w:bottom w:val="single" w:sz="6" w:space="1" w:color="19D3FF"/>
        </w:pBdr>
      </w:pPr>
    </w:p>
    <w:p>
      <w:pPr>
        <w:spacing w:after="120"/>
      </w:pPr>
      <w:r>
        <w:rPr>
          <w:rFonts w:ascii="Calibri" w:hAnsi="Calibri"/>
          <w:b w:val="0"/>
          <w:sz w:val="22"/>
        </w:rPr>
        <w:t>A post-incident review must be conducted within 5 business days of incident closure. The review should be blameless and focused on process improvement.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268"/>
        <w:gridCol w:w="2268"/>
        <w:gridCol w:w="2268"/>
        <w:gridCol w:w="2268"/>
      </w:tblGrid>
      <w:tr>
        <w:tc>
          <w:tcPr>
            <w:tcW w:type="dxa" w:w="2160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Review Category</w:t>
            </w:r>
          </w:p>
        </w:tc>
        <w:tc>
          <w:tcPr>
            <w:tcW w:type="dxa" w:w="3312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Questions to Address</w:t>
            </w:r>
          </w:p>
        </w:tc>
        <w:tc>
          <w:tcPr>
            <w:tcW w:type="dxa" w:w="2016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Findings</w:t>
            </w:r>
          </w:p>
        </w:tc>
        <w:tc>
          <w:tcPr>
            <w:tcW w:type="dxa" w:w="2016"/>
            <w:shd w:val="clear" w:color="auto" w:fill="071e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0"/>
              </w:rPr>
              <w:t>Action Items</w:t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Root Cause</w:t>
            </w:r>
          </w:p>
        </w:tc>
        <w:tc>
          <w:tcPr>
            <w:tcW w:type="dxa" w:w="331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What was the initial attack vector? What vulnerability or gap was exploited?</w:t>
            </w:r>
          </w:p>
        </w:tc>
        <w:tc>
          <w:tcPr>
            <w:tcW w:type="dxa" w:w="2016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016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Detection</w:t>
            </w:r>
          </w:p>
        </w:tc>
        <w:tc>
          <w:tcPr>
            <w:tcW w:type="dxa" w:w="331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How was the incident detected? Was detection timely? What could improve detection?</w:t>
            </w:r>
          </w:p>
        </w:tc>
        <w:tc>
          <w:tcPr>
            <w:tcW w:type="dxa" w:w="2016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016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Impact</w:t>
            </w:r>
          </w:p>
        </w:tc>
        <w:tc>
          <w:tcPr>
            <w:tcW w:type="dxa" w:w="331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What systems, data, and users were affected? What was the business impact?</w:t>
            </w:r>
          </w:p>
        </w:tc>
        <w:tc>
          <w:tcPr>
            <w:tcW w:type="dxa" w:w="2016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016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Response Effectiveness</w:t>
            </w:r>
          </w:p>
        </w:tc>
        <w:tc>
          <w:tcPr>
            <w:tcW w:type="dxa" w:w="331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Was the response timely and effective? Were the right people involved?</w:t>
            </w:r>
          </w:p>
        </w:tc>
        <w:tc>
          <w:tcPr>
            <w:tcW w:type="dxa" w:w="2016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016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Containment</w:t>
            </w:r>
          </w:p>
        </w:tc>
        <w:tc>
          <w:tcPr>
            <w:tcW w:type="dxa" w:w="331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How effective was containment? Was lateral movement prevented?</w:t>
            </w:r>
          </w:p>
        </w:tc>
        <w:tc>
          <w:tcPr>
            <w:tcW w:type="dxa" w:w="2016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016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Eradication</w:t>
            </w:r>
          </w:p>
        </w:tc>
        <w:tc>
          <w:tcPr>
            <w:tcW w:type="dxa" w:w="331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Was the threat fully eradicated? Are there residual risks?</w:t>
            </w:r>
          </w:p>
        </w:tc>
        <w:tc>
          <w:tcPr>
            <w:tcW w:type="dxa" w:w="2016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016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Recovery</w:t>
            </w:r>
          </w:p>
        </w:tc>
        <w:tc>
          <w:tcPr>
            <w:tcW w:type="dxa" w:w="331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Was recovery complete? Were all systems restored to normal operation?</w:t>
            </w:r>
          </w:p>
        </w:tc>
        <w:tc>
          <w:tcPr>
            <w:tcW w:type="dxa" w:w="2016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016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160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Remediation Actions</w:t>
            </w:r>
          </w:p>
        </w:tc>
        <w:tc>
          <w:tcPr>
            <w:tcW w:type="dxa" w:w="3312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What technical and process changes are required to prevent recurrence?</w:t>
            </w:r>
          </w:p>
        </w:tc>
        <w:tc>
          <w:tcPr>
            <w:tcW w:type="dxa" w:w="2016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016"/>
            <w:shd w:val="clear" w:color="auto" w:fill="f8fafc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160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Future Prevention</w:t>
            </w:r>
          </w:p>
        </w:tc>
        <w:tc>
          <w:tcPr>
            <w:tcW w:type="dxa" w:w="3312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  <w:t>What investments or controls would have prevented this incident?</w:t>
            </w:r>
          </w:p>
        </w:tc>
        <w:tc>
          <w:tcPr>
            <w:tcW w:type="dxa" w:w="2016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016"/>
            <w:shd w:val="clear" w:color="auto" w:fill="ffffff"/>
          </w:tcPr>
          <w:p>
            <w:pPr>
              <w:jc w:val="left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</w:tbl>
    <w:p/>
    <w:p/>
    <w:p>
      <w:pPr>
        <w:spacing w:before="80" w:after="80"/>
        <w:pBdr>
          <w:bottom w:val="single" w:sz="6" w:space="1" w:color="19D3FF"/>
        </w:pBdr>
      </w:pPr>
    </w:p>
    <w:p>
      <w:pPr>
        <w:jc w:val="center"/>
      </w:pPr>
      <w:r>
        <w:rPr>
          <w:rFonts w:ascii="Calibri" w:hAnsi="Calibri"/>
          <w:color w:val="64748B"/>
          <w:sz w:val="18"/>
        </w:rPr>
        <w:t>Incident Response Plan  |  Version 1.0  |  April 2026  |  Prepared by TrustCyber  |  trustcyber.com</w:t>
      </w:r>
    </w:p>
    <w:sectPr w:rsidR="00FC693F" w:rsidRPr="0006063C" w:rsidSect="00034616">
      <w:pgSz w:w="12240" w:h="15840"/>
      <w:pgMar w:top="1440" w:right="1584" w:bottom="1440" w:left="15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