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Override ContentType="application/vnd.openxmlformats-officedocument.wordprocessingml.header+xml" PartName="/word/header2.xml"/>
  <Override ContentType="application/vnd.openxmlformats-officedocument.wordprocessingml.footer+xml" PartName="/word/footer2.xml"/>
  <Override ContentType="application/vnd.openxmlformats-officedocument.wordprocessingml.header+xml" PartName="/word/header3.xml"/>
  <Override ContentType="application/vnd.openxmlformats-officedocument.wordprocessingml.footer+xml" PartName="/word/footer3.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jc w:val="center"/>
      </w:pPr>
      <w:r>
        <w:drawing>
          <wp:inline distT="0" distB="0" distL="0" distR="0">
            <wp:extent cx="3238500" cy="876300"/>
            <wp:effectExtent t="0" r="0" b="0" l="0"/>
            <wp:docPr id="1" name="logo" descr="Logo" title="Prime Ye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3238500" cy="876300"/>
                    </a:xfrm>
                    <a:prstGeom prst="rect">
                      <a:avLst/>
                    </a:prstGeom>
                  </pic:spPr>
                </pic:pic>
              </a:graphicData>
            </a:graphic>
          </wp:inline>
        </w:drawing>
      </w:r>
    </w:p>
    <w:p>
      <w:pPr>
        <w:spacing w:after="0" w:before="600"/>
      </w:pPr>
    </w:p>
    <w:p>
      <w:pPr>
        <w:spacing w:after="60"/>
        <w:jc w:val="center"/>
      </w:pPr>
      <w:r>
        <w:rPr>
          <w:rFonts w:ascii="Arial" w:cs="Arial" w:eastAsia="Arial" w:hAnsi="Arial"/>
          <w:b/>
          <w:bCs/>
          <w:color w:val="1A1A1A"/>
          <w:spacing w:val="180"/>
          <w:sz w:val="28"/>
          <w:szCs w:val="28"/>
        </w:rPr>
        <w:t xml:space="preserve">OUR INVESTMENT PHILOSOPHY</w:t>
      </w:r>
    </w:p>
    <w:p>
      <w:pPr>
        <w:spacing w:after="0" w:before="20"/>
      </w:pPr>
    </w:p>
    <w:p>
      <w:pPr>
        <w:spacing w:after="40"/>
        <w:jc w:val="center"/>
      </w:pPr>
      <w:r>
        <w:rPr>
          <w:rFonts w:ascii="Arial" w:cs="Arial" w:eastAsia="Arial" w:hAnsi="Arial"/>
          <w:i/>
          <w:iCs/>
          <w:color w:val="666666"/>
          <w:sz w:val="22"/>
          <w:szCs w:val="22"/>
        </w:rPr>
        <w:t xml:space="preserve">How we manage your money — and why.</w:t>
      </w:r>
    </w:p>
    <w:p>
      <w:pPr>
        <w:spacing w:after="0" w:before="40"/>
      </w:pPr>
    </w:p>
    <w:p>
      <w:pPr>
        <w:pBdr>
          <w:top w:val="single" w:color="A08D5E" w:sz="1" w:space="12"/>
        </w:pBdr>
        <w:jc w:val="center"/>
      </w:pPr>
      <w:r>
        <w:rPr>
          <w:rFonts w:ascii="Arial" w:cs="Arial" w:eastAsia="Arial" w:hAnsi="Arial"/>
          <w:color w:val="999999"/>
          <w:sz w:val="17"/>
          <w:szCs w:val="17"/>
        </w:rPr>
        <w:t xml:space="preserve">AFSL 559807</w:t>
      </w:r>
    </w:p>
    <w:p>
      <w:pPr>
        <w:sectPr>
          <w:pgSz w:w="11906" w:h="16838" w:orient="portrait"/>
          <w:pgMar w:top="2200" w:right="1134" w:bottom="1440" w:left="1134" w:header="708" w:footer="708" w:gutter="0"/>
          <w:pgNumType/>
          <w:docGrid w:linePitch="360"/>
        </w:sectPr>
      </w:pPr>
    </w:p>
    <w:p>
      <w:pPr>
        <w:spacing w:after="100" w:before="360"/>
      </w:pPr>
      <w:r>
        <w:rPr>
          <w:rFonts w:ascii="Arial" w:cs="Arial" w:eastAsia="Arial" w:hAnsi="Arial"/>
          <w:b/>
          <w:bCs/>
          <w:color w:val="A08D5E"/>
          <w:spacing w:val="80"/>
          <w:sz w:val="20"/>
          <w:szCs w:val="20"/>
        </w:rPr>
        <w:t xml:space="preserve">CORE-SATELLITE APPROACH</w:t>
      </w:r>
    </w:p>
    <w:p>
      <w:pPr>
        <w:spacing w:after="60" w:before="60"/>
        <w:jc w:val="left"/>
      </w:pPr>
      <w:r>
        <w:rPr>
          <w:rFonts w:ascii="Arial" w:cs="Arial" w:eastAsia="Arial" w:hAnsi="Arial"/>
          <w:b w:val="false"/>
          <w:bCs w:val="false"/>
          <w:i w:val="false"/>
          <w:iCs w:val="false"/>
          <w:color w:val="333333"/>
          <w:sz w:val="20"/>
          <w:szCs w:val="20"/>
        </w:rPr>
        <w:t xml:space="preserve">We use a core-satellite investment strategy. Think of it like a house: the core is the solid foundation, and the satellites are the rooms that add character.</w:t>
      </w:r>
    </w:p>
    <w:p>
      <w:pPr>
        <w:spacing w:after="0" w:before="100"/>
      </w:pPr>
    </w:p>
    <w:tbl>
      <w:tblPr>
        <w:tblW w:type="dxa" w:w="9638"/>
        <w:tblBorders>
          <w:top w:val="single" w:color="auto" w:sz="4"/>
          <w:left w:val="single" w:color="auto" w:sz="4"/>
          <w:bottom w:val="single" w:color="auto" w:sz="4"/>
          <w:right w:val="single" w:color="auto" w:sz="4"/>
          <w:insideH w:val="single" w:color="auto" w:sz="4"/>
          <w:insideV w:val="single" w:color="auto" w:sz="4"/>
        </w:tblBorders>
      </w:tblPr>
      <w:tblGrid>
        <w:gridCol w:w="4819"/>
        <w:gridCol w:w="4819"/>
      </w:tblGrid>
      <w:tr>
        <w:tc>
          <w:tcPr>
            <w:tcW w:type="dxa" w:w="4819"/>
            <w:tcBorders>
              <w:top w:val="none" w:sz="0"/>
              <w:left w:val="none" w:sz="0"/>
              <w:bottom w:val="none" w:sz="0"/>
              <w:right w:val="single" w:color="D4D0CB" w:sz="1"/>
            </w:tcBorders>
            <w:shd w:fill="F7F5F2" w:val="clear"/>
            <w:tcMar>
              <w:top w:type="dxa" w:w="100"/>
              <w:left w:type="dxa" w:w="140"/>
              <w:bottom w:type="dxa" w:w="100"/>
              <w:right w:type="dxa" w:w="200"/>
            </w:tcMar>
          </w:tcPr>
          <w:p>
            <w:pPr>
              <w:spacing w:after="60"/>
            </w:pPr>
            <w:r>
              <w:rPr>
                <w:rFonts w:ascii="Arial" w:cs="Arial" w:eastAsia="Arial" w:hAnsi="Arial"/>
                <w:b/>
                <w:bCs/>
                <w:color w:val="A08D5E"/>
                <w:spacing w:val="60"/>
                <w:sz w:val="17"/>
                <w:szCs w:val="17"/>
              </w:rPr>
              <w:t xml:space="preserve">CORE (~70%)</w:t>
            </w:r>
          </w:p>
          <w:p>
            <w:pPr>
              <w:spacing w:after="40"/>
            </w:pPr>
            <w:r>
              <w:rPr>
                <w:rFonts w:ascii="Arial" w:cs="Arial" w:eastAsia="Arial" w:hAnsi="Arial"/>
                <w:b/>
                <w:bCs/>
                <w:color w:val="333333"/>
                <w:sz w:val="18"/>
                <w:szCs w:val="18"/>
              </w:rPr>
              <w:t xml:space="preserve">Low-cost index funds</w:t>
            </w:r>
          </w:p>
          <w:p>
            <w:r>
              <w:rPr>
                <w:rFonts w:ascii="Arial" w:cs="Arial" w:eastAsia="Arial" w:hAnsi="Arial"/>
                <w:i/>
                <w:iCs/>
                <w:color w:val="666666"/>
                <w:sz w:val="17"/>
                <w:szCs w:val="17"/>
              </w:rPr>
              <w:t xml:space="preserve">Broad market exposure across Australian and international equities at minimal cost. The engine room of your portfolio.</w:t>
            </w:r>
          </w:p>
        </w:tc>
        <w:tc>
          <w:tcPr>
            <w:tcW w:type="dxa" w:w="4819"/>
            <w:tcBorders>
              <w:top w:val="none" w:sz="0"/>
              <w:left w:val="none" w:sz="0"/>
              <w:bottom w:val="none" w:sz="0"/>
              <w:right w:val="none" w:sz="0"/>
            </w:tcBorders>
            <w:shd w:fill="EDEBE8" w:val="clear"/>
            <w:tcMar>
              <w:top w:type="dxa" w:w="100"/>
              <w:left w:type="dxa" w:w="200"/>
              <w:bottom w:type="dxa" w:w="100"/>
              <w:right w:type="dxa" w:w="140"/>
            </w:tcMar>
          </w:tcPr>
          <w:p>
            <w:pPr>
              <w:spacing w:after="60"/>
            </w:pPr>
            <w:r>
              <w:rPr>
                <w:rFonts w:ascii="Arial" w:cs="Arial" w:eastAsia="Arial" w:hAnsi="Arial"/>
                <w:b/>
                <w:bCs/>
                <w:color w:val="A08D5E"/>
                <w:spacing w:val="60"/>
                <w:sz w:val="17"/>
                <w:szCs w:val="17"/>
              </w:rPr>
              <w:t xml:space="preserve">SATELLITES (~30%)</w:t>
            </w:r>
          </w:p>
          <w:p>
            <w:pPr>
              <w:spacing w:after="40"/>
            </w:pPr>
            <w:r>
              <w:rPr>
                <w:rFonts w:ascii="Arial" w:cs="Arial" w:eastAsia="Arial" w:hAnsi="Arial"/>
                <w:b/>
                <w:bCs/>
                <w:color w:val="333333"/>
                <w:sz w:val="18"/>
                <w:szCs w:val="18"/>
              </w:rPr>
              <w:t xml:space="preserve">Specialist active managers</w:t>
            </w:r>
          </w:p>
          <w:p>
            <w:r>
              <w:rPr>
                <w:rFonts w:ascii="Arial" w:cs="Arial" w:eastAsia="Arial" w:hAnsi="Arial"/>
                <w:i/>
                <w:iCs/>
                <w:color w:val="666666"/>
                <w:sz w:val="17"/>
                <w:szCs w:val="17"/>
              </w:rPr>
              <w:t xml:space="preserve">Selected for specific capabilities — value investing, income-focused global equities, or downside protection — where we believe active management adds value across full market cycles.</w:t>
            </w:r>
          </w:p>
        </w:tc>
      </w:tr>
    </w:tbl>
    <w:p>
      <w:pPr>
        <w:spacing w:after="0" w:before="300"/>
      </w:pPr>
    </w:p>
    <w:p>
      <w:pPr>
        <w:spacing w:after="100" w:before="360"/>
      </w:pPr>
      <w:r>
        <w:rPr>
          <w:rFonts w:ascii="Arial" w:cs="Arial" w:eastAsia="Arial" w:hAnsi="Arial"/>
          <w:b/>
          <w:bCs/>
          <w:color w:val="A08D5E"/>
          <w:spacing w:val="80"/>
          <w:sz w:val="20"/>
          <w:szCs w:val="20"/>
        </w:rPr>
        <w:t xml:space="preserve">DEFENSIVE + GROWTH SEPARATION</w:t>
      </w:r>
    </w:p>
    <w:p>
      <w:pPr>
        <w:spacing w:after="60" w:before="60"/>
        <w:jc w:val="left"/>
      </w:pPr>
      <w:r>
        <w:rPr>
          <w:rFonts w:ascii="Arial" w:cs="Arial" w:eastAsia="Arial" w:hAnsi="Arial"/>
          <w:b w:val="false"/>
          <w:bCs w:val="false"/>
          <w:i w:val="false"/>
          <w:iCs w:val="false"/>
          <w:color w:val="333333"/>
          <w:sz w:val="20"/>
          <w:szCs w:val="20"/>
        </w:rPr>
        <w:t xml:space="preserve">Your portfolio is split into two buckets with different jobs. Each has a clear role, and each is structured in layers so we can fund your income without touching the wrong assets at the wrong time.</w:t>
      </w:r>
    </w:p>
    <w:p>
      <w:pPr>
        <w:spacing w:after="0" w:before="80"/>
      </w:pPr>
    </w:p>
    <w:p>
      <w:pPr>
        <w:shd w:fill="F7F5F2" w:val="clear"/>
        <w:spacing w:after="0" w:before="160"/>
        <w:ind w:left="200" w:right="200"/>
      </w:pPr>
      <w:r>
        <w:rPr>
          <w:rFonts w:ascii="Arial" w:cs="Arial" w:eastAsia="Arial" w:hAnsi="Arial"/>
          <w:sz w:val="6"/>
          <w:szCs w:val="6"/>
        </w:rPr>
        <w:t xml:space="preserve"> </w:t>
      </w:r>
    </w:p>
    <w:p>
      <w:pPr>
        <w:shd w:fill="F7F5F2" w:val="clear"/>
        <w:spacing w:after="60" w:before="0"/>
        <w:ind w:left="400" w:right="400"/>
      </w:pPr>
      <w:r>
        <w:rPr>
          <w:rFonts w:ascii="Arial" w:cs="Arial" w:eastAsia="Arial" w:hAnsi="Arial"/>
          <w:b/>
          <w:bCs/>
          <w:color w:val="1A1A1A"/>
          <w:sz w:val="20"/>
          <w:szCs w:val="20"/>
        </w:rPr>
        <w:t xml:space="preserve">Defensive Bucket</w:t>
      </w:r>
    </w:p>
    <w:p>
      <w:pPr>
        <w:shd w:fill="F7F5F2" w:val="clear"/>
        <w:spacing w:after="20" w:before="20"/>
        <w:ind w:left="400" w:right="400"/>
      </w:pPr>
      <w:r>
        <w:rPr>
          <w:rFonts w:ascii="Arial" w:cs="Arial" w:eastAsia="Arial" w:hAnsi="Arial"/>
          <w:color w:val="A08D5E"/>
          <w:sz w:val="16"/>
          <w:szCs w:val="16"/>
        </w:rPr>
        <w:t xml:space="preserve">✓  </w:t>
      </w:r>
      <w:r>
        <w:rPr>
          <w:rFonts w:ascii="Arial" w:cs="Arial" w:eastAsia="Arial" w:hAnsi="Arial"/>
          <w:color w:val="333333"/>
          <w:sz w:val="18"/>
          <w:szCs w:val="18"/>
        </w:rPr>
        <w:t xml:space="preserve">Capital preservation — short-duration bonds and cash to fund your pension income for the next 2–3 years.</w:t>
      </w:r>
    </w:p>
    <w:p>
      <w:pPr>
        <w:shd w:fill="F7F5F2" w:val="clear"/>
        <w:spacing w:after="20" w:before="20"/>
        <w:ind w:left="400" w:right="400"/>
      </w:pPr>
      <w:r>
        <w:rPr>
          <w:rFonts w:ascii="Arial" w:cs="Arial" w:eastAsia="Arial" w:hAnsi="Arial"/>
          <w:color w:val="A08D5E"/>
          <w:sz w:val="16"/>
          <w:szCs w:val="16"/>
        </w:rPr>
        <w:t xml:space="preserve">✓  </w:t>
      </w:r>
      <w:r>
        <w:rPr>
          <w:rFonts w:ascii="Arial" w:cs="Arial" w:eastAsia="Arial" w:hAnsi="Arial"/>
          <w:color w:val="333333"/>
          <w:sz w:val="18"/>
          <w:szCs w:val="18"/>
        </w:rPr>
        <w:t xml:space="preserve">Income generation — intermediate bonds and credit to support regular cashflow.</w:t>
      </w:r>
    </w:p>
    <w:p>
      <w:pPr>
        <w:shd w:fill="F7F5F2" w:val="clear"/>
        <w:spacing w:after="20" w:before="20"/>
        <w:ind w:left="400" w:right="400"/>
      </w:pPr>
      <w:r>
        <w:rPr>
          <w:rFonts w:ascii="Arial" w:cs="Arial" w:eastAsia="Arial" w:hAnsi="Arial"/>
          <w:color w:val="A08D5E"/>
          <w:sz w:val="16"/>
          <w:szCs w:val="16"/>
        </w:rPr>
        <w:t xml:space="preserve">✓  </w:t>
      </w:r>
      <w:r>
        <w:rPr>
          <w:rFonts w:ascii="Arial" w:cs="Arial" w:eastAsia="Arial" w:hAnsi="Arial"/>
          <w:color w:val="333333"/>
          <w:sz w:val="18"/>
          <w:szCs w:val="18"/>
        </w:rPr>
        <w:t xml:space="preserve">Diversifiers — multi-asset strategies designed to dampen volatility and smooth returns.</w:t>
      </w:r>
    </w:p>
    <w:p>
      <w:pPr>
        <w:shd w:fill="F7F5F2" w:val="clear"/>
        <w:spacing w:after="20" w:before="20"/>
        <w:ind w:left="400" w:right="400"/>
      </w:pPr>
      <w:r>
        <w:rPr>
          <w:rFonts w:ascii="Arial" w:cs="Arial" w:eastAsia="Arial" w:hAnsi="Arial"/>
          <w:color w:val="A08D5E"/>
          <w:sz w:val="16"/>
          <w:szCs w:val="16"/>
        </w:rPr>
        <w:t xml:space="preserve">✓  </w:t>
      </w:r>
      <w:r>
        <w:rPr>
          <w:rFonts w:ascii="Arial" w:cs="Arial" w:eastAsia="Arial" w:hAnsi="Arial"/>
          <w:color w:val="333333"/>
          <w:sz w:val="18"/>
          <w:szCs w:val="18"/>
        </w:rPr>
        <w:t xml:space="preserve">Means we never have to sell growth assets during a downturn.</w:t>
      </w:r>
    </w:p>
    <w:p>
      <w:pPr>
        <w:shd w:fill="F7F5F2" w:val="clear"/>
        <w:spacing w:after="0" w:before="60"/>
        <w:ind w:left="400" w:right="400"/>
      </w:pPr>
      <w:r>
        <w:rPr>
          <w:rFonts w:ascii="Arial" w:cs="Arial" w:eastAsia="Arial" w:hAnsi="Arial"/>
          <w:i/>
          <w:iCs/>
          <w:color w:val="666666"/>
          <w:sz w:val="17"/>
          <w:szCs w:val="17"/>
        </w:rPr>
        <w:t xml:space="preserve">Think of it like a water tank: it keeps flowing even during a drought.</w:t>
      </w:r>
    </w:p>
    <w:p>
      <w:pPr>
        <w:shd w:fill="F7F5F2" w:val="clear"/>
        <w:spacing w:after="0" w:before="0"/>
        <w:ind w:left="200" w:right="200"/>
      </w:pPr>
      <w:r>
        <w:rPr>
          <w:rFonts w:ascii="Arial" w:cs="Arial" w:eastAsia="Arial" w:hAnsi="Arial"/>
          <w:sz w:val="6"/>
          <w:szCs w:val="6"/>
        </w:rPr>
        <w:t xml:space="preserve"> </w:t>
      </w:r>
    </w:p>
    <w:p>
      <w:pPr>
        <w:spacing w:after="0" w:before="100"/>
      </w:pPr>
    </w:p>
    <w:p>
      <w:pPr>
        <w:shd w:fill="EDEBE8" w:val="clear"/>
        <w:spacing w:after="0" w:before="160"/>
        <w:ind w:left="200" w:right="200"/>
      </w:pPr>
      <w:r>
        <w:rPr>
          <w:rFonts w:ascii="Arial" w:cs="Arial" w:eastAsia="Arial" w:hAnsi="Arial"/>
          <w:sz w:val="6"/>
          <w:szCs w:val="6"/>
        </w:rPr>
        <w:t xml:space="preserve"> </w:t>
      </w:r>
    </w:p>
    <w:p>
      <w:pPr>
        <w:shd w:fill="EDEBE8" w:val="clear"/>
        <w:spacing w:after="60" w:before="0"/>
        <w:ind w:left="400" w:right="400"/>
      </w:pPr>
      <w:r>
        <w:rPr>
          <w:rFonts w:ascii="Arial" w:cs="Arial" w:eastAsia="Arial" w:hAnsi="Arial"/>
          <w:b/>
          <w:bCs/>
          <w:color w:val="1A1A1A"/>
          <w:sz w:val="20"/>
          <w:szCs w:val="20"/>
        </w:rPr>
        <w:t xml:space="preserve">Growth Bucket</w:t>
      </w:r>
    </w:p>
    <w:p>
      <w:pPr>
        <w:shd w:fill="EDEBE8" w:val="clear"/>
        <w:spacing w:after="20" w:before="20"/>
        <w:ind w:left="400" w:right="400"/>
      </w:pPr>
      <w:r>
        <w:rPr>
          <w:rFonts w:ascii="Arial" w:cs="Arial" w:eastAsia="Arial" w:hAnsi="Arial"/>
          <w:color w:val="A08D5E"/>
          <w:sz w:val="16"/>
          <w:szCs w:val="16"/>
        </w:rPr>
        <w:t xml:space="preserve">✓  </w:t>
      </w:r>
      <w:r>
        <w:rPr>
          <w:rFonts w:ascii="Arial" w:cs="Arial" w:eastAsia="Arial" w:hAnsi="Arial"/>
          <w:color w:val="333333"/>
          <w:sz w:val="18"/>
          <w:szCs w:val="18"/>
        </w:rPr>
        <w:t xml:space="preserve">Australian and international equities for long-term returns.</w:t>
      </w:r>
    </w:p>
    <w:p>
      <w:pPr>
        <w:shd w:fill="EDEBE8" w:val="clear"/>
        <w:spacing w:after="20" w:before="20"/>
        <w:ind w:left="400" w:right="400"/>
      </w:pPr>
      <w:r>
        <w:rPr>
          <w:rFonts w:ascii="Arial" w:cs="Arial" w:eastAsia="Arial" w:hAnsi="Arial"/>
          <w:color w:val="A08D5E"/>
          <w:sz w:val="16"/>
          <w:szCs w:val="16"/>
        </w:rPr>
        <w:t xml:space="preserve">✓  </w:t>
      </w:r>
      <w:r>
        <w:rPr>
          <w:rFonts w:ascii="Arial" w:cs="Arial" w:eastAsia="Arial" w:hAnsi="Arial"/>
          <w:color w:val="333333"/>
          <w:sz w:val="18"/>
          <w:szCs w:val="18"/>
        </w:rPr>
        <w:t xml:space="preserve">Can tolerate short-term volatility because we don’t need it for years.</w:t>
      </w:r>
    </w:p>
    <w:p>
      <w:pPr>
        <w:shd w:fill="EDEBE8" w:val="clear"/>
        <w:spacing w:after="20" w:before="20"/>
        <w:ind w:left="400" w:right="400"/>
      </w:pPr>
      <w:r>
        <w:rPr>
          <w:rFonts w:ascii="Arial" w:cs="Arial" w:eastAsia="Arial" w:hAnsi="Arial"/>
          <w:color w:val="A08D5E"/>
          <w:sz w:val="16"/>
          <w:szCs w:val="16"/>
        </w:rPr>
        <w:t xml:space="preserve">✓  </w:t>
      </w:r>
      <w:r>
        <w:rPr>
          <w:rFonts w:ascii="Arial" w:cs="Arial" w:eastAsia="Arial" w:hAnsi="Arial"/>
          <w:color w:val="333333"/>
          <w:sz w:val="18"/>
          <w:szCs w:val="18"/>
        </w:rPr>
        <w:t xml:space="preserve">Rebalanced into when appropriate — buying low, systematically.</w:t>
      </w:r>
    </w:p>
    <w:p>
      <w:pPr>
        <w:shd w:fill="EDEBE8" w:val="clear"/>
        <w:spacing w:after="0" w:before="60"/>
        <w:ind w:left="400" w:right="400"/>
      </w:pPr>
      <w:r>
        <w:rPr>
          <w:rFonts w:ascii="Arial" w:cs="Arial" w:eastAsia="Arial" w:hAnsi="Arial"/>
          <w:i/>
          <w:iCs/>
          <w:color w:val="666666"/>
          <w:sz w:val="17"/>
          <w:szCs w:val="17"/>
        </w:rPr>
        <w:t xml:space="preserve">This is the garden: it needs time to grow, but it feeds you for decades.</w:t>
      </w:r>
    </w:p>
    <w:p>
      <w:pPr>
        <w:shd w:fill="EDEBE8" w:val="clear"/>
        <w:spacing w:after="0" w:before="0"/>
        <w:ind w:left="200" w:right="200"/>
      </w:pPr>
      <w:r>
        <w:rPr>
          <w:rFonts w:ascii="Arial" w:cs="Arial" w:eastAsia="Arial" w:hAnsi="Arial"/>
          <w:sz w:val="6"/>
          <w:szCs w:val="6"/>
        </w:rPr>
        <w:t xml:space="preserve"> </w:t>
      </w:r>
    </w:p>
    <w:p>
      <w:pPr>
        <w:spacing w:after="0" w:before="200"/>
      </w:pPr>
    </w:p>
    <w:p>
      <w:pPr>
        <w:spacing w:after="100" w:before="360"/>
      </w:pPr>
      <w:r>
        <w:rPr>
          <w:rFonts w:ascii="Arial" w:cs="Arial" w:eastAsia="Arial" w:hAnsi="Arial"/>
          <w:b/>
          <w:bCs/>
          <w:color w:val="A08D5E"/>
          <w:spacing w:val="80"/>
          <w:sz w:val="20"/>
          <w:szCs w:val="20"/>
        </w:rPr>
        <w:t xml:space="preserve">OUR 5 INVESTMENT PRINCIPLES</w:t>
      </w:r>
    </w:p>
    <w:p>
      <w:pPr>
        <w:spacing w:after="0" w:before="100"/>
      </w:pPr>
    </w:p>
    <w:tbl>
      <w:tblPr>
        <w:tblW w:type="dxa" w:w="9638"/>
        <w:tblBorders>
          <w:top w:val="single" w:color="auto" w:sz="4"/>
          <w:left w:val="single" w:color="auto" w:sz="4"/>
          <w:bottom w:val="single" w:color="auto" w:sz="4"/>
          <w:right w:val="single" w:color="auto" w:sz="4"/>
          <w:insideH w:val="single" w:color="auto" w:sz="4"/>
          <w:insideV w:val="single" w:color="auto" w:sz="4"/>
        </w:tblBorders>
      </w:tblPr>
      <w:tblGrid>
        <w:gridCol w:w="600"/>
        <w:gridCol w:w="9038"/>
      </w:tblGrid>
      <w:tr>
        <w:tc>
          <w:tcPr>
            <w:tcW w:type="dxa" w:w="600"/>
            <w:tcBorders>
              <w:top w:val="none" w:sz="0"/>
              <w:left w:val="none" w:sz="0"/>
              <w:bottom w:val="single" w:color="D4D0CB" w:sz="1"/>
              <w:right w:val="none" w:sz="0"/>
            </w:tcBorders>
            <w:shd w:fill="FFFFFF" w:val="clear"/>
            <w:tcMar>
              <w:top w:type="dxa" w:w="70"/>
              <w:left w:type="dxa" w:w="100"/>
              <w:bottom w:type="dxa" w:w="70"/>
              <w:right w:type="dxa" w:w="60"/>
            </w:tcMar>
            <w:vAlign w:val="top"/>
          </w:tcPr>
          <w:p>
            <w:pPr>
              <w:jc w:val="center"/>
            </w:pPr>
            <w:r>
              <w:rPr>
                <w:rFonts w:ascii="Arial" w:cs="Arial" w:eastAsia="Arial" w:hAnsi="Arial"/>
                <w:b/>
                <w:bCs/>
                <w:color w:val="A08D5E"/>
                <w:sz w:val="28"/>
                <w:szCs w:val="28"/>
              </w:rPr>
              <w:t xml:space="preserve">1</w:t>
            </w:r>
          </w:p>
        </w:tc>
        <w:tc>
          <w:tcPr>
            <w:tcW w:type="dxa" w:w="9038"/>
            <w:tcBorders>
              <w:top w:val="none" w:sz="0"/>
              <w:left w:val="none" w:sz="0"/>
              <w:bottom w:val="single" w:color="D4D0CB" w:sz="1"/>
              <w:right w:val="none" w:sz="0"/>
            </w:tcBorders>
            <w:shd w:fill="FFFFFF" w:val="clear"/>
            <w:tcMar>
              <w:top w:type="dxa" w:w="70"/>
              <w:left w:type="dxa" w:w="140"/>
              <w:bottom w:type="dxa" w:w="70"/>
              <w:right w:type="dxa" w:w="140"/>
            </w:tcMar>
            <w:vAlign w:val="top"/>
          </w:tcPr>
          <w:p>
            <w:pPr>
              <w:spacing w:after="40"/>
            </w:pPr>
            <w:r>
              <w:rPr>
                <w:rFonts w:ascii="Arial" w:cs="Arial" w:eastAsia="Arial" w:hAnsi="Arial"/>
                <w:b/>
                <w:bCs/>
                <w:color w:val="1A1A1A"/>
                <w:sz w:val="20"/>
                <w:szCs w:val="20"/>
              </w:rPr>
              <w:t xml:space="preserve">Keep costs low</w:t>
            </w:r>
          </w:p>
          <w:p>
            <w:r>
              <w:rPr>
                <w:rFonts w:ascii="Arial" w:cs="Arial" w:eastAsia="Arial" w:hAnsi="Arial"/>
                <w:color w:val="333333"/>
                <w:sz w:val="18"/>
                <w:szCs w:val="18"/>
              </w:rPr>
              <w:t xml:space="preserve">Every dollar in fees is a dollar not working for you. We use index funds as the core to minimise drag.</w:t>
            </w:r>
          </w:p>
        </w:tc>
      </w:tr>
      <w:tr>
        <w:tc>
          <w:tcPr>
            <w:tcW w:type="dxa" w:w="600"/>
            <w:tcBorders>
              <w:top w:val="none" w:sz="0"/>
              <w:left w:val="none" w:sz="0"/>
              <w:bottom w:val="single" w:color="D4D0CB" w:sz="1"/>
              <w:right w:val="none" w:sz="0"/>
            </w:tcBorders>
            <w:shd w:fill="F7F5F2" w:val="clear"/>
            <w:tcMar>
              <w:top w:type="dxa" w:w="70"/>
              <w:left w:type="dxa" w:w="100"/>
              <w:bottom w:type="dxa" w:w="70"/>
              <w:right w:type="dxa" w:w="60"/>
            </w:tcMar>
            <w:vAlign w:val="top"/>
          </w:tcPr>
          <w:p>
            <w:pPr>
              <w:jc w:val="center"/>
            </w:pPr>
            <w:r>
              <w:rPr>
                <w:rFonts w:ascii="Arial" w:cs="Arial" w:eastAsia="Arial" w:hAnsi="Arial"/>
                <w:b/>
                <w:bCs/>
                <w:color w:val="A08D5E"/>
                <w:sz w:val="28"/>
                <w:szCs w:val="28"/>
              </w:rPr>
              <w:t xml:space="preserve">2</w:t>
            </w:r>
          </w:p>
        </w:tc>
        <w:tc>
          <w:tcPr>
            <w:tcW w:type="dxa" w:w="9038"/>
            <w:tcBorders>
              <w:top w:val="none" w:sz="0"/>
              <w:left w:val="none" w:sz="0"/>
              <w:bottom w:val="single" w:color="D4D0CB" w:sz="1"/>
              <w:right w:val="none" w:sz="0"/>
            </w:tcBorders>
            <w:shd w:fill="F7F5F2" w:val="clear"/>
            <w:tcMar>
              <w:top w:type="dxa" w:w="70"/>
              <w:left w:type="dxa" w:w="140"/>
              <w:bottom w:type="dxa" w:w="70"/>
              <w:right w:type="dxa" w:w="140"/>
            </w:tcMar>
            <w:vAlign w:val="top"/>
          </w:tcPr>
          <w:p>
            <w:pPr>
              <w:spacing w:after="40"/>
            </w:pPr>
            <w:r>
              <w:rPr>
                <w:rFonts w:ascii="Arial" w:cs="Arial" w:eastAsia="Arial" w:hAnsi="Arial"/>
                <w:b/>
                <w:bCs/>
                <w:color w:val="1A1A1A"/>
                <w:sz w:val="20"/>
                <w:szCs w:val="20"/>
              </w:rPr>
              <w:t xml:space="preserve">Diversify broadly</w:t>
            </w:r>
          </w:p>
          <w:p>
            <w:r>
              <w:rPr>
                <w:rFonts w:ascii="Arial" w:cs="Arial" w:eastAsia="Arial" w:hAnsi="Arial"/>
                <w:color w:val="333333"/>
                <w:sz w:val="18"/>
                <w:szCs w:val="18"/>
              </w:rPr>
              <w:t xml:space="preserve">We spread across asset classes, geographies, and managers. No single bet determines your outcome.</w:t>
            </w:r>
          </w:p>
        </w:tc>
      </w:tr>
      <w:tr>
        <w:tc>
          <w:tcPr>
            <w:tcW w:type="dxa" w:w="600"/>
            <w:tcBorders>
              <w:top w:val="none" w:sz="0"/>
              <w:left w:val="none" w:sz="0"/>
              <w:bottom w:val="single" w:color="D4D0CB" w:sz="1"/>
              <w:right w:val="none" w:sz="0"/>
            </w:tcBorders>
            <w:shd w:fill="FFFFFF" w:val="clear"/>
            <w:tcMar>
              <w:top w:type="dxa" w:w="70"/>
              <w:left w:type="dxa" w:w="100"/>
              <w:bottom w:type="dxa" w:w="70"/>
              <w:right w:type="dxa" w:w="60"/>
            </w:tcMar>
            <w:vAlign w:val="top"/>
          </w:tcPr>
          <w:p>
            <w:pPr>
              <w:jc w:val="center"/>
            </w:pPr>
            <w:r>
              <w:rPr>
                <w:rFonts w:ascii="Arial" w:cs="Arial" w:eastAsia="Arial" w:hAnsi="Arial"/>
                <w:b/>
                <w:bCs/>
                <w:color w:val="A08D5E"/>
                <w:sz w:val="28"/>
                <w:szCs w:val="28"/>
              </w:rPr>
              <w:t xml:space="preserve">3</w:t>
            </w:r>
          </w:p>
        </w:tc>
        <w:tc>
          <w:tcPr>
            <w:tcW w:type="dxa" w:w="9038"/>
            <w:tcBorders>
              <w:top w:val="none" w:sz="0"/>
              <w:left w:val="none" w:sz="0"/>
              <w:bottom w:val="single" w:color="D4D0CB" w:sz="1"/>
              <w:right w:val="none" w:sz="0"/>
            </w:tcBorders>
            <w:shd w:fill="FFFFFF" w:val="clear"/>
            <w:tcMar>
              <w:top w:type="dxa" w:w="70"/>
              <w:left w:type="dxa" w:w="140"/>
              <w:bottom w:type="dxa" w:w="70"/>
              <w:right w:type="dxa" w:w="140"/>
            </w:tcMar>
            <w:vAlign w:val="top"/>
          </w:tcPr>
          <w:p>
            <w:pPr>
              <w:spacing w:after="40"/>
            </w:pPr>
            <w:r>
              <w:rPr>
                <w:rFonts w:ascii="Arial" w:cs="Arial" w:eastAsia="Arial" w:hAnsi="Arial"/>
                <w:b/>
                <w:bCs/>
                <w:color w:val="1A1A1A"/>
                <w:sz w:val="20"/>
                <w:szCs w:val="20"/>
              </w:rPr>
              <w:t xml:space="preserve">Match the strategy to your stage</w:t>
            </w:r>
          </w:p>
          <w:p>
            <w:r>
              <w:rPr>
                <w:rFonts w:ascii="Arial" w:cs="Arial" w:eastAsia="Arial" w:hAnsi="Arial"/>
                <w:color w:val="333333"/>
                <w:sz w:val="18"/>
                <w:szCs w:val="18"/>
              </w:rPr>
              <w:t xml:space="preserve">Your portfolio reflects where you are in retirement, not where the market is. Allocations are set and adjusted as your spending, health, or risk tolerance changes.</w:t>
            </w:r>
          </w:p>
        </w:tc>
      </w:tr>
      <w:tr>
        <w:tc>
          <w:tcPr>
            <w:tcW w:type="dxa" w:w="600"/>
            <w:tcBorders>
              <w:top w:val="none" w:sz="0"/>
              <w:left w:val="none" w:sz="0"/>
              <w:bottom w:val="single" w:color="D4D0CB" w:sz="1"/>
              <w:right w:val="none" w:sz="0"/>
            </w:tcBorders>
            <w:shd w:fill="F7F5F2" w:val="clear"/>
            <w:tcMar>
              <w:top w:type="dxa" w:w="70"/>
              <w:left w:type="dxa" w:w="100"/>
              <w:bottom w:type="dxa" w:w="70"/>
              <w:right w:type="dxa" w:w="60"/>
            </w:tcMar>
            <w:vAlign w:val="top"/>
          </w:tcPr>
          <w:p>
            <w:pPr>
              <w:jc w:val="center"/>
            </w:pPr>
            <w:r>
              <w:rPr>
                <w:rFonts w:ascii="Arial" w:cs="Arial" w:eastAsia="Arial" w:hAnsi="Arial"/>
                <w:b/>
                <w:bCs/>
                <w:color w:val="A08D5E"/>
                <w:sz w:val="28"/>
                <w:szCs w:val="28"/>
              </w:rPr>
              <w:t xml:space="preserve">4</w:t>
            </w:r>
          </w:p>
        </w:tc>
        <w:tc>
          <w:tcPr>
            <w:tcW w:type="dxa" w:w="9038"/>
            <w:tcBorders>
              <w:top w:val="none" w:sz="0"/>
              <w:left w:val="none" w:sz="0"/>
              <w:bottom w:val="single" w:color="D4D0CB" w:sz="1"/>
              <w:right w:val="none" w:sz="0"/>
            </w:tcBorders>
            <w:shd w:fill="F7F5F2" w:val="clear"/>
            <w:tcMar>
              <w:top w:type="dxa" w:w="70"/>
              <w:left w:type="dxa" w:w="140"/>
              <w:bottom w:type="dxa" w:w="70"/>
              <w:right w:type="dxa" w:w="140"/>
            </w:tcMar>
            <w:vAlign w:val="top"/>
          </w:tcPr>
          <w:p>
            <w:pPr>
              <w:spacing w:after="40"/>
            </w:pPr>
            <w:r>
              <w:rPr>
                <w:rFonts w:ascii="Arial" w:cs="Arial" w:eastAsia="Arial" w:hAnsi="Arial"/>
                <w:b/>
                <w:bCs/>
                <w:color w:val="1A1A1A"/>
                <w:sz w:val="20"/>
                <w:szCs w:val="20"/>
              </w:rPr>
              <w:t xml:space="preserve">Rebalance with discipline</w:t>
            </w:r>
          </w:p>
          <w:p>
            <w:r>
              <w:rPr>
                <w:rFonts w:ascii="Arial" w:cs="Arial" w:eastAsia="Arial" w:hAnsi="Arial"/>
                <w:color w:val="333333"/>
                <w:sz w:val="18"/>
                <w:szCs w:val="18"/>
              </w:rPr>
              <w:t xml:space="preserve">We buy low and sell high systematically, not emotionally. We rebalance when your portfolio drifts, not when headlines scare.</w:t>
            </w:r>
          </w:p>
        </w:tc>
      </w:tr>
      <w:tr>
        <w:tc>
          <w:tcPr>
            <w:tcW w:type="dxa" w:w="600"/>
            <w:tcBorders>
              <w:top w:val="none" w:sz="0"/>
              <w:left w:val="none" w:sz="0"/>
              <w:bottom w:val="single" w:color="D4D0CB" w:sz="1"/>
              <w:right w:val="none" w:sz="0"/>
            </w:tcBorders>
            <w:shd w:fill="FFFFFF" w:val="clear"/>
            <w:tcMar>
              <w:top w:type="dxa" w:w="70"/>
              <w:left w:type="dxa" w:w="100"/>
              <w:bottom w:type="dxa" w:w="70"/>
              <w:right w:type="dxa" w:w="60"/>
            </w:tcMar>
            <w:vAlign w:val="top"/>
          </w:tcPr>
          <w:p>
            <w:pPr>
              <w:jc w:val="center"/>
            </w:pPr>
            <w:r>
              <w:rPr>
                <w:rFonts w:ascii="Arial" w:cs="Arial" w:eastAsia="Arial" w:hAnsi="Arial"/>
                <w:b/>
                <w:bCs/>
                <w:color w:val="A08D5E"/>
                <w:sz w:val="28"/>
                <w:szCs w:val="28"/>
              </w:rPr>
              <w:t xml:space="preserve">5</w:t>
            </w:r>
          </w:p>
        </w:tc>
        <w:tc>
          <w:tcPr>
            <w:tcW w:type="dxa" w:w="9038"/>
            <w:tcBorders>
              <w:top w:val="none" w:sz="0"/>
              <w:left w:val="none" w:sz="0"/>
              <w:bottom w:val="single" w:color="D4D0CB" w:sz="1"/>
              <w:right w:val="none" w:sz="0"/>
            </w:tcBorders>
            <w:shd w:fill="FFFFFF" w:val="clear"/>
            <w:tcMar>
              <w:top w:type="dxa" w:w="70"/>
              <w:left w:type="dxa" w:w="140"/>
              <w:bottom w:type="dxa" w:w="70"/>
              <w:right w:type="dxa" w:w="140"/>
            </w:tcMar>
            <w:vAlign w:val="top"/>
          </w:tcPr>
          <w:p>
            <w:pPr>
              <w:spacing w:after="40"/>
            </w:pPr>
            <w:r>
              <w:rPr>
                <w:rFonts w:ascii="Arial" w:cs="Arial" w:eastAsia="Arial" w:hAnsi="Arial"/>
                <w:b/>
                <w:bCs/>
                <w:color w:val="1A1A1A"/>
                <w:sz w:val="20"/>
                <w:szCs w:val="20"/>
              </w:rPr>
              <w:t xml:space="preserve">Stay the course</w:t>
            </w:r>
          </w:p>
          <w:p>
            <w:r>
              <w:rPr>
                <w:rFonts w:ascii="Arial" w:cs="Arial" w:eastAsia="Arial" w:hAnsi="Arial"/>
                <w:color w:val="333333"/>
                <w:sz w:val="18"/>
                <w:szCs w:val="18"/>
              </w:rPr>
              <w:t xml:space="preserve">The biggest risk in retirement isn’t a market crash. It’s panic-selling after one. We’re here to make sure that doesn’t happen.</w:t>
            </w:r>
          </w:p>
        </w:tc>
      </w:tr>
    </w:tbl>
    <w:p>
      <w:pPr>
        <w:spacing w:after="0" w:before="200"/>
      </w:pPr>
    </w:p>
    <w:p>
      <w:pPr>
        <w:spacing w:after="100" w:before="360"/>
      </w:pPr>
      <w:r>
        <w:rPr>
          <w:rFonts w:ascii="Arial" w:cs="Arial" w:eastAsia="Arial" w:hAnsi="Arial"/>
          <w:b/>
          <w:bCs/>
          <w:color w:val="A08D5E"/>
          <w:spacing w:val="80"/>
          <w:sz w:val="20"/>
          <w:szCs w:val="20"/>
        </w:rPr>
        <w:t xml:space="preserve">WHAT WE DON’T DO</w:t>
      </w:r>
    </w:p>
    <w:p>
      <w:pPr>
        <w:spacing w:after="0" w:before="80"/>
      </w:pPr>
    </w:p>
    <w:p>
      <w:pPr>
        <w:spacing w:after="40" w:before="40"/>
        <w:jc w:val="left"/>
      </w:pPr>
      <w:r>
        <w:rPr>
          <w:rFonts w:ascii="Arial" w:cs="Arial" w:eastAsia="Arial" w:hAnsi="Arial"/>
          <w:color w:val="CC4444"/>
          <w:sz w:val="18"/>
          <w:szCs w:val="18"/>
        </w:rPr>
        <w:t xml:space="preserve">✘  </w:t>
      </w:r>
      <w:r>
        <w:rPr>
          <w:rFonts w:ascii="Arial" w:cs="Arial" w:eastAsia="Arial" w:hAnsi="Arial"/>
          <w:color w:val="333333"/>
          <w:sz w:val="19"/>
          <w:szCs w:val="19"/>
        </w:rPr>
        <w:t xml:space="preserve">Chase returns based on last year’s winners.</w:t>
      </w:r>
    </w:p>
    <w:p>
      <w:pPr>
        <w:spacing w:after="40" w:before="40"/>
        <w:jc w:val="left"/>
      </w:pPr>
      <w:r>
        <w:rPr>
          <w:rFonts w:ascii="Arial" w:cs="Arial" w:eastAsia="Arial" w:hAnsi="Arial"/>
          <w:color w:val="CC4444"/>
          <w:sz w:val="18"/>
          <w:szCs w:val="18"/>
        </w:rPr>
        <w:t xml:space="preserve">✘  </w:t>
      </w:r>
      <w:r>
        <w:rPr>
          <w:rFonts w:ascii="Arial" w:cs="Arial" w:eastAsia="Arial" w:hAnsi="Arial"/>
          <w:color w:val="333333"/>
          <w:sz w:val="19"/>
          <w:szCs w:val="19"/>
        </w:rPr>
        <w:t xml:space="preserve">Try to time the market (nobody can, consistently).</w:t>
      </w:r>
    </w:p>
    <w:p>
      <w:pPr>
        <w:spacing w:after="40" w:before="40"/>
        <w:jc w:val="left"/>
      </w:pPr>
      <w:r>
        <w:rPr>
          <w:rFonts w:ascii="Arial" w:cs="Arial" w:eastAsia="Arial" w:hAnsi="Arial"/>
          <w:color w:val="CC4444"/>
          <w:sz w:val="18"/>
          <w:szCs w:val="18"/>
        </w:rPr>
        <w:t xml:space="preserve">✘  </w:t>
      </w:r>
      <w:r>
        <w:rPr>
          <w:rFonts w:ascii="Arial" w:cs="Arial" w:eastAsia="Arial" w:hAnsi="Arial"/>
          <w:color w:val="333333"/>
          <w:sz w:val="19"/>
          <w:szCs w:val="19"/>
        </w:rPr>
        <w:t xml:space="preserve">Use complex derivatives, leveraged products, or cryptocurrency.</w:t>
      </w:r>
    </w:p>
    <w:p>
      <w:pPr>
        <w:spacing w:after="40" w:before="40"/>
        <w:jc w:val="left"/>
      </w:pPr>
      <w:r>
        <w:rPr>
          <w:rFonts w:ascii="Arial" w:cs="Arial" w:eastAsia="Arial" w:hAnsi="Arial"/>
          <w:color w:val="CC4444"/>
          <w:sz w:val="18"/>
          <w:szCs w:val="18"/>
        </w:rPr>
        <w:t xml:space="preserve">✘  </w:t>
      </w:r>
      <w:r>
        <w:rPr>
          <w:rFonts w:ascii="Arial" w:cs="Arial" w:eastAsia="Arial" w:hAnsi="Arial"/>
          <w:color w:val="333333"/>
          <w:sz w:val="19"/>
          <w:szCs w:val="19"/>
        </w:rPr>
        <w:t xml:space="preserve">Charge hidden fees or receive commissions from fund managers.</w:t>
      </w:r>
    </w:p>
    <w:p>
      <w:pPr>
        <w:spacing w:after="40" w:before="40"/>
        <w:jc w:val="left"/>
      </w:pPr>
      <w:r>
        <w:rPr>
          <w:rFonts w:ascii="Arial" w:cs="Arial" w:eastAsia="Arial" w:hAnsi="Arial"/>
          <w:color w:val="CC4444"/>
          <w:sz w:val="18"/>
          <w:szCs w:val="18"/>
        </w:rPr>
        <w:t xml:space="preserve">✘  </w:t>
      </w:r>
      <w:r>
        <w:rPr>
          <w:rFonts w:ascii="Arial" w:cs="Arial" w:eastAsia="Arial" w:hAnsi="Arial"/>
          <w:color w:val="333333"/>
          <w:sz w:val="19"/>
          <w:szCs w:val="19"/>
        </w:rPr>
        <w:t xml:space="preserve">Make changes for the sake of looking busy.</w:t>
      </w:r>
    </w:p>
    <w:p>
      <w:pPr>
        <w:spacing w:after="40" w:before="40"/>
        <w:jc w:val="left"/>
      </w:pPr>
      <w:r>
        <w:rPr>
          <w:rFonts w:ascii="Arial" w:cs="Arial" w:eastAsia="Arial" w:hAnsi="Arial"/>
          <w:color w:val="CC4444"/>
          <w:sz w:val="18"/>
          <w:szCs w:val="18"/>
        </w:rPr>
        <w:t xml:space="preserve">✘  </w:t>
      </w:r>
      <w:r>
        <w:rPr>
          <w:rFonts w:ascii="Arial" w:cs="Arial" w:eastAsia="Arial" w:hAnsi="Arial"/>
          <w:color w:val="333333"/>
          <w:sz w:val="19"/>
          <w:szCs w:val="19"/>
        </w:rPr>
        <w:t xml:space="preserve">Switch funds based on short-term performance.</w:t>
      </w:r>
    </w:p>
    <w:p>
      <w:pPr>
        <w:sectPr>
          <w:headerReference w:type="default" r:id="rId7"/>
          <w:footerReference w:type="default" r:id="rId8"/>
          <w:pgSz w:w="11906" w:h="16838" w:orient="portrait"/>
          <w:pgMar w:top="1440" w:right="1134" w:bottom="1080" w:left="1134" w:header="708" w:footer="708" w:gutter="0"/>
          <w:pgNumType/>
          <w:docGrid w:linePitch="360"/>
        </w:sectPr>
      </w:pPr>
    </w:p>
    <w:p>
      <w:pPr>
        <w:spacing w:after="100" w:before="360"/>
      </w:pPr>
      <w:r>
        <w:rPr>
          <w:rFonts w:ascii="Arial" w:cs="Arial" w:eastAsia="Arial" w:hAnsi="Arial"/>
          <w:b/>
          <w:bCs/>
          <w:color w:val="A08D5E"/>
          <w:spacing w:val="80"/>
          <w:sz w:val="20"/>
          <w:szCs w:val="20"/>
        </w:rPr>
        <w:t xml:space="preserve">INVESTMENT GOVERNANCE</w:t>
      </w:r>
    </w:p>
    <w:p>
      <w:pPr>
        <w:spacing w:after="60" w:before="60"/>
        <w:jc w:val="left"/>
      </w:pPr>
      <w:r>
        <w:rPr>
          <w:rFonts w:ascii="Arial" w:cs="Arial" w:eastAsia="Arial" w:hAnsi="Arial"/>
          <w:b w:val="false"/>
          <w:bCs w:val="false"/>
          <w:i w:val="false"/>
          <w:iCs w:val="false"/>
          <w:color w:val="333333"/>
          <w:sz w:val="20"/>
          <w:szCs w:val="20"/>
        </w:rPr>
        <w:t xml:space="preserve">All funds in our portfolios are approved through an Investment Committee process with structured due diligence. We review suitability and portfolio role on a scheduled basis, drawing on independent research where applicable.</w:t>
      </w:r>
    </w:p>
    <w:p>
      <w:pPr>
        <w:spacing w:after="0" w:before="60"/>
      </w:pPr>
    </w:p>
    <w:p>
      <w:pPr>
        <w:spacing w:after="60" w:before="60"/>
        <w:jc w:val="left"/>
      </w:pPr>
      <w:r>
        <w:rPr>
          <w:rFonts w:ascii="Arial" w:cs="Arial" w:eastAsia="Arial" w:hAnsi="Arial"/>
          <w:b w:val="false"/>
          <w:bCs w:val="false"/>
          <w:i w:val="false"/>
          <w:iCs w:val="false"/>
          <w:color w:val="333333"/>
          <w:sz w:val="20"/>
          <w:szCs w:val="20"/>
        </w:rPr>
        <w:t xml:space="preserve">The same fund universe is used across all client portfolios. What changes between clients is the balance between growth and defensive holdings — not the underlying building blocks. This keeps things consistent, stable, and easy to understand. Each holding has a clear role, and changes are usually reweighting rather than wholesale switching.</w:t>
      </w:r>
    </w:p>
    <w:p>
      <w:pPr>
        <w:spacing w:after="0" w:before="200"/>
      </w:pPr>
    </w:p>
    <w:p>
      <w:pPr>
        <w:spacing w:after="80" w:before="240"/>
      </w:pPr>
      <w:r>
        <w:rPr>
          <w:rFonts w:ascii="Arial" w:cs="Arial" w:eastAsia="Arial" w:hAnsi="Arial"/>
          <w:b/>
          <w:bCs/>
          <w:color w:val="1A1A1A"/>
          <w:sz w:val="21"/>
          <w:szCs w:val="21"/>
        </w:rPr>
        <w:t xml:space="preserve">How Portfolios Are Built</w:t>
      </w:r>
    </w:p>
    <w:p>
      <w:pPr>
        <w:spacing w:after="60" w:before="60"/>
        <w:jc w:val="left"/>
      </w:pPr>
      <w:r>
        <w:rPr>
          <w:rFonts w:ascii="Arial" w:cs="Arial" w:eastAsia="Arial" w:hAnsi="Arial"/>
          <w:b w:val="false"/>
          <w:bCs w:val="false"/>
          <w:i w:val="false"/>
          <w:iCs w:val="false"/>
          <w:color w:val="333333"/>
          <w:sz w:val="20"/>
          <w:szCs w:val="20"/>
        </w:rPr>
        <w:t xml:space="preserve">We construct portfolios using building blocks, not products. The same approved funds are allocated across risk profiles — from ultra-conservative through to growth — with the mix adjusted to match your situation. An ultra-conservative portfolio holds defensive assets only. A balanced portfolio combines broad index equities and specialist active managers with layered defensive holdings. A growth portfolio tilts further toward equities with a smaller defensive allocation.</w:t>
      </w:r>
    </w:p>
    <w:p>
      <w:pPr>
        <w:spacing w:after="0" w:before="60"/>
      </w:pPr>
    </w:p>
    <w:p>
      <w:pPr>
        <w:spacing w:after="60" w:before="60"/>
        <w:jc w:val="left"/>
      </w:pPr>
      <w:r>
        <w:rPr>
          <w:rFonts w:ascii="Arial" w:cs="Arial" w:eastAsia="Arial" w:hAnsi="Arial"/>
          <w:b w:val="false"/>
          <w:bCs w:val="false"/>
          <w:i w:val="false"/>
          <w:iCs w:val="false"/>
          <w:color w:val="333333"/>
          <w:sz w:val="20"/>
          <w:szCs w:val="20"/>
        </w:rPr>
        <w:t xml:space="preserve">Your Statement of Advice confirms the specific funds, allocations, and platform recommended for you.</w:t>
      </w:r>
    </w:p>
    <w:p>
      <w:pPr>
        <w:spacing w:after="0" w:before="200"/>
      </w:pPr>
    </w:p>
    <w:p>
      <w:pPr>
        <w:spacing w:after="80" w:before="240"/>
      </w:pPr>
      <w:r>
        <w:rPr>
          <w:rFonts w:ascii="Arial" w:cs="Arial" w:eastAsia="Arial" w:hAnsi="Arial"/>
          <w:b/>
          <w:bCs/>
          <w:color w:val="1A1A1A"/>
          <w:sz w:val="21"/>
          <w:szCs w:val="21"/>
        </w:rPr>
        <w:t xml:space="preserve">Ongoing Monitoring</w:t>
      </w:r>
    </w:p>
    <w:p>
      <w:pPr>
        <w:spacing w:after="60" w:before="60"/>
        <w:jc w:val="left"/>
      </w:pPr>
      <w:r>
        <w:rPr>
          <w:rFonts w:ascii="Arial" w:cs="Arial" w:eastAsia="Arial" w:hAnsi="Arial"/>
          <w:b w:val="false"/>
          <w:bCs w:val="false"/>
          <w:i w:val="false"/>
          <w:iCs w:val="false"/>
          <w:color w:val="333333"/>
          <w:sz w:val="20"/>
          <w:szCs w:val="20"/>
        </w:rPr>
        <w:t xml:space="preserve">We monitor funds against their stated objectives and intended portfolio role. This includes portfolio characteristics such as duration and credit quality, distribution consistency, and manager stability. We track adherence to stated investment process — not short-term performance numbers.</w:t>
      </w:r>
    </w:p>
    <w:p>
      <w:pPr>
        <w:spacing w:after="0" w:before="200"/>
      </w:pPr>
    </w:p>
    <w:p>
      <w:pPr>
        <w:spacing w:after="80" w:before="240"/>
      </w:pPr>
      <w:r>
        <w:rPr>
          <w:rFonts w:ascii="Arial" w:cs="Arial" w:eastAsia="Arial" w:hAnsi="Arial"/>
          <w:b/>
          <w:bCs/>
          <w:color w:val="1A1A1A"/>
          <w:sz w:val="21"/>
          <w:szCs w:val="21"/>
        </w:rPr>
        <w:t xml:space="preserve">When We Replace a Fund</w:t>
      </w:r>
    </w:p>
    <w:p>
      <w:pPr>
        <w:spacing w:after="60" w:before="60"/>
        <w:jc w:val="left"/>
      </w:pPr>
      <w:r>
        <w:rPr>
          <w:rFonts w:ascii="Arial" w:cs="Arial" w:eastAsia="Arial" w:hAnsi="Arial"/>
          <w:b w:val="false"/>
          <w:bCs w:val="false"/>
          <w:i w:val="false"/>
          <w:iCs w:val="false"/>
          <w:color w:val="333333"/>
          <w:sz w:val="20"/>
          <w:szCs w:val="20"/>
        </w:rPr>
        <w:t xml:space="preserve">We have clear triggers for replacing a holding:</w:t>
      </w:r>
    </w:p>
    <w:p>
      <w:pPr>
        <w:spacing w:after="0" w:before="60"/>
      </w:pPr>
    </w:p>
    <w:p>
      <w:pPr>
        <w:spacing w:after="60" w:before="60"/>
        <w:jc w:val="left"/>
      </w:pPr>
      <w:r>
        <w:rPr>
          <w:rFonts w:ascii="Arial" w:cs="Arial" w:eastAsia="Arial" w:hAnsi="Arial"/>
          <w:b/>
          <w:bCs/>
          <w:color w:val="1A1A1A"/>
          <w:sz w:val="20"/>
          <w:szCs w:val="20"/>
        </w:rPr>
        <w:t xml:space="preserve">People </w:t>
      </w:r>
      <w:r>
        <w:rPr>
          <w:rFonts w:ascii="Arial" w:cs="Arial" w:eastAsia="Arial" w:hAnsi="Arial"/>
          <w:color w:val="333333"/>
          <w:sz w:val="20"/>
          <w:szCs w:val="20"/>
        </w:rPr>
        <w:t xml:space="preserve">— key investment personnel changes without suitable succession.</w:t>
      </w:r>
    </w:p>
    <w:p>
      <w:pPr>
        <w:spacing w:after="60" w:before="60"/>
        <w:jc w:val="left"/>
      </w:pPr>
      <w:r>
        <w:rPr>
          <w:rFonts w:ascii="Arial" w:cs="Arial" w:eastAsia="Arial" w:hAnsi="Arial"/>
          <w:b/>
          <w:bCs/>
          <w:color w:val="1A1A1A"/>
          <w:sz w:val="20"/>
          <w:szCs w:val="20"/>
        </w:rPr>
        <w:t xml:space="preserve">Process </w:t>
      </w:r>
      <w:r>
        <w:rPr>
          <w:rFonts w:ascii="Arial" w:cs="Arial" w:eastAsia="Arial" w:hAnsi="Arial"/>
          <w:color w:val="333333"/>
          <w:sz w:val="20"/>
          <w:szCs w:val="20"/>
        </w:rPr>
        <w:t xml:space="preserve">— material change to investment approach or strategy drift.</w:t>
      </w:r>
    </w:p>
    <w:p>
      <w:pPr>
        <w:spacing w:after="60" w:before="60"/>
        <w:jc w:val="left"/>
      </w:pPr>
      <w:r>
        <w:rPr>
          <w:rFonts w:ascii="Arial" w:cs="Arial" w:eastAsia="Arial" w:hAnsi="Arial"/>
          <w:b/>
          <w:bCs/>
          <w:color w:val="1A1A1A"/>
          <w:sz w:val="20"/>
          <w:szCs w:val="20"/>
        </w:rPr>
        <w:t xml:space="preserve">Risk </w:t>
      </w:r>
      <w:r>
        <w:rPr>
          <w:rFonts w:ascii="Arial" w:cs="Arial" w:eastAsia="Arial" w:hAnsi="Arial"/>
          <w:color w:val="333333"/>
          <w:sz w:val="20"/>
          <w:szCs w:val="20"/>
        </w:rPr>
        <w:t xml:space="preserve">— sustained underperformance over a meaningful period without a clear explanation.</w:t>
      </w:r>
    </w:p>
    <w:p>
      <w:pPr>
        <w:spacing w:after="60" w:before="60"/>
        <w:jc w:val="left"/>
      </w:pPr>
      <w:r>
        <w:rPr>
          <w:rFonts w:ascii="Arial" w:cs="Arial" w:eastAsia="Arial" w:hAnsi="Arial"/>
          <w:b/>
          <w:bCs/>
          <w:color w:val="1A1A1A"/>
          <w:sz w:val="20"/>
          <w:szCs w:val="20"/>
        </w:rPr>
        <w:t xml:space="preserve">Role failure </w:t>
      </w:r>
      <w:r>
        <w:rPr>
          <w:rFonts w:ascii="Arial" w:cs="Arial" w:eastAsia="Arial" w:hAnsi="Arial"/>
          <w:color w:val="333333"/>
          <w:sz w:val="20"/>
          <w:szCs w:val="20"/>
        </w:rPr>
        <w:t xml:space="preserve">— the fund no longer serves its intended role in portfolio construction.</w:t>
      </w:r>
    </w:p>
    <w:p>
      <w:pPr>
        <w:spacing w:after="0" w:before="60"/>
      </w:pPr>
    </w:p>
    <w:p>
      <w:pPr>
        <w:spacing w:after="60" w:before="60"/>
        <w:jc w:val="left"/>
      </w:pPr>
      <w:r>
        <w:rPr>
          <w:rFonts w:ascii="Arial" w:cs="Arial" w:eastAsia="Arial" w:hAnsi="Arial"/>
          <w:b w:val="false"/>
          <w:bCs w:val="false"/>
          <w:i w:val="false"/>
          <w:iCs w:val="false"/>
          <w:color w:val="333333"/>
          <w:sz w:val="20"/>
          <w:szCs w:val="20"/>
        </w:rPr>
        <w:t xml:space="preserve">If a fund is replaced, you’re notified with the rationale. Transitions are managed with attention to tax efficiency and transaction costs.</w:t>
      </w:r>
    </w:p>
    <w:p>
      <w:pPr>
        <w:spacing w:after="0" w:before="200"/>
      </w:pPr>
    </w:p>
    <w:p>
      <w:pPr>
        <w:pBdr>
          <w:left w:val="single" w:color="A08D5E" w:sz="6" w:space="8"/>
        </w:pBdr>
        <w:spacing w:after="140" w:before="140"/>
        <w:ind w:left="300"/>
      </w:pPr>
      <w:r>
        <w:rPr>
          <w:rFonts w:ascii="Arial" w:cs="Arial" w:eastAsia="Arial" w:hAnsi="Arial"/>
          <w:i/>
          <w:iCs/>
          <w:color w:val="666666"/>
          <w:sz w:val="20"/>
          <w:szCs w:val="20"/>
        </w:rPr>
        <w:t xml:space="preserve">The fund universe is designed to be calm, deliberate, and purpose-built for retirement. No frequent changes to underlying building blocks. No performance chasing. A clear and consistent philosophy designed to be stable and repeatable.</w:t>
      </w:r>
    </w:p>
    <w:p>
      <w:pPr>
        <w:sectPr>
          <w:headerReference w:type="default" r:id="rId9"/>
          <w:footerReference w:type="default" r:id="rId10"/>
          <w:pgSz w:w="11906" w:h="16838" w:orient="portrait"/>
          <w:pgMar w:top="1440" w:right="1134" w:bottom="1080" w:left="1134" w:header="708" w:footer="708" w:gutter="0"/>
          <w:pgNumType/>
          <w:docGrid w:linePitch="360"/>
        </w:sectPr>
      </w:pPr>
    </w:p>
    <w:p>
      <w:pPr>
        <w:spacing w:after="100" w:before="360"/>
      </w:pPr>
      <w:r>
        <w:rPr>
          <w:rFonts w:ascii="Arial" w:cs="Arial" w:eastAsia="Arial" w:hAnsi="Arial"/>
          <w:b/>
          <w:bCs/>
          <w:color w:val="A08D5E"/>
          <w:spacing w:val="80"/>
          <w:sz w:val="20"/>
          <w:szCs w:val="20"/>
        </w:rPr>
        <w:t xml:space="preserve">WHY RETIREMENT IS DIFFERENT FROM ACCUMULATION</w:t>
      </w:r>
    </w:p>
    <w:p>
      <w:pPr>
        <w:spacing w:after="60" w:before="60"/>
        <w:jc w:val="left"/>
      </w:pPr>
      <w:r>
        <w:rPr>
          <w:rFonts w:ascii="Arial" w:cs="Arial" w:eastAsia="Arial" w:hAnsi="Arial"/>
          <w:b w:val="false"/>
          <w:bCs w:val="false"/>
          <w:i w:val="false"/>
          <w:iCs w:val="false"/>
          <w:color w:val="333333"/>
          <w:sz w:val="20"/>
          <w:szCs w:val="20"/>
        </w:rPr>
        <w:t xml:space="preserve">Most super funds are built for accumulation — decades of contributions going in, compounding over time, with no withdrawals. They’re simple, low-cost, and well-governed. For that job, they’re excellent.</w:t>
      </w:r>
    </w:p>
    <w:p>
      <w:pPr>
        <w:spacing w:after="0" w:before="60"/>
      </w:pPr>
    </w:p>
    <w:p>
      <w:pPr>
        <w:spacing w:after="60" w:before="60"/>
        <w:jc w:val="left"/>
      </w:pPr>
      <w:r>
        <w:rPr>
          <w:rFonts w:ascii="Arial" w:cs="Arial" w:eastAsia="Arial" w:hAnsi="Arial"/>
          <w:b w:val="false"/>
          <w:bCs w:val="false"/>
          <w:i w:val="false"/>
          <w:iCs w:val="false"/>
          <w:color w:val="333333"/>
          <w:sz w:val="20"/>
          <w:szCs w:val="20"/>
        </w:rPr>
        <w:t xml:space="preserve">Retirement is a different job. Money is coming out, not going in. Markets still fluctuate, but now those fluctuations happen while you’re drawing an income. The timing and sequencing of returns starts to matter in a way it didn’t before.</w:t>
      </w:r>
    </w:p>
    <w:p>
      <w:pPr>
        <w:spacing w:after="0" w:before="60"/>
      </w:pPr>
    </w:p>
    <w:p>
      <w:pPr>
        <w:spacing w:after="60" w:before="60"/>
        <w:jc w:val="left"/>
      </w:pPr>
      <w:r>
        <w:rPr>
          <w:rFonts w:ascii="Arial" w:cs="Arial" w:eastAsia="Arial" w:hAnsi="Arial"/>
          <w:b w:val="false"/>
          <w:bCs w:val="false"/>
          <w:i w:val="false"/>
          <w:iCs w:val="false"/>
          <w:color w:val="333333"/>
          <w:sz w:val="20"/>
          <w:szCs w:val="20"/>
        </w:rPr>
        <w:t xml:space="preserve">In most pooled super fund options, pension payments are funded proportionally from whatever you’re invested in. If the market falls, your pension payment is still drawn — partly from growth assets that are now worth less. You’re selling low, automatically, with no control over which assets are sold first.</w:t>
      </w:r>
    </w:p>
    <w:p>
      <w:pPr>
        <w:spacing w:after="0" w:before="60"/>
      </w:pPr>
    </w:p>
    <w:p>
      <w:pPr>
        <w:spacing w:after="60" w:before="60"/>
        <w:jc w:val="left"/>
      </w:pPr>
      <w:r>
        <w:rPr>
          <w:rFonts w:ascii="Arial" w:cs="Arial" w:eastAsia="Arial" w:hAnsi="Arial"/>
          <w:b w:val="false"/>
          <w:bCs w:val="false"/>
          <w:i w:val="false"/>
          <w:iCs w:val="false"/>
          <w:color w:val="333333"/>
          <w:sz w:val="20"/>
          <w:szCs w:val="20"/>
        </w:rPr>
        <w:t xml:space="preserve">A retirement-focused structure addresses this by separating your money into layers with different jobs — the defensive and growth buckets described earlier — and giving us the ability to control which assets fund your income and when.</w:t>
      </w:r>
    </w:p>
    <w:p>
      <w:pPr>
        <w:spacing w:after="0" w:before="200"/>
      </w:pPr>
    </w:p>
    <w:p>
      <w:pPr>
        <w:spacing w:after="100" w:before="360"/>
      </w:pPr>
      <w:r>
        <w:rPr>
          <w:rFonts w:ascii="Arial" w:cs="Arial" w:eastAsia="Arial" w:hAnsi="Arial"/>
          <w:b/>
          <w:bCs/>
          <w:color w:val="A08D5E"/>
          <w:spacing w:val="80"/>
          <w:sz w:val="20"/>
          <w:szCs w:val="20"/>
        </w:rPr>
        <w:t xml:space="preserve">HOW THE STRUCTURE COMPARES</w:t>
      </w:r>
    </w:p>
    <w:p>
      <w:pPr>
        <w:spacing w:after="0" w:before="100"/>
      </w:pPr>
    </w:p>
    <w:tbl>
      <w:tblPr>
        <w:tblW w:type="dxa" w:w="9638"/>
        <w:tblBorders>
          <w:top w:val="single" w:color="auto" w:sz="4"/>
          <w:left w:val="single" w:color="auto" w:sz="4"/>
          <w:bottom w:val="single" w:color="auto" w:sz="4"/>
          <w:right w:val="single" w:color="auto" w:sz="4"/>
          <w:insideH w:val="single" w:color="auto" w:sz="4"/>
          <w:insideV w:val="single" w:color="auto" w:sz="4"/>
        </w:tblBorders>
      </w:tblPr>
      <w:tblGrid>
        <w:gridCol w:w="4819"/>
        <w:gridCol w:w="4819"/>
      </w:tblGrid>
      <w:tr>
        <w:tc>
          <w:tcPr>
            <w:tcW w:type="dxa" w:w="4819"/>
            <w:tcBorders>
              <w:top w:val="none" w:sz="0"/>
              <w:left w:val="none" w:sz="0"/>
              <w:bottom w:val="none" w:sz="0"/>
              <w:right w:val="single" w:color="D4D0CB" w:sz="1"/>
            </w:tcBorders>
            <w:shd w:fill="F7F5F2" w:val="clear"/>
            <w:tcMar>
              <w:top w:type="dxa" w:w="80"/>
              <w:left w:type="dxa" w:w="140"/>
              <w:bottom w:type="dxa" w:w="80"/>
              <w:right w:type="dxa" w:w="140"/>
            </w:tcMar>
            <w:vAlign w:val="top"/>
          </w:tcPr>
          <w:p>
            <w:pPr>
              <w:spacing w:after="60"/>
            </w:pPr>
            <w:r>
              <w:rPr>
                <w:rFonts w:ascii="Arial" w:cs="Arial" w:eastAsia="Arial" w:hAnsi="Arial"/>
                <w:b/>
                <w:bCs/>
                <w:color w:val="A08D5E"/>
                <w:spacing w:val="60"/>
                <w:sz w:val="17"/>
                <w:szCs w:val="17"/>
              </w:rPr>
              <w:t xml:space="preserve">TYPICAL POOLED FUND</w:t>
            </w:r>
          </w:p>
          <w:p>
            <w:pPr>
              <w:spacing w:after="30" w:before="30"/>
            </w:pPr>
            <w:r>
              <w:rPr>
                <w:rFonts w:ascii="Arial" w:cs="Arial" w:eastAsia="Arial" w:hAnsi="Arial"/>
                <w:color w:val="A08D5E"/>
                <w:sz w:val="16"/>
                <w:szCs w:val="16"/>
              </w:rPr>
              <w:t xml:space="preserve">✓  </w:t>
            </w:r>
            <w:r>
              <w:rPr>
                <w:rFonts w:ascii="Arial" w:cs="Arial" w:eastAsia="Arial" w:hAnsi="Arial"/>
                <w:color w:val="333333"/>
                <w:sz w:val="17"/>
                <w:szCs w:val="17"/>
              </w:rPr>
              <w:t xml:space="preserve">Simple, low-cost, well-governed.</w:t>
            </w:r>
          </w:p>
          <w:p>
            <w:pPr>
              <w:spacing w:after="30" w:before="30"/>
            </w:pPr>
            <w:r>
              <w:rPr>
                <w:rFonts w:ascii="Arial" w:cs="Arial" w:eastAsia="Arial" w:hAnsi="Arial"/>
                <w:color w:val="A08D5E"/>
                <w:sz w:val="16"/>
                <w:szCs w:val="16"/>
              </w:rPr>
              <w:t xml:space="preserve">✓  </w:t>
            </w:r>
            <w:r>
              <w:rPr>
                <w:rFonts w:ascii="Arial" w:cs="Arial" w:eastAsia="Arial" w:hAnsi="Arial"/>
                <w:color w:val="333333"/>
                <w:sz w:val="17"/>
                <w:szCs w:val="17"/>
              </w:rPr>
              <w:t xml:space="preserve">Excellent for accumulation over decades.</w:t>
            </w:r>
          </w:p>
          <w:p>
            <w:pPr>
              <w:spacing w:after="30" w:before="30"/>
            </w:pPr>
            <w:r>
              <w:rPr>
                <w:rFonts w:ascii="Arial" w:cs="Arial" w:eastAsia="Arial" w:hAnsi="Arial"/>
                <w:color w:val="CC4444"/>
                <w:sz w:val="16"/>
                <w:szCs w:val="16"/>
              </w:rPr>
              <w:t xml:space="preserve">✘  </w:t>
            </w:r>
            <w:r>
              <w:rPr>
                <w:rFonts w:ascii="Arial" w:cs="Arial" w:eastAsia="Arial" w:hAnsi="Arial"/>
                <w:color w:val="333333"/>
                <w:sz w:val="17"/>
                <w:szCs w:val="17"/>
              </w:rPr>
              <w:t xml:space="preserve">Pension payments usually funded proportionally across all assets.</w:t>
            </w:r>
          </w:p>
          <w:p>
            <w:pPr>
              <w:spacing w:after="30" w:before="30"/>
            </w:pPr>
            <w:r>
              <w:rPr>
                <w:rFonts w:ascii="Arial" w:cs="Arial" w:eastAsia="Arial" w:hAnsi="Arial"/>
                <w:color w:val="CC4444"/>
                <w:sz w:val="16"/>
                <w:szCs w:val="16"/>
              </w:rPr>
              <w:t xml:space="preserve">✘  </w:t>
            </w:r>
            <w:r>
              <w:rPr>
                <w:rFonts w:ascii="Arial" w:cs="Arial" w:eastAsia="Arial" w:hAnsi="Arial"/>
                <w:color w:val="333333"/>
                <w:sz w:val="17"/>
                <w:szCs w:val="17"/>
              </w:rPr>
              <w:t xml:space="preserve">Limited ability to ring-fence cash for spending.</w:t>
            </w:r>
          </w:p>
          <w:p>
            <w:pPr>
              <w:spacing w:after="30" w:before="30"/>
            </w:pPr>
            <w:r>
              <w:rPr>
                <w:rFonts w:ascii="Arial" w:cs="Arial" w:eastAsia="Arial" w:hAnsi="Arial"/>
                <w:color w:val="CC4444"/>
                <w:sz w:val="16"/>
                <w:szCs w:val="16"/>
              </w:rPr>
              <w:t xml:space="preserve">✘  </w:t>
            </w:r>
            <w:r>
              <w:rPr>
                <w:rFonts w:ascii="Arial" w:cs="Arial" w:eastAsia="Arial" w:hAnsi="Arial"/>
                <w:color w:val="333333"/>
                <w:sz w:val="17"/>
                <w:szCs w:val="17"/>
              </w:rPr>
              <w:t xml:space="preserve">Broad preset risk buckets rather than precise allocations.</w:t>
            </w:r>
          </w:p>
          <w:p>
            <w:pPr>
              <w:spacing w:after="30" w:before="30"/>
            </w:pPr>
            <w:r>
              <w:rPr>
                <w:rFonts w:ascii="Arial" w:cs="Arial" w:eastAsia="Arial" w:hAnsi="Arial"/>
                <w:color w:val="CC4444"/>
                <w:sz w:val="16"/>
                <w:szCs w:val="16"/>
              </w:rPr>
              <w:t xml:space="preserve">✘  </w:t>
            </w:r>
            <w:r>
              <w:rPr>
                <w:rFonts w:ascii="Arial" w:cs="Arial" w:eastAsia="Arial" w:hAnsi="Arial"/>
                <w:color w:val="333333"/>
                <w:sz w:val="17"/>
                <w:szCs w:val="17"/>
              </w:rPr>
              <w:t xml:space="preserve">Harder to coordinate across Centrelink, tax, and estate needs.</w:t>
            </w:r>
          </w:p>
        </w:tc>
        <w:tc>
          <w:tcPr>
            <w:tcW w:type="dxa" w:w="4819"/>
            <w:tcBorders>
              <w:top w:val="none" w:sz="0"/>
              <w:left w:val="none" w:sz="0"/>
              <w:bottom w:val="none" w:sz="0"/>
              <w:right w:val="none" w:sz="0"/>
            </w:tcBorders>
            <w:shd w:fill="EDEBE8" w:val="clear"/>
            <w:tcMar>
              <w:top w:type="dxa" w:w="80"/>
              <w:left w:type="dxa" w:w="140"/>
              <w:bottom w:type="dxa" w:w="80"/>
              <w:right w:type="dxa" w:w="140"/>
            </w:tcMar>
            <w:vAlign w:val="top"/>
          </w:tcPr>
          <w:p>
            <w:pPr>
              <w:spacing w:after="60"/>
            </w:pPr>
            <w:r>
              <w:rPr>
                <w:rFonts w:ascii="Arial" w:cs="Arial" w:eastAsia="Arial" w:hAnsi="Arial"/>
                <w:b/>
                <w:bCs/>
                <w:color w:val="A08D5E"/>
                <w:spacing w:val="60"/>
                <w:sz w:val="17"/>
                <w:szCs w:val="17"/>
              </w:rPr>
              <w:t xml:space="preserve">MANAGED RETIREMENT PLATFORM</w:t>
            </w:r>
          </w:p>
          <w:p>
            <w:pPr>
              <w:spacing w:after="30" w:before="30"/>
            </w:pPr>
            <w:r>
              <w:rPr>
                <w:rFonts w:ascii="Arial" w:cs="Arial" w:eastAsia="Arial" w:hAnsi="Arial"/>
                <w:color w:val="A08D5E"/>
                <w:sz w:val="16"/>
                <w:szCs w:val="16"/>
              </w:rPr>
              <w:t xml:space="preserve">✓  </w:t>
            </w:r>
            <w:r>
              <w:rPr>
                <w:rFonts w:ascii="Arial" w:cs="Arial" w:eastAsia="Arial" w:hAnsi="Arial"/>
                <w:color w:val="333333"/>
                <w:sz w:val="17"/>
                <w:szCs w:val="17"/>
              </w:rPr>
              <w:t xml:space="preserve">You choose which assets fund your pension payments.</w:t>
            </w:r>
          </w:p>
          <w:p>
            <w:pPr>
              <w:spacing w:after="30" w:before="30"/>
            </w:pPr>
            <w:r>
              <w:rPr>
                <w:rFonts w:ascii="Arial" w:cs="Arial" w:eastAsia="Arial" w:hAnsi="Arial"/>
                <w:color w:val="A08D5E"/>
                <w:sz w:val="16"/>
                <w:szCs w:val="16"/>
              </w:rPr>
              <w:t xml:space="preserve">✓  </w:t>
            </w:r>
            <w:r>
              <w:rPr>
                <w:rFonts w:ascii="Arial" w:cs="Arial" w:eastAsia="Arial" w:hAnsi="Arial"/>
                <w:color w:val="333333"/>
                <w:sz w:val="17"/>
                <w:szCs w:val="17"/>
              </w:rPr>
              <w:t xml:space="preserve">Dedicated cash and defensive holdings for short-term spending.</w:t>
            </w:r>
          </w:p>
          <w:p>
            <w:pPr>
              <w:spacing w:after="30" w:before="30"/>
            </w:pPr>
            <w:r>
              <w:rPr>
                <w:rFonts w:ascii="Arial" w:cs="Arial" w:eastAsia="Arial" w:hAnsi="Arial"/>
                <w:color w:val="A08D5E"/>
                <w:sz w:val="16"/>
                <w:szCs w:val="16"/>
              </w:rPr>
              <w:t xml:space="preserve">✓  </w:t>
            </w:r>
            <w:r>
              <w:rPr>
                <w:rFonts w:ascii="Arial" w:cs="Arial" w:eastAsia="Arial" w:hAnsi="Arial"/>
                <w:color w:val="333333"/>
                <w:sz w:val="17"/>
                <w:szCs w:val="17"/>
              </w:rPr>
              <w:t xml:space="preserve">Precise allocation tailored to your situation.</w:t>
            </w:r>
          </w:p>
          <w:p>
            <w:pPr>
              <w:spacing w:after="30" w:before="30"/>
            </w:pPr>
            <w:r>
              <w:rPr>
                <w:rFonts w:ascii="Arial" w:cs="Arial" w:eastAsia="Arial" w:hAnsi="Arial"/>
                <w:color w:val="A08D5E"/>
                <w:sz w:val="16"/>
                <w:szCs w:val="16"/>
              </w:rPr>
              <w:t xml:space="preserve">✓  </w:t>
            </w:r>
            <w:r>
              <w:rPr>
                <w:rFonts w:ascii="Arial" w:cs="Arial" w:eastAsia="Arial" w:hAnsi="Arial"/>
                <w:color w:val="333333"/>
                <w:sz w:val="17"/>
                <w:szCs w:val="17"/>
              </w:rPr>
              <w:t xml:space="preserve">Deliberate drawdown order — defensive first during downturns.</w:t>
            </w:r>
          </w:p>
          <w:p>
            <w:pPr>
              <w:spacing w:after="30" w:before="30"/>
            </w:pPr>
            <w:r>
              <w:rPr>
                <w:rFonts w:ascii="Arial" w:cs="Arial" w:eastAsia="Arial" w:hAnsi="Arial"/>
                <w:color w:val="A08D5E"/>
                <w:sz w:val="16"/>
                <w:szCs w:val="16"/>
              </w:rPr>
              <w:t xml:space="preserve">✓  </w:t>
            </w:r>
            <w:r>
              <w:rPr>
                <w:rFonts w:ascii="Arial" w:cs="Arial" w:eastAsia="Arial" w:hAnsi="Arial"/>
                <w:color w:val="333333"/>
                <w:sz w:val="17"/>
                <w:szCs w:val="17"/>
              </w:rPr>
              <w:t xml:space="preserve">One dashboard across all super, pension, and investments.</w:t>
            </w:r>
          </w:p>
          <w:p>
            <w:pPr>
              <w:spacing w:after="30" w:before="30"/>
            </w:pPr>
            <w:r>
              <w:rPr>
                <w:rFonts w:ascii="Arial" w:cs="Arial" w:eastAsia="Arial" w:hAnsi="Arial"/>
                <w:color w:val="A08D5E"/>
                <w:sz w:val="16"/>
                <w:szCs w:val="16"/>
              </w:rPr>
              <w:t xml:space="preserve">✓  </w:t>
            </w:r>
            <w:r>
              <w:rPr>
                <w:rFonts w:ascii="Arial" w:cs="Arial" w:eastAsia="Arial" w:hAnsi="Arial"/>
                <w:color w:val="333333"/>
                <w:sz w:val="17"/>
                <w:szCs w:val="17"/>
              </w:rPr>
              <w:t xml:space="preserve">Easier to coordinate Centrelink, tax, and estate planning.</w:t>
            </w:r>
          </w:p>
        </w:tc>
      </w:tr>
    </w:tbl>
    <w:p>
      <w:pPr>
        <w:spacing w:after="0" w:before="200"/>
      </w:pPr>
    </w:p>
    <w:p>
      <w:pPr>
        <w:pBdr>
          <w:left w:val="single" w:color="A08D5E" w:sz="6" w:space="8"/>
        </w:pBdr>
        <w:spacing w:after="140" w:before="140"/>
        <w:ind w:left="300"/>
      </w:pPr>
      <w:r>
        <w:rPr>
          <w:rFonts w:ascii="Arial" w:cs="Arial" w:eastAsia="Arial" w:hAnsi="Arial"/>
          <w:i/>
          <w:iCs/>
          <w:color w:val="666666"/>
          <w:sz w:val="20"/>
          <w:szCs w:val="20"/>
        </w:rPr>
        <w:t xml:space="preserve">This is not a criticism of your current fund. Many are excellent for accumulation. The difference in retirement is structural — how withdrawals are funded, how liquidity is managed, and how precisely your strategy can be adjusted as life changes.</w:t>
      </w:r>
    </w:p>
    <w:p>
      <w:pPr>
        <w:spacing w:after="0" w:before="200"/>
      </w:pPr>
    </w:p>
    <w:p>
      <w:pPr>
        <w:spacing w:after="60" w:before="60"/>
        <w:jc w:val="left"/>
      </w:pPr>
      <w:r>
        <w:rPr>
          <w:rFonts w:ascii="Arial" w:cs="Arial" w:eastAsia="Arial" w:hAnsi="Arial"/>
          <w:b w:val="false"/>
          <w:bCs w:val="false"/>
          <w:i w:val="false"/>
          <w:iCs w:val="false"/>
          <w:color w:val="333333"/>
          <w:sz w:val="20"/>
          <w:szCs w:val="20"/>
        </w:rPr>
        <w:t xml:space="preserve">Your assets remain yours throughout. They’re held by an independent custodian on your behalf, recorded to your account, and visible to you at all times. You retain ownership, you can view what you own, and you can instruct changes. If you ever change advisers or choose to self-manage, your account and holdings remain.</w:t>
      </w:r>
    </w:p>
    <w:p>
      <w:r>
        <w:br w:type="page"/>
      </w:r>
    </w:p>
    <w:p>
      <w:pPr>
        <w:spacing w:after="100" w:before="360"/>
      </w:pPr>
      <w:r>
        <w:rPr>
          <w:rFonts w:ascii="Arial" w:cs="Arial" w:eastAsia="Arial" w:hAnsi="Arial"/>
          <w:b/>
          <w:bCs/>
          <w:color w:val="A08D5E"/>
          <w:spacing w:val="80"/>
          <w:sz w:val="20"/>
          <w:szCs w:val="20"/>
        </w:rPr>
        <w:t xml:space="preserve">WHAT THIS MEANS DAY TO DAY</w:t>
      </w:r>
    </w:p>
    <w:p>
      <w:pPr>
        <w:spacing w:after="60" w:before="60"/>
        <w:jc w:val="left"/>
      </w:pPr>
      <w:r>
        <w:rPr>
          <w:rFonts w:ascii="Arial" w:cs="Arial" w:eastAsia="Arial" w:hAnsi="Arial"/>
          <w:b w:val="false"/>
          <w:bCs w:val="false"/>
          <w:i w:val="false"/>
          <w:iCs w:val="false"/>
          <w:color w:val="333333"/>
          <w:sz w:val="20"/>
          <w:szCs w:val="20"/>
        </w:rPr>
        <w:t xml:space="preserve">Beyond the investment structure, consolidation creates practical advantages you’ll notice in how your retirement is managed:</w:t>
      </w:r>
    </w:p>
    <w:p>
      <w:pPr>
        <w:spacing w:after="0" w:before="100"/>
      </w:pPr>
    </w:p>
    <w:p>
      <w:pPr>
        <w:spacing w:after="60" w:before="60"/>
        <w:jc w:val="left"/>
      </w:pPr>
      <w:r>
        <w:rPr>
          <w:rFonts w:ascii="Arial" w:cs="Arial" w:eastAsia="Arial" w:hAnsi="Arial"/>
          <w:b/>
          <w:bCs/>
          <w:color w:val="1A1A1A"/>
          <w:sz w:val="20"/>
          <w:szCs w:val="20"/>
        </w:rPr>
        <w:t xml:space="preserve">One view of everything. </w:t>
      </w:r>
      <w:r>
        <w:rPr>
          <w:rFonts w:ascii="Arial" w:cs="Arial" w:eastAsia="Arial" w:hAnsi="Arial"/>
          <w:color w:val="333333"/>
          <w:sz w:val="20"/>
          <w:szCs w:val="20"/>
        </w:rPr>
        <w:t xml:space="preserve">Instead of logging into multiple platforms and chasing separate statements, your total position — super, pension, investments — is visible in one dashboard.</w:t>
      </w:r>
    </w:p>
    <w:p>
      <w:pPr>
        <w:spacing w:after="60" w:before="60"/>
        <w:jc w:val="left"/>
      </w:pPr>
      <w:r>
        <w:rPr>
          <w:rFonts w:ascii="Arial" w:cs="Arial" w:eastAsia="Arial" w:hAnsi="Arial"/>
          <w:b/>
          <w:bCs/>
          <w:color w:val="1A1A1A"/>
          <w:sz w:val="20"/>
          <w:szCs w:val="20"/>
        </w:rPr>
        <w:t xml:space="preserve">Cashflow coordination. </w:t>
      </w:r>
      <w:r>
        <w:rPr>
          <w:rFonts w:ascii="Arial" w:cs="Arial" w:eastAsia="Arial" w:hAnsi="Arial"/>
          <w:color w:val="333333"/>
          <w:sz w:val="20"/>
          <w:szCs w:val="20"/>
        </w:rPr>
        <w:t xml:space="preserve">Pension payments, lump sums, and irregular expenses — travel, car, renovations, medical — are planned and funded from the right part of the portfolio.</w:t>
      </w:r>
    </w:p>
    <w:p>
      <w:pPr>
        <w:spacing w:after="60" w:before="60"/>
        <w:jc w:val="left"/>
      </w:pPr>
      <w:r>
        <w:rPr>
          <w:rFonts w:ascii="Arial" w:cs="Arial" w:eastAsia="Arial" w:hAnsi="Arial"/>
          <w:b/>
          <w:bCs/>
          <w:color w:val="1A1A1A"/>
          <w:sz w:val="20"/>
          <w:szCs w:val="20"/>
        </w:rPr>
        <w:t xml:space="preserve">Fewer moving parts. </w:t>
      </w:r>
      <w:r>
        <w:rPr>
          <w:rFonts w:ascii="Arial" w:cs="Arial" w:eastAsia="Arial" w:hAnsi="Arial"/>
          <w:color w:val="333333"/>
          <w:sz w:val="20"/>
          <w:szCs w:val="20"/>
        </w:rPr>
        <w:t xml:space="preserve">One set of statements, one valuation basis, one implementation process. Less chance of overlapping exposures, unintentional risk, or forgotten accounts.</w:t>
      </w:r>
    </w:p>
    <w:p>
      <w:pPr>
        <w:spacing w:after="60" w:before="60"/>
        <w:jc w:val="left"/>
      </w:pPr>
      <w:r>
        <w:rPr>
          <w:rFonts w:ascii="Arial" w:cs="Arial" w:eastAsia="Arial" w:hAnsi="Arial"/>
          <w:b/>
          <w:bCs/>
          <w:color w:val="1A1A1A"/>
          <w:sz w:val="20"/>
          <w:szCs w:val="20"/>
        </w:rPr>
        <w:t xml:space="preserve">Better coordination. </w:t>
      </w:r>
      <w:r>
        <w:rPr>
          <w:rFonts w:ascii="Arial" w:cs="Arial" w:eastAsia="Arial" w:hAnsi="Arial"/>
          <w:color w:val="333333"/>
          <w:sz w:val="20"/>
          <w:szCs w:val="20"/>
        </w:rPr>
        <w:t xml:space="preserve">Easier to work with your accountant and solicitor, clearer Centrelink reporting, and simpler administration if aged care or estate matters arise.</w:t>
      </w:r>
    </w:p>
    <w:p>
      <w:pPr>
        <w:spacing w:after="60" w:before="60"/>
        <w:jc w:val="left"/>
      </w:pPr>
      <w:r>
        <w:rPr>
          <w:rFonts w:ascii="Arial" w:cs="Arial" w:eastAsia="Arial" w:hAnsi="Arial"/>
          <w:b/>
          <w:bCs/>
          <w:color w:val="1A1A1A"/>
          <w:sz w:val="20"/>
          <w:szCs w:val="20"/>
        </w:rPr>
        <w:t xml:space="preserve">Faster execution. </w:t>
      </w:r>
      <w:r>
        <w:rPr>
          <w:rFonts w:ascii="Arial" w:cs="Arial" w:eastAsia="Arial" w:hAnsi="Arial"/>
          <w:color w:val="333333"/>
          <w:sz w:val="20"/>
          <w:szCs w:val="20"/>
        </w:rPr>
        <w:t xml:space="preserve">Changes to income amounts, bank accounts, or investment weights can usually be implemented more quickly than across multiple providers.</w:t>
      </w:r>
    </w:p>
    <w:p>
      <w:pPr>
        <w:spacing w:after="60" w:before="60"/>
        <w:jc w:val="left"/>
      </w:pPr>
      <w:r>
        <w:rPr>
          <w:rFonts w:ascii="Arial" w:cs="Arial" w:eastAsia="Arial" w:hAnsi="Arial"/>
          <w:b/>
          <w:bCs/>
          <w:color w:val="1A1A1A"/>
          <w:sz w:val="20"/>
          <w:szCs w:val="20"/>
        </w:rPr>
        <w:t xml:space="preserve">Estate simplicity. </w:t>
      </w:r>
      <w:r>
        <w:rPr>
          <w:rFonts w:ascii="Arial" w:cs="Arial" w:eastAsia="Arial" w:hAnsi="Arial"/>
          <w:color w:val="333333"/>
          <w:sz w:val="20"/>
          <w:szCs w:val="20"/>
        </w:rPr>
        <w:t xml:space="preserve">Fewer institutions to contact, clearer beneficiary nominations, and more deliberate planning around superannuation components and tax for your beneficiaries.</w:t>
      </w:r>
    </w:p>
    <w:p>
      <w:pPr>
        <w:spacing w:after="0" w:before="200"/>
      </w:pPr>
    </w:p>
    <w:p>
      <w:pPr>
        <w:pBdr>
          <w:left w:val="single" w:color="A08D5E" w:sz="6" w:space="8"/>
        </w:pBdr>
        <w:spacing w:after="140" w:before="140"/>
        <w:ind w:left="300"/>
      </w:pPr>
      <w:r>
        <w:rPr>
          <w:rFonts w:ascii="Arial" w:cs="Arial" w:eastAsia="Arial" w:hAnsi="Arial"/>
          <w:i/>
          <w:iCs/>
          <w:color w:val="666666"/>
          <w:sz w:val="20"/>
          <w:szCs w:val="20"/>
        </w:rPr>
        <w:t xml:space="preserve">Your portfolio is managed through a consolidated investment platform, giving you a single dashboard to see everything in one place. We monitor it continuously and report to you at every review.</w:t>
      </w:r>
    </w:p>
    <w:p>
      <w:pPr>
        <w:spacing w:after="0" w:before="60"/>
      </w:pPr>
    </w:p>
    <w:p>
      <w:pPr>
        <w:spacing w:after="60" w:before="60"/>
        <w:jc w:val="left"/>
      </w:pPr>
      <w:r>
        <w:rPr>
          <w:rFonts w:ascii="Arial" w:cs="Arial" w:eastAsia="Arial" w:hAnsi="Arial"/>
          <w:b w:val="false"/>
          <w:bCs w:val="false"/>
          <w:i/>
          <w:iCs/>
          <w:color w:val="666666"/>
          <w:sz w:val="20"/>
          <w:szCs w:val="20"/>
        </w:rPr>
        <w:t xml:space="preserve">Your Statement of Advice will confirm the specific investments, allocations, platform, and costs recommended for your situation.</w:t>
      </w:r>
    </w:p>
    <w:p>
      <w:pPr>
        <w:spacing w:after="0" w:before="400"/>
      </w:pPr>
    </w:p>
    <w:p>
      <w:pPr>
        <w:pBdr>
          <w:bottom w:val="single" w:color="D4D0CB" w:sz="1" w:space="6"/>
        </w:pBdr>
        <w:spacing w:after="160" w:before="160"/>
      </w:pPr>
    </w:p>
    <w:p>
      <w:pPr>
        <w:spacing w:after="40" w:before="40"/>
      </w:pPr>
      <w:r>
        <w:rPr>
          <w:rFonts w:ascii="Arial" w:cs="Arial" w:eastAsia="Arial" w:hAnsi="Arial"/>
          <w:color w:val="999999"/>
          <w:sz w:val="15"/>
          <w:szCs w:val="15"/>
        </w:rPr>
        <w:t xml:space="preserve">Prime Years Financial Services Pty Ltd  |  AFSL 559807  |  ABN 47 677 377 543</w:t>
      </w:r>
    </w:p>
    <w:p>
      <w:pPr>
        <w:spacing w:after="20" w:before="20"/>
      </w:pPr>
      <w:r>
        <w:rPr>
          <w:rFonts w:ascii="Arial" w:cs="Arial" w:eastAsia="Arial" w:hAnsi="Arial"/>
          <w:color w:val="A08D5E"/>
          <w:sz w:val="15"/>
          <w:szCs w:val="15"/>
        </w:rPr>
        <w:t xml:space="preserve">Independent  •  No Bank Ownership  •  No Commissions</w:t>
      </w:r>
    </w:p>
    <w:p>
      <w:pPr>
        <w:spacing w:after="0" w:before="60"/>
      </w:pPr>
    </w:p>
    <w:p>
      <w:pPr>
        <w:spacing w:after="60" w:before="60"/>
        <w:jc w:val="left"/>
      </w:pPr>
      <w:r>
        <w:rPr>
          <w:rFonts w:ascii="Arial" w:cs="Arial" w:eastAsia="Arial" w:hAnsi="Arial"/>
          <w:b w:val="false"/>
          <w:bCs w:val="false"/>
          <w:i/>
          <w:iCs/>
          <w:color w:val="999999"/>
          <w:sz w:val="15"/>
          <w:szCs w:val="15"/>
        </w:rPr>
        <w:t xml:space="preserve">This document is general in nature and does not constitute personal financial advice. Your specific investment strategy will be detailed in your Statement of Advice.</w:t>
      </w:r>
    </w:p>
    <w:sectPr>
      <w:headerReference w:type="default" r:id="rId11"/>
      <w:footerReference w:type="default" r:id="rId12"/>
      <w:pgSz w:w="11906" w:h="16838" w:orient="portrait"/>
      <w:pgMar w:top="1440" w:right="1134" w:bottom="1080"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4D0CB" w:sz="1" w:space="6"/>
      </w:pBdr>
      <w:jc w:val="center"/>
    </w:pPr>
    <w:r>
      <w:rPr>
        <w:rFonts w:ascii="Arial" w:cs="Arial" w:eastAsia="Arial" w:hAnsi="Arial"/>
        <w:color w:val="999999"/>
        <w:sz w:val="13"/>
        <w:szCs w:val="13"/>
      </w:rPr>
      <w:t xml:space="preserve">Prime Years Financial Services  |  AFSL 559807  |  </w:t>
    </w:r>
    <w:r>
      <w:rPr>
        <w:rFonts w:ascii="Arial" w:cs="Arial" w:eastAsia="Arial" w:hAnsi="Arial"/>
        <w:color w:val="999999"/>
        <w:sz w:val="13"/>
        <w:szCs w:val="13"/>
      </w:rPr>
      <w:t xml:space="preserve">Page </w:t>
    </w:r>
    <w:r>
      <w:rPr>
        <w:rFonts w:ascii="Arial" w:cs="Arial" w:eastAsia="Arial" w:hAnsi="Arial"/>
        <w:color w:val="999999"/>
        <w:sz w:val="13"/>
        <w:szCs w:val="13"/>
      </w:rPr>
      <w:fldChar w:fldCharType="begin"/>
      <w:instrText xml:space="preserve">PAGE</w:instrText>
      <w:fldChar w:fldCharType="separate"/>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4D0CB" w:sz="1" w:space="6"/>
      </w:pBdr>
      <w:jc w:val="center"/>
    </w:pPr>
    <w:r>
      <w:rPr>
        <w:rFonts w:ascii="Arial" w:cs="Arial" w:eastAsia="Arial" w:hAnsi="Arial"/>
        <w:color w:val="999999"/>
        <w:sz w:val="13"/>
        <w:szCs w:val="13"/>
      </w:rPr>
      <w:t xml:space="preserve">Prime Years Financial Services  |  AFSL 559807  |  </w:t>
    </w:r>
    <w:r>
      <w:rPr>
        <w:rFonts w:ascii="Arial" w:cs="Arial" w:eastAsia="Arial" w:hAnsi="Arial"/>
        <w:color w:val="999999"/>
        <w:sz w:val="13"/>
        <w:szCs w:val="13"/>
      </w:rPr>
      <w:t xml:space="preserve">Page </w:t>
    </w:r>
    <w:r>
      <w:rPr>
        <w:rFonts w:ascii="Arial" w:cs="Arial" w:eastAsia="Arial" w:hAnsi="Arial"/>
        <w:color w:val="999999"/>
        <w:sz w:val="13"/>
        <w:szCs w:val="13"/>
      </w:rPr>
      <w:fldChar w:fldCharType="begin"/>
      <w:instrText xml:space="preserve">PAGE</w:instrText>
      <w:fldChar w:fldCharType="separate"/>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4D0CB" w:sz="1" w:space="6"/>
      </w:pBdr>
      <w:jc w:val="center"/>
    </w:pPr>
    <w:r>
      <w:rPr>
        <w:rFonts w:ascii="Arial" w:cs="Arial" w:eastAsia="Arial" w:hAnsi="Arial"/>
        <w:color w:val="999999"/>
        <w:sz w:val="13"/>
        <w:szCs w:val="13"/>
      </w:rPr>
      <w:t xml:space="preserve">Prime Years Financial Services  |  AFSL 559807  |  </w:t>
    </w:r>
    <w:r>
      <w:rPr>
        <w:rFonts w:ascii="Arial" w:cs="Arial" w:eastAsia="Arial" w:hAnsi="Arial"/>
        <w:color w:val="999999"/>
        <w:sz w:val="13"/>
        <w:szCs w:val="13"/>
      </w:rPr>
      <w:t xml:space="preserve">Page </w:t>
    </w:r>
    <w:r>
      <w:rPr>
        <w:rFonts w:ascii="Arial" w:cs="Arial" w:eastAsia="Arial" w:hAnsi="Arial"/>
        <w:color w:val="999999"/>
        <w:sz w:val="13"/>
        <w:szCs w:val="13"/>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999999"/>
        <w:spacing w:val="60"/>
        <w:sz w:val="13"/>
        <w:szCs w:val="13"/>
      </w:rPr>
      <w:t xml:space="preserve">PRIME YEARS  •  INVESTMENT PHILOSOPHY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999999"/>
        <w:spacing w:val="60"/>
        <w:sz w:val="13"/>
        <w:szCs w:val="13"/>
      </w:rPr>
      <w:t xml:space="preserve">PRIME YEARS  •  INVESTMENT PHILOSOPHY</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999999"/>
        <w:spacing w:val="60"/>
        <w:sz w:val="13"/>
        <w:szCs w:val="13"/>
      </w:rPr>
      <w:t xml:space="preserve">PRIME YEARS  •  INVESTMENT PHILOSOPHY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333333"/>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header" Target="header2.xml"/><Relationship Id="rId10" Type="http://schemas.openxmlformats.org/officeDocument/2006/relationships/footer" Target="footer2.xml"/><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image" Target="media/5fb158dc7222a181c6bc9a04acd49db299a260fb.png"/><Relationship Id="rId14"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er2.xml.rels><?xml version="1.0" encoding="UTF-8"?><Relationships xmlns="http://schemas.openxmlformats.org/package/2006/relationships"/>
</file>

<file path=word/_rels/footer3.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word/_rels/header2.xml.rels><?xml version="1.0" encoding="UTF-8"?><Relationships xmlns="http://schemas.openxmlformats.org/package/2006/relationships"/>
</file>

<file path=word/_rels/header3.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2026-03-05T01:44:24.952Z</dcterms:created>
  <dcterms:modified xsi:type="dcterms:W3CDTF">2026-03-05T01:44:24.953Z</dcterms:modified>
</cp:coreProperties>
</file>

<file path=docProps/custom.xml><?xml version="1.0" encoding="utf-8"?>
<Properties xmlns="http://schemas.openxmlformats.org/officeDocument/2006/custom-properties" xmlns:vt="http://schemas.openxmlformats.org/officeDocument/2006/docPropsVTypes"/>
</file>