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t>Authority clarification conversation guide</w:t>
      </w:r>
    </w:p>
    <w:p>
      <w:r>
        <w:rPr>
          <w:b/>
        </w:rPr>
        <w:t>Module 2 — Governance and Accountability</w:t>
        <w:br/>
      </w:r>
      <w:r>
        <w:t>Section 2 — Oversight structure and reporting lines</w:t>
        <w:br/>
      </w:r>
      <w:r>
        <w:t>Prepared for Adolbi Care — Behavioral Health Center at Cypress</w:t>
        <w:br/>
      </w:r>
      <w:r>
        <w:t>Authored by AMOS I</w:t>
      </w:r>
    </w:p>
    <w:p>
      <w:pPr>
        <w:pStyle w:val="Heading1"/>
        <w:shd w:fill="156082" w:val="clear"/>
      </w:pPr>
      <w:r>
        <w:t>Document purpose</w:t>
      </w:r>
    </w:p>
    <w:p>
      <w:r>
        <w:t>This structured worksheet helps supervisors and staff review delegated authority together so expectations are clarified before uncertainty or overreach develops.</w:t>
      </w:r>
    </w:p>
    <w:p>
      <w:r>
        <w:t>It is best used during onboarding, role transition, or coaching conversations where a learner needs explicit guidance about decision boundaries and escalation routes.</w:t>
      </w:r>
    </w:p>
    <w:p>
      <w:pPr>
        <w:pStyle w:val="Heading1"/>
        <w:shd w:fill="156082" w:val="clear"/>
      </w:pPr>
      <w:r>
        <w:t>Section context</w:t>
      </w:r>
    </w:p>
    <w:p>
      <w:r>
        <w:t>This section teaches how authority, supervision, and reporting should move through the organization so staff know where direction comes from and where concerns should go.</w:t>
      </w:r>
    </w:p>
    <w:p>
      <w:r>
        <w:t>Build a practical understanding of how executive, program, site, and frontline responsibilities connect through supervision and reporting relationships.</w:t>
      </w:r>
    </w:p>
    <w:p>
      <w:pPr>
        <w:pStyle w:val="Heading2"/>
        <w:shd w:fill="C1E4F5" w:val="clear"/>
      </w:pPr>
      <w:r>
        <w:t>Why this section matters</w:t>
      </w:r>
    </w:p>
    <w:p>
      <w:r>
        <w:t>A governance system works only when reporting lines are clear. Staff need to know who provides direction, who supervises performance, who receives reports, and who has authority to act when issues exceed local discretion.</w:t>
      </w:r>
    </w:p>
    <w:p>
      <w:r>
        <w:t>The real lesson is not memorizing an organization chart in isolation. The lesson is learning how authority flows into the work and how leaders translate direction into monitoring, expectations, and follow-through.</w:t>
      </w:r>
    </w:p>
    <w:p>
      <w:r>
        <w:t>Clear reporting lines protect staff because they make it easier to ask for clarification, route concerns correctly, seek decisions, and avoid acting outside delegated authority.</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Know the source of direction</w:t>
            </w:r>
          </w:p>
        </w:tc>
        <w:tc>
          <w:tcPr>
            <w:tcW w:type="dxa" w:w="4680"/>
          </w:tcPr>
          <w:p>
            <w:pPr>
              <w:spacing w:after="120"/>
            </w:pPr>
            <w:r>
              <w:t>Identify where priorities, standards, and approvals originate so staff do not rely on assumptions or informal signals.</w:t>
            </w:r>
          </w:p>
        </w:tc>
      </w:tr>
      <w:tr>
        <w:tc>
          <w:tcPr>
            <w:tcW w:type="dxa" w:w="4680"/>
          </w:tcPr>
          <w:p>
            <w:pPr>
              <w:spacing w:after="120"/>
            </w:pPr>
            <w:r>
              <w:t>Understand supervision</w:t>
            </w:r>
          </w:p>
        </w:tc>
        <w:tc>
          <w:tcPr>
            <w:tcW w:type="dxa" w:w="4680"/>
          </w:tcPr>
          <w:p>
            <w:pPr>
              <w:spacing w:after="120"/>
            </w:pPr>
            <w:r>
              <w:t>Recognize which leaders monitor performance, provide coaching, and receive reports on operations or concerns.</w:t>
            </w:r>
          </w:p>
        </w:tc>
      </w:tr>
      <w:tr>
        <w:tc>
          <w:tcPr>
            <w:tcW w:type="dxa" w:w="4680"/>
          </w:tcPr>
          <w:p>
            <w:pPr>
              <w:spacing w:after="120"/>
            </w:pPr>
            <w:r>
              <w:t>Route concerns correctly</w:t>
            </w:r>
          </w:p>
        </w:tc>
        <w:tc>
          <w:tcPr>
            <w:tcW w:type="dxa" w:w="4680"/>
          </w:tcPr>
          <w:p>
            <w:pPr>
              <w:spacing w:after="120"/>
            </w:pPr>
            <w:r>
              <w:t>Use the appropriate reporting path for operational, clinical, safety, or compliance issues instead of bypassing structure.</w:t>
            </w:r>
          </w:p>
        </w:tc>
      </w:tr>
      <w:tr>
        <w:tc>
          <w:tcPr>
            <w:tcW w:type="dxa" w:w="4680"/>
          </w:tcPr>
          <w:p>
            <w:pPr>
              <w:spacing w:after="120"/>
            </w:pPr>
            <w:r>
              <w:t>Protect delegated authority</w:t>
            </w:r>
          </w:p>
        </w:tc>
        <w:tc>
          <w:tcPr>
            <w:tcW w:type="dxa" w:w="4680"/>
          </w:tcPr>
          <w:p>
            <w:pPr>
              <w:spacing w:after="120"/>
            </w:pPr>
            <w:r>
              <w:t>Act confidently within assigned responsibilities while escalating matters that require higher review or approval.</w:t>
            </w:r>
          </w:p>
        </w:tc>
      </w:tr>
    </w:tbl>
    <w:p>
      <w:pPr>
        <w:pStyle w:val="Heading2"/>
        <w:shd w:fill="C1E4F5" w:val="clear"/>
      </w:pPr>
      <w:r>
        <w:t>Key reminders</w:t>
      </w:r>
    </w:p>
    <w:p>
      <w:pPr>
        <w:pStyle w:val="ListBullet"/>
        <w:spacing w:after="120"/>
        <w:ind w:left="720" w:hanging="360"/>
      </w:pPr>
      <w:r>
        <w:t>Clarity about authority prevents delay, duplication, and miscommunication.</w:t>
      </w:r>
    </w:p>
    <w:p>
      <w:pPr>
        <w:pStyle w:val="ListBullet"/>
        <w:spacing w:after="120"/>
        <w:ind w:left="720" w:hanging="360"/>
      </w:pPr>
      <w:r>
        <w:t>Supervision is part of safe operations, not an optional add-on to the work.</w:t>
      </w:r>
    </w:p>
    <w:p>
      <w:pPr>
        <w:pStyle w:val="ListBullet"/>
        <w:spacing w:after="120"/>
        <w:ind w:left="720" w:hanging="360"/>
      </w:pPr>
      <w:r>
        <w:t>Correct reporting protects both the staff member and the organization when conditions become uncertain.</w:t>
      </w:r>
    </w:p>
    <w:p>
      <w:r>
        <w:t>Staff should not have to improvise the path for serious decisions or concerns. Good governance provides a visible route for information, approval, and accountability.</w:t>
      </w:r>
    </w:p>
    <w:p>
      <w:pPr>
        <w:pStyle w:val="Heading1"/>
        <w:shd w:fill="156082" w:val="clear"/>
      </w:pPr>
      <w:r>
        <w:t>Instructions</w:t>
      </w:r>
    </w:p>
    <w:p>
      <w:pPr>
        <w:pStyle w:val="ListBullet"/>
        <w:spacing w:after="120"/>
        <w:ind w:left="720" w:hanging="360"/>
      </w:pPr>
      <w:r>
        <w:t>Complete the delegated-authority table together, using concrete work examples rather than broad statements.</w:t>
      </w:r>
    </w:p>
    <w:p>
      <w:pPr>
        <w:pStyle w:val="ListBullet"/>
        <w:spacing w:after="120"/>
        <w:ind w:left="720" w:hanging="360"/>
      </w:pPr>
      <w:r>
        <w:t>Identify at least two situations that require escalation even if the staff member feels capable of acting independently.</w:t>
      </w:r>
    </w:p>
    <w:p>
      <w:pPr>
        <w:pStyle w:val="ListBullet"/>
        <w:spacing w:after="120"/>
        <w:ind w:left="720" w:hanging="360"/>
      </w:pPr>
      <w:r>
        <w:t>Agree on the preferred route for urgent concerns, routine questions, and after-hours uncertainty.</w:t>
      </w:r>
    </w:p>
    <w:p>
      <w:pPr>
        <w:pStyle w:val="Heading1"/>
        <w:shd w:fill="156082" w:val="clear"/>
      </w:pPr>
      <w:r>
        <w:t>Worksheet and record fields</w:t>
      </w:r>
    </w:p>
    <w:p>
      <w:pPr>
        <w:pStyle w:val="Heading3"/>
      </w:pPr>
      <w:r>
        <w:t>Delegated authority review</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Task or decision area</w:t>
            </w:r>
          </w:p>
        </w:tc>
        <w:tc>
          <w:tcPr>
            <w:tcW w:type="dxa" w:w="3120"/>
            <w:shd w:fill="0A2F40" w:val="clear"/>
          </w:tcPr>
          <w:p>
            <w:r>
              <w:rPr>
                <w:rFonts w:ascii="Aptos" w:hAnsi="Aptos"/>
                <w:b/>
                <w:color w:val="FFFFFF"/>
                <w:sz w:val="18"/>
              </w:rPr>
              <w:t>Can the learner act independently?</w:t>
            </w:r>
          </w:p>
        </w:tc>
        <w:tc>
          <w:tcPr>
            <w:tcW w:type="dxa" w:w="3120"/>
            <w:shd w:fill="0A2F40" w:val="clear"/>
          </w:tcPr>
          <w:p>
            <w:r>
              <w:rPr>
                <w:rFonts w:ascii="Aptos" w:hAnsi="Aptos"/>
                <w:b/>
                <w:color w:val="FFFFFF"/>
                <w:sz w:val="18"/>
              </w:rPr>
              <w:t>If not, who must be consulted or informed?</w:t>
            </w:r>
          </w:p>
        </w:tc>
      </w:tr>
      <w:tr>
        <w:tc>
          <w:tcPr>
            <w:tcW w:type="dxa" w:w="3120"/>
          </w:tcPr>
          <w:p>
            <w:pPr>
              <w:spacing w:after="120"/>
            </w:pPr>
            <w:r>
              <w:t>Routine shift decisions</w:t>
            </w:r>
          </w:p>
        </w:tc>
        <w:tc>
          <w:tcPr>
            <w:tcW w:type="dxa" w:w="3120"/>
          </w:tcPr>
          <w:p>
            <w:pPr>
              <w:spacing w:after="120"/>
            </w:pPr>
            <w:r/>
          </w:p>
        </w:tc>
        <w:tc>
          <w:tcPr>
            <w:tcW w:type="dxa" w:w="3120"/>
          </w:tcPr>
          <w:p>
            <w:pPr>
              <w:spacing w:after="120"/>
            </w:pPr>
            <w:r/>
          </w:p>
        </w:tc>
      </w:tr>
      <w:tr>
        <w:tc>
          <w:tcPr>
            <w:tcW w:type="dxa" w:w="3120"/>
          </w:tcPr>
          <w:p>
            <w:pPr>
              <w:spacing w:after="120"/>
            </w:pPr>
            <w:r>
              <w:t>Documentation corrections</w:t>
            </w:r>
          </w:p>
        </w:tc>
        <w:tc>
          <w:tcPr>
            <w:tcW w:type="dxa" w:w="3120"/>
          </w:tcPr>
          <w:p>
            <w:pPr>
              <w:spacing w:after="120"/>
            </w:pPr>
            <w:r/>
          </w:p>
        </w:tc>
        <w:tc>
          <w:tcPr>
            <w:tcW w:type="dxa" w:w="3120"/>
          </w:tcPr>
          <w:p>
            <w:pPr>
              <w:spacing w:after="120"/>
            </w:pPr>
            <w:r/>
          </w:p>
        </w:tc>
      </w:tr>
      <w:tr>
        <w:tc>
          <w:tcPr>
            <w:tcW w:type="dxa" w:w="3120"/>
          </w:tcPr>
          <w:p>
            <w:pPr>
              <w:spacing w:after="120"/>
            </w:pPr>
            <w:r>
              <w:t>Safety-related concern</w:t>
            </w:r>
          </w:p>
        </w:tc>
        <w:tc>
          <w:tcPr>
            <w:tcW w:type="dxa" w:w="3120"/>
          </w:tcPr>
          <w:p>
            <w:pPr>
              <w:spacing w:after="120"/>
            </w:pPr>
            <w:r/>
          </w:p>
        </w:tc>
        <w:tc>
          <w:tcPr>
            <w:tcW w:type="dxa" w:w="3120"/>
          </w:tcPr>
          <w:p>
            <w:pPr>
              <w:spacing w:after="120"/>
            </w:pPr>
            <w:r/>
          </w:p>
        </w:tc>
      </w:tr>
      <w:tr>
        <w:tc>
          <w:tcPr>
            <w:tcW w:type="dxa" w:w="3120"/>
          </w:tcPr>
          <w:p>
            <w:pPr>
              <w:spacing w:after="120"/>
            </w:pPr>
            <w:r>
              <w:t>External communication or sensitive approval</w:t>
            </w:r>
          </w:p>
        </w:tc>
        <w:tc>
          <w:tcPr>
            <w:tcW w:type="dxa" w:w="3120"/>
          </w:tcPr>
          <w:p>
            <w:pPr>
              <w:spacing w:after="120"/>
            </w:pPr>
            <w:r/>
          </w:p>
        </w:tc>
        <w:tc>
          <w:tcPr>
            <w:tcW w:type="dxa" w:w="3120"/>
          </w:tcPr>
          <w:p>
            <w:pPr>
              <w:spacing w:after="120"/>
            </w:pPr>
            <w:r/>
          </w:p>
        </w:tc>
      </w:tr>
    </w:tbl>
    <w:p>
      <w:pPr>
        <w:pStyle w:val="Heading3"/>
      </w:pPr>
      <w:r>
        <w:t>Escalation confidence check</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Question</w:t>
            </w:r>
          </w:p>
        </w:tc>
        <w:tc>
          <w:tcPr>
            <w:tcW w:type="dxa" w:w="4680"/>
            <w:shd w:fill="0A2F40" w:val="clear"/>
          </w:tcPr>
          <w:p>
            <w:r>
              <w:rPr>
                <w:rFonts w:ascii="Aptos" w:hAnsi="Aptos"/>
                <w:b/>
                <w:color w:val="FFFFFF"/>
                <w:sz w:val="18"/>
              </w:rPr>
              <w:t>Discussion notes</w:t>
            </w:r>
          </w:p>
        </w:tc>
      </w:tr>
      <w:tr>
        <w:tc>
          <w:tcPr>
            <w:tcW w:type="dxa" w:w="4680"/>
          </w:tcPr>
          <w:p>
            <w:pPr>
              <w:spacing w:after="120"/>
            </w:pPr>
            <w:r>
              <w:t>What kinds of issues should never wait until the end of a shift?</w:t>
            </w:r>
          </w:p>
        </w:tc>
        <w:tc>
          <w:tcPr>
            <w:tcW w:type="dxa" w:w="4680"/>
          </w:tcPr>
          <w:p>
            <w:pPr>
              <w:spacing w:after="120"/>
            </w:pPr>
            <w:r/>
          </w:p>
        </w:tc>
      </w:tr>
      <w:tr>
        <w:tc>
          <w:tcPr>
            <w:tcW w:type="dxa" w:w="4680"/>
          </w:tcPr>
          <w:p>
            <w:pPr>
              <w:spacing w:after="120"/>
            </w:pPr>
            <w:r>
              <w:t>What route should be used when the usual supervisor is unavailable?</w:t>
            </w:r>
          </w:p>
        </w:tc>
        <w:tc>
          <w:tcPr>
            <w:tcW w:type="dxa" w:w="4680"/>
          </w:tcPr>
          <w:p>
            <w:pPr>
              <w:spacing w:after="120"/>
            </w:pPr>
            <w:r/>
          </w:p>
        </w:tc>
      </w:tr>
      <w:tr>
        <w:tc>
          <w:tcPr>
            <w:tcW w:type="dxa" w:w="4680"/>
          </w:tcPr>
          <w:p>
            <w:pPr>
              <w:spacing w:after="120"/>
            </w:pPr>
            <w:r>
              <w:t>What would acting outside delegated authority look like in this role?</w:t>
            </w:r>
          </w:p>
        </w:tc>
        <w:tc>
          <w:tcPr>
            <w:tcW w:type="dxa" w:w="4680"/>
          </w:tcPr>
          <w:p>
            <w:pPr>
              <w:spacing w:after="120"/>
            </w:pPr>
            <w:r/>
          </w:p>
        </w:tc>
      </w:tr>
    </w:tbl>
    <w:p>
      <w:pPr>
        <w:pStyle w:val="Heading1"/>
        <w:shd w:fill="156082" w:val="clear"/>
      </w:pPr>
      <w:r>
        <w:t>Reflection and completion prompts</w:t>
      </w:r>
    </w:p>
    <w:p>
      <w:pPr>
        <w:pStyle w:val="ListBullet"/>
        <w:spacing w:after="120"/>
        <w:ind w:left="720" w:hanging="360"/>
      </w:pPr>
      <w:r>
        <w:t>Where does the learner feel least certain about reporting or approval paths?</w:t>
      </w:r>
    </w:p>
    <w:p>
      <w:pPr>
        <w:pStyle w:val="ListBullet"/>
        <w:spacing w:after="120"/>
        <w:ind w:left="720" w:hanging="360"/>
      </w:pPr>
      <w:r>
        <w:t>What examples should be reviewed again during follow-up coaching?</w:t>
      </w:r>
    </w:p>
    <w:sectPr w:rsidR="00FC693F" w:rsidRPr="0006063C" w:rsidSect="00034616">
      <w:headerReference w:type="default" r:id="rId9"/>
      <w:pgSz w:w="12240" w:h="15840"/>
      <w:pgMar w:top="1440" w:right="1440" w:bottom="1440" w:left="1440" w:header="576"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4680"/>
          <w:vAlign w:val="center"/>
        </w:tcPr>
        <w:p>
          <w:pPr>
            <w:jc w:val="left"/>
          </w:pPr>
          <w:r>
            <w:drawing>
              <wp:inline xmlns:a="http://schemas.openxmlformats.org/drawingml/2006/main" xmlns:pic="http://schemas.openxmlformats.org/drawingml/2006/picture">
                <wp:extent cx="1417320" cy="47244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17320" cy="472440"/>
                        </a:xfrm>
                        <a:prstGeom prst="rect"/>
                      </pic:spPr>
                    </pic:pic>
                  </a:graphicData>
                </a:graphic>
              </wp:inline>
            </w:drawing>
          </w:r>
        </w:p>
      </w:tc>
      <w:tc>
        <w:tcPr>
          <w:tcW w:type="dxa" w:w="4680"/>
          <w:vAlign w:val="center"/>
          <w:shd w:fill="E97132" w:val="clear"/>
        </w:tcPr>
        <w:p>
          <w:pPr>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20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Authority clarification conversation guide</dc:title>
  <dc:subject>Module 2 — Governance and Accountability — Oversight structure and reporting lines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