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Competency release discussion worksheet</w:t>
      </w:r>
    </w:p>
    <w:p>
      <w:pPr>
        <w:spacing w:before="0" w:after="200"/>
      </w:pPr>
      <w:r>
        <w:rPr>
          <w:b/>
        </w:rPr>
        <w:t>Module 7 — Competency Verification and Multi-Method Evidence</w:t>
        <w:br/>
      </w:r>
      <w:r>
        <w:t>Section 1 — Competency as a release requirement</w:t>
        <w:br/>
      </w:r>
      <w:r>
        <w:t>Prepared for Adolbi Care — Behavioral Health Center at Cypress</w:t>
        <w:br/>
      </w:r>
      <w:r>
        <w:t>Authored by AMOS I</w:t>
      </w:r>
    </w:p>
    <w:p>
      <w:pPr>
        <w:pStyle w:val="Heading1"/>
        <w:shd w:fill="156082" w:val="clear"/>
      </w:pPr>
      <w:r>
        <w:t>Document purpose</w:t>
      </w:r>
    </w:p>
    <w:p>
      <w:r>
        <w:t>This editable worksheet helps supervisors discuss what evidence is required before a learner can move from orientation completion into readiness review.</w:t>
      </w:r>
    </w:p>
    <w:p>
      <w:r>
        <w:t>Use the worksheet in supervision or facilitation sessions to define expected proof, responsible validators, and unresolved gaps before release is considered.</w:t>
      </w:r>
    </w:p>
    <w:p>
      <w:pPr>
        <w:pStyle w:val="Heading1"/>
        <w:shd w:fill="156082" w:val="clear"/>
      </w:pPr>
      <w:r>
        <w:t>Section context</w:t>
      </w:r>
    </w:p>
    <w:p>
      <w:r>
        <w:t>This opening section explains why attendance, orientation exposure, and document completion do not by themselves prove that a learner is ready for broader release into duty.</w:t>
      </w:r>
    </w:p>
    <w:p>
      <w:r>
        <w:t>Help learners and supervisors distinguish training exposure from demonstrated competency so release decisions stay evidence-based.</w:t>
      </w:r>
    </w:p>
    <w:p>
      <w:pPr>
        <w:pStyle w:val="Heading2"/>
        <w:shd w:fill="C1E4F5" w:val="clear"/>
      </w:pPr>
      <w:r>
        <w:t>Why this section matters</w:t>
      </w:r>
    </w:p>
    <w:p>
      <w:r>
        <w:t>Module 7 begins where Module 6 leaves off. Once a learner has been matched to the correct pathway and scope, the organization still needs proof that the person can perform safely, consistently, and inside the boundaries of the role they are preparing to hold.</w:t>
      </w:r>
    </w:p>
    <w:p>
      <w:r>
        <w:t>Competency matters because exposure is not the same as execution. A learner may attend orientation, review policies, and participate in discussion, yet still be unable to apply expectations accurately in resident care, documentation, escalation, or decision making. Release decisions therefore need stronger proof than presence alone.</w:t>
      </w:r>
    </w:p>
    <w:p>
      <w:r>
        <w:t>This section reframes readiness as demonstrated performance. It asks the learner and supervisor to name what must be observed, how it will be checked, and what kind of evidence should exist before a broader activation or final sign-off is considered defensible.</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Exposure starts the process</w:t>
            </w:r>
          </w:p>
        </w:tc>
        <w:tc>
          <w:tcPr>
            <w:tcW w:type="dxa" w:w="4680"/>
          </w:tcPr>
          <w:p>
            <w:pPr>
              <w:spacing w:after="120"/>
            </w:pPr>
            <w:r>
              <w:t>Reading, orientation attendance, and facilitated discussion introduce the standard, but they do not close the readiness question.</w:t>
            </w:r>
          </w:p>
        </w:tc>
      </w:tr>
      <w:tr>
        <w:tc>
          <w:tcPr>
            <w:tcW w:type="dxa" w:w="4680"/>
          </w:tcPr>
          <w:p>
            <w:pPr>
              <w:spacing w:after="120"/>
            </w:pPr>
            <w:r>
              <w:t>Competency requires demonstration</w:t>
            </w:r>
          </w:p>
        </w:tc>
        <w:tc>
          <w:tcPr>
            <w:tcW w:type="dxa" w:w="4680"/>
          </w:tcPr>
          <w:p>
            <w:pPr>
              <w:spacing w:after="120"/>
            </w:pPr>
            <w:r>
              <w:t>The learner should show the standard in action through observation, practice, scenario reasoning, or other approved evidence methods.</w:t>
            </w:r>
          </w:p>
        </w:tc>
      </w:tr>
      <w:tr>
        <w:tc>
          <w:tcPr>
            <w:tcW w:type="dxa" w:w="4680"/>
          </w:tcPr>
          <w:p>
            <w:pPr>
              <w:spacing w:after="120"/>
            </w:pPr>
            <w:r>
              <w:t>Evidence should match the role</w:t>
            </w:r>
          </w:p>
        </w:tc>
        <w:tc>
          <w:tcPr>
            <w:tcW w:type="dxa" w:w="4680"/>
          </w:tcPr>
          <w:p>
            <w:pPr>
              <w:spacing w:after="120"/>
            </w:pPr>
            <w:r>
              <w:t>Different pathways require different proof because resident-facing, supervisory, specialty, and restricted duties do not carry the same risk or decision burden.</w:t>
            </w:r>
          </w:p>
        </w:tc>
      </w:tr>
      <w:tr>
        <w:tc>
          <w:tcPr>
            <w:tcW w:type="dxa" w:w="4680"/>
          </w:tcPr>
          <w:p>
            <w:pPr>
              <w:spacing w:after="120"/>
            </w:pPr>
            <w:r>
              <w:t>Release depends on defensible proof</w:t>
            </w:r>
          </w:p>
        </w:tc>
        <w:tc>
          <w:tcPr>
            <w:tcW w:type="dxa" w:w="4680"/>
          </w:tcPr>
          <w:p>
            <w:pPr>
              <w:spacing w:after="120"/>
            </w:pPr>
            <w:r>
              <w:t>The organization should be able to explain why a learner was advanced, what evidence supported that decision, and who validated the result.</w:t>
            </w:r>
          </w:p>
        </w:tc>
      </w:tr>
    </w:tbl>
    <w:p>
      <w:pPr>
        <w:pStyle w:val="Heading2"/>
        <w:shd w:fill="C1E4F5" w:val="clear"/>
      </w:pPr>
      <w:r>
        <w:t>Key reminders</w:t>
      </w:r>
    </w:p>
    <w:p>
      <w:pPr>
        <w:pStyle w:val="ListBullet"/>
        <w:spacing w:after="120"/>
        <w:ind w:left="720" w:hanging="360"/>
      </w:pPr>
      <w:r>
        <w:t>Training attendance introduces the standard but does not prove readiness by itself.</w:t>
      </w:r>
    </w:p>
    <w:p>
      <w:pPr>
        <w:pStyle w:val="ListBullet"/>
        <w:spacing w:after="120"/>
        <w:ind w:left="720" w:hanging="360"/>
      </w:pPr>
      <w:r>
        <w:t>Competency evidence must be visible before activation expands.</w:t>
      </w:r>
    </w:p>
    <w:p>
      <w:pPr>
        <w:pStyle w:val="ListBullet"/>
        <w:spacing w:after="120"/>
        <w:ind w:left="720" w:hanging="360"/>
      </w:pPr>
      <w:r>
        <w:t>Release decisions become safer when the organization can explain both the method and the proof used to validate performance.</w:t>
      </w:r>
    </w:p>
    <w:p>
      <w:r>
        <w:t>This opening lesson sets the rule for the rest of Module 7: readiness becomes real only when the learner can demonstrate the work and the organization can show the evidence clearly.</w:t>
      </w:r>
    </w:p>
    <w:p>
      <w:pPr>
        <w:pStyle w:val="Heading1"/>
        <w:shd w:fill="156082" w:val="clear"/>
      </w:pPr>
      <w:r>
        <w:t>Instructions</w:t>
      </w:r>
    </w:p>
    <w:p>
      <w:pPr>
        <w:pStyle w:val="ListBullet"/>
        <w:spacing w:after="120"/>
        <w:ind w:left="720" w:hanging="360"/>
      </w:pPr>
      <w:r>
        <w:t>Name the role pathway and the duties the learner is expected to perform.</w:t>
      </w:r>
    </w:p>
    <w:p>
      <w:pPr>
        <w:pStyle w:val="ListBullet"/>
        <w:spacing w:after="120"/>
        <w:ind w:left="720" w:hanging="360"/>
      </w:pPr>
      <w:r>
        <w:t>List the evidence methods that will be used to verify competency for this pathway.</w:t>
      </w:r>
    </w:p>
    <w:p>
      <w:pPr>
        <w:pStyle w:val="ListBullet"/>
        <w:spacing w:after="120"/>
        <w:ind w:left="720" w:hanging="360"/>
      </w:pPr>
      <w:r>
        <w:t>Record what remains incomplete and what will block release if it is not resolved.</w:t>
      </w:r>
    </w:p>
    <w:p>
      <w:pPr>
        <w:pStyle w:val="Heading1"/>
        <w:shd w:fill="156082" w:val="clear"/>
      </w:pPr>
      <w:r>
        <w:t>Worksheet and record fields</w:t>
      </w:r>
    </w:p>
    <w:p>
      <w:pPr>
        <w:pStyle w:val="Heading3"/>
      </w:pPr>
      <w:r>
        <w:t>Competency release planning table</w:t>
      </w:r>
    </w:p>
    <w:tbl>
      <w:tblPr>
        <w:tblStyle w:val="TableGrid"/>
        <w:tblW w:type="auto" w:w="0"/>
        <w:jc w:val="left"/>
        <w:tblLook w:firstColumn="1" w:firstRow="1" w:lastColumn="0" w:lastRow="0" w:noHBand="0" w:noVBand="1" w:val="04A0"/>
      </w:tblPr>
      <w:tblGrid>
        <w:gridCol w:w="1872"/>
        <w:gridCol w:w="1872"/>
        <w:gridCol w:w="1872"/>
        <w:gridCol w:w="1872"/>
        <w:gridCol w:w="1872"/>
      </w:tblGrid>
      <w:tr>
        <w:tc>
          <w:tcPr>
            <w:tcW w:type="dxa" w:w="1872"/>
            <w:shd w:fill="0A2F40" w:val="clear"/>
          </w:tcPr>
          <w:p>
            <w:r>
              <w:rPr>
                <w:rFonts w:ascii="Aptos" w:hAnsi="Aptos"/>
                <w:b/>
                <w:color w:val="FFFFFF"/>
                <w:sz w:val="18"/>
              </w:rPr>
              <w:t>Competency area</w:t>
            </w:r>
          </w:p>
        </w:tc>
        <w:tc>
          <w:tcPr>
            <w:tcW w:type="dxa" w:w="1872"/>
            <w:shd w:fill="0A2F40" w:val="clear"/>
          </w:tcPr>
          <w:p>
            <w:r>
              <w:rPr>
                <w:rFonts w:ascii="Aptos" w:hAnsi="Aptos"/>
                <w:b/>
                <w:color w:val="FFFFFF"/>
                <w:sz w:val="18"/>
              </w:rPr>
              <w:t>Evidence required</w:t>
            </w:r>
          </w:p>
        </w:tc>
        <w:tc>
          <w:tcPr>
            <w:tcW w:type="dxa" w:w="1872"/>
            <w:shd w:fill="0A2F40" w:val="clear"/>
          </w:tcPr>
          <w:p>
            <w:r>
              <w:rPr>
                <w:rFonts w:ascii="Aptos" w:hAnsi="Aptos"/>
                <w:b/>
                <w:color w:val="FFFFFF"/>
                <w:sz w:val="18"/>
              </w:rPr>
              <w:t>Validator</w:t>
            </w:r>
          </w:p>
        </w:tc>
        <w:tc>
          <w:tcPr>
            <w:tcW w:type="dxa" w:w="1872"/>
            <w:shd w:fill="0A2F40" w:val="clear"/>
          </w:tcPr>
          <w:p>
            <w:r>
              <w:rPr>
                <w:rFonts w:ascii="Aptos" w:hAnsi="Aptos"/>
                <w:b/>
                <w:color w:val="FFFFFF"/>
                <w:sz w:val="18"/>
              </w:rPr>
              <w:t>Current gap</w:t>
            </w:r>
          </w:p>
        </w:tc>
        <w:tc>
          <w:tcPr>
            <w:tcW w:type="dxa" w:w="1872"/>
            <w:shd w:fill="0A2F40" w:val="clear"/>
          </w:tcPr>
          <w:p>
            <w:r>
              <w:rPr>
                <w:rFonts w:ascii="Aptos" w:hAnsi="Aptos"/>
                <w:b/>
                <w:color w:val="FFFFFF"/>
                <w:sz w:val="18"/>
              </w:rPr>
              <w:t>Next step</w:t>
            </w:r>
          </w:p>
        </w:tc>
      </w:tr>
      <w:tr>
        <w:tc>
          <w:tcPr>
            <w:tcW w:type="dxa" w:w="1872"/>
          </w:tcPr>
          <w:p>
            <w:pPr>
              <w:spacing w:after="120"/>
            </w:pPr>
            <w:r>
              <w:t>Resident-facing duties</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Escalation and reporting</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Documentation discipline</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t>Role-specific pathway skill</w:t>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bl>
    <w:p>
      <w:pPr>
        <w:pStyle w:val="Heading1"/>
        <w:shd w:fill="156082" w:val="clear"/>
      </w:pPr>
      <w:r>
        <w:t>Reflection and completion prompts</w:t>
      </w:r>
    </w:p>
    <w:p>
      <w:pPr>
        <w:pStyle w:val="ListBullet"/>
        <w:spacing w:after="120"/>
        <w:ind w:left="720" w:hanging="360"/>
      </w:pPr>
      <w:r>
        <w:t>What proof would make you confident that the learner is safe to advance?</w:t>
      </w:r>
    </w:p>
    <w:p>
      <w:pPr>
        <w:pStyle w:val="ListBullet"/>
        <w:spacing w:after="120"/>
        <w:ind w:left="720" w:hanging="360"/>
      </w:pPr>
      <w:r>
        <w:t>Where is the evidence still too thin to support release?</w:t>
      </w:r>
    </w:p>
    <w:p>
      <w:pPr>
        <w:pStyle w:val="ListBullet"/>
        <w:spacing w:after="120"/>
        <w:ind w:left="720" w:hanging="360"/>
      </w:pPr>
      <w:r>
        <w:t>Who must review and approve the final decision?</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Competency release discussion worksheet</dc:title>
  <dc:subject>Module 7 — Competency Verification and Multi-Method Evidence — Competency as a release requirement</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