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Conditional assignment approval form</w:t>
      </w:r>
    </w:p>
    <w:p>
      <w:pPr>
        <w:spacing w:before="0" w:after="200"/>
      </w:pPr>
      <w:r>
        <w:rPr>
          <w:b/>
        </w:rPr>
        <w:t>Module 6 — Role-Based Pathways and Scope Activation</w:t>
        <w:br/>
      </w:r>
      <w:r>
        <w:t>Section 5 — Alternate, startup-support, PRN, and restricted activation rules</w:t>
        <w:br/>
      </w:r>
      <w:r>
        <w:t>Prepared for Adolbi Care — Behavioral Health Center at Cypress</w:t>
        <w:br/>
      </w:r>
      <w:r>
        <w:t>Authored by AMOS I</w:t>
      </w:r>
    </w:p>
    <w:p>
      <w:pPr>
        <w:pStyle w:val="Heading1"/>
        <w:shd w:fill="156082" w:val="clear"/>
      </w:pPr>
      <w:r>
        <w:t>Document purpose</w:t>
      </w:r>
    </w:p>
    <w:p>
      <w:r>
        <w:t>This editable approval form documents assignment-specific authorization, restrictions, supervision conditions, and follow-up requirements for partially activated staff.</w:t>
      </w:r>
    </w:p>
    <w:p>
      <w:r>
        <w:t>Leads, supervisors, and Administrators can use the form when a learner is allowed to work inside a limited pathway but has not yet met the conditions for wider release.</w:t>
      </w:r>
    </w:p>
    <w:p>
      <w:pPr>
        <w:pStyle w:val="Heading1"/>
        <w:shd w:fill="156082" w:val="clear"/>
      </w:pPr>
      <w:r>
        <w:t>Section context</w:t>
      </w:r>
    </w:p>
    <w:p>
      <w:r>
        <w:t>The closing section explains why some pathways should remain conditional, assignment-specific, or restricted until the organization has sufficient oversight, supervision, and evidence for wider activation.</w:t>
      </w:r>
    </w:p>
    <w:p>
      <w:r>
        <w:t>Teach learners how limited-duty, alternate-pool, PRN, startup-support, and otherwise restricted pathways should be controlled so partial readiness is not mistaken for full release.</w:t>
      </w:r>
    </w:p>
    <w:p>
      <w:pPr>
        <w:pStyle w:val="Heading2"/>
        <w:shd w:fill="C1E4F5" w:val="clear"/>
      </w:pPr>
      <w:r>
        <w:t>Why this section matters</w:t>
      </w:r>
    </w:p>
    <w:p>
      <w:r>
        <w:t>Some staff enter the system under conditions that require narrower activation from the start. They may be PRN, alternate-pool, temporary startup support, newly credentialed into a specialty role, or otherwise limited by incomplete evidence, restricted access, or assignment-specific approval.</w:t>
      </w:r>
    </w:p>
    <w:p>
      <w:r>
        <w:t>Restricted activation is not a punishment and should not be treated as a sign that the learner has failed. It is a control method that prevents the organization from over-claiming readiness before pathway conditions are met.</w:t>
      </w:r>
    </w:p>
    <w:p>
      <w:r>
        <w:t>This closing section shows how a disciplined organization protects both people and evidence when readiness is still partial. Conditional activation must stay visible, documented, and reviewable until the missing requirements have been satisfied.</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Name the restriction clearly</w:t>
            </w:r>
          </w:p>
        </w:tc>
        <w:tc>
          <w:tcPr>
            <w:tcW w:type="dxa" w:w="4680"/>
          </w:tcPr>
          <w:p>
            <w:pPr>
              <w:spacing w:after="120"/>
            </w:pPr>
            <w:r>
              <w:t>The role, assignment, or system-access limit should be visible so no one assumes the person is active beyond the approved scope.</w:t>
            </w:r>
          </w:p>
        </w:tc>
      </w:tr>
      <w:tr>
        <w:tc>
          <w:tcPr>
            <w:tcW w:type="dxa" w:w="4680"/>
          </w:tcPr>
          <w:p>
            <w:pPr>
              <w:spacing w:after="120"/>
            </w:pPr>
            <w:r>
              <w:t>Use assignment-specific control</w:t>
            </w:r>
          </w:p>
        </w:tc>
        <w:tc>
          <w:tcPr>
            <w:tcW w:type="dxa" w:w="4680"/>
          </w:tcPr>
          <w:p>
            <w:pPr>
              <w:spacing w:after="120"/>
            </w:pPr>
            <w:r>
              <w:t>PRN, alternate, and startup-support pathways often require targeted approval before each shift, task group, or duty segment.</w:t>
            </w:r>
          </w:p>
        </w:tc>
      </w:tr>
      <w:tr>
        <w:tc>
          <w:tcPr>
            <w:tcW w:type="dxa" w:w="4680"/>
          </w:tcPr>
          <w:p>
            <w:pPr>
              <w:spacing w:after="120"/>
            </w:pPr>
            <w:r>
              <w:t>Monitor and document partial readiness</w:t>
            </w:r>
          </w:p>
        </w:tc>
        <w:tc>
          <w:tcPr>
            <w:tcW w:type="dxa" w:w="4680"/>
          </w:tcPr>
          <w:p>
            <w:pPr>
              <w:spacing w:after="120"/>
            </w:pPr>
            <w:r>
              <w:t>Conditional activation should leave a review trail showing what remains incomplete, who is supervising the work, and what evidence is still needed.</w:t>
            </w:r>
          </w:p>
        </w:tc>
      </w:tr>
      <w:tr>
        <w:tc>
          <w:tcPr>
            <w:tcW w:type="dxa" w:w="4680"/>
          </w:tcPr>
          <w:p>
            <w:pPr>
              <w:spacing w:after="120"/>
            </w:pPr>
            <w:r>
              <w:t>Release only when conditions are met</w:t>
            </w:r>
          </w:p>
        </w:tc>
        <w:tc>
          <w:tcPr>
            <w:tcW w:type="dxa" w:w="4680"/>
          </w:tcPr>
          <w:p>
            <w:pPr>
              <w:spacing w:after="120"/>
            </w:pPr>
            <w:r>
              <w:t>Wider activation should occur only after missing elements are satisfied and the organization can defend the change in status.</w:t>
            </w:r>
          </w:p>
        </w:tc>
      </w:tr>
    </w:tbl>
    <w:p>
      <w:pPr>
        <w:pStyle w:val="Heading2"/>
        <w:shd w:fill="C1E4F5" w:val="clear"/>
      </w:pPr>
      <w:r>
        <w:t>Key reminders</w:t>
      </w:r>
    </w:p>
    <w:p>
      <w:pPr>
        <w:pStyle w:val="ListBullet"/>
        <w:spacing w:after="120"/>
        <w:ind w:left="720" w:hanging="360"/>
      </w:pPr>
      <w:r>
        <w:t>Restricted activation protects the organization from confusing partial readiness with full release.</w:t>
      </w:r>
    </w:p>
    <w:p>
      <w:pPr>
        <w:pStyle w:val="ListBullet"/>
        <w:spacing w:after="120"/>
        <w:ind w:left="720" w:hanging="360"/>
      </w:pPr>
      <w:r>
        <w:t>Conditional pathways should be visible, supervised, and evidence-based.</w:t>
      </w:r>
    </w:p>
    <w:p>
      <w:pPr>
        <w:pStyle w:val="ListBullet"/>
        <w:spacing w:after="120"/>
        <w:ind w:left="720" w:hanging="360"/>
      </w:pPr>
      <w:r>
        <w:t>This final lesson points directly into the competency-verification logic planned for Module 7.</w:t>
      </w:r>
    </w:p>
    <w:p>
      <w:r>
        <w:t>A well-run system does not hide restrictions or rush people past them. It uses conditional activation to protect residents, staff, and the integrity of the readiness record until the evidence is strong enough to support broader release.</w:t>
      </w:r>
    </w:p>
    <w:p>
      <w:pPr>
        <w:pStyle w:val="Heading1"/>
        <w:shd w:fill="156082" w:val="clear"/>
      </w:pPr>
      <w:r>
        <w:t>Instructions</w:t>
      </w:r>
    </w:p>
    <w:p>
      <w:pPr>
        <w:pStyle w:val="ListBullet"/>
        <w:spacing w:after="120"/>
        <w:ind w:left="720" w:hanging="360"/>
      </w:pPr>
      <w:r>
        <w:t>Complete the form for one specific assignment, shift pattern, or restricted role condition at a time.</w:t>
      </w:r>
    </w:p>
    <w:p>
      <w:pPr>
        <w:pStyle w:val="ListBullet"/>
        <w:spacing w:after="120"/>
        <w:ind w:left="720" w:hanging="360"/>
      </w:pPr>
      <w:r>
        <w:t>Name the restriction clearly, including what the learner may do, may not do, and may do only under supervision or approval.</w:t>
      </w:r>
    </w:p>
    <w:p>
      <w:pPr>
        <w:pStyle w:val="ListBullet"/>
        <w:spacing w:after="120"/>
        <w:ind w:left="720" w:hanging="360"/>
      </w:pPr>
      <w:r>
        <w:t>Use the final section to set the next review point before any broader release is considered.</w:t>
      </w:r>
    </w:p>
    <w:p>
      <w:pPr>
        <w:pStyle w:val="Heading1"/>
        <w:shd w:fill="156082" w:val="clear"/>
      </w:pPr>
      <w:r>
        <w:t>Worksheet and record fields</w:t>
      </w:r>
    </w:p>
    <w:p>
      <w:pPr>
        <w:pStyle w:val="Heading3"/>
      </w:pPr>
      <w:r>
        <w:t>Conditional activation authorization</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Learner / role</w:t>
            </w:r>
          </w:p>
        </w:tc>
        <w:tc>
          <w:tcPr>
            <w:tcW w:type="dxa" w:w="2340"/>
            <w:shd w:fill="0A2F40" w:val="clear"/>
          </w:tcPr>
          <w:p>
            <w:r>
              <w:rPr>
                <w:rFonts w:ascii="Aptos" w:hAnsi="Aptos"/>
                <w:b/>
                <w:color w:val="FFFFFF"/>
                <w:sz w:val="18"/>
              </w:rPr>
              <w:t>Assignment or duty approved</w:t>
            </w:r>
          </w:p>
        </w:tc>
        <w:tc>
          <w:tcPr>
            <w:tcW w:type="dxa" w:w="2340"/>
            <w:shd w:fill="0A2F40" w:val="clear"/>
          </w:tcPr>
          <w:p>
            <w:r>
              <w:rPr>
                <w:rFonts w:ascii="Aptos" w:hAnsi="Aptos"/>
                <w:b/>
                <w:color w:val="FFFFFF"/>
                <w:sz w:val="18"/>
              </w:rPr>
              <w:t>Restriction still in effect</w:t>
            </w:r>
          </w:p>
        </w:tc>
        <w:tc>
          <w:tcPr>
            <w:tcW w:type="dxa" w:w="2340"/>
            <w:shd w:fill="0A2F40" w:val="clear"/>
          </w:tcPr>
          <w:p>
            <w:r>
              <w:rPr>
                <w:rFonts w:ascii="Aptos" w:hAnsi="Aptos"/>
                <w:b/>
                <w:color w:val="FFFFFF"/>
                <w:sz w:val="18"/>
              </w:rPr>
              <w:t>Required supervision / approver</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3"/>
      </w:pPr>
      <w:r>
        <w:t>Review and release conditions</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Missing evidence or condition</w:t>
            </w:r>
          </w:p>
        </w:tc>
        <w:tc>
          <w:tcPr>
            <w:tcW w:type="dxa" w:w="2340"/>
            <w:shd w:fill="0A2F40" w:val="clear"/>
          </w:tcPr>
          <w:p>
            <w:r>
              <w:rPr>
                <w:rFonts w:ascii="Aptos" w:hAnsi="Aptos"/>
                <w:b/>
                <w:color w:val="FFFFFF"/>
                <w:sz w:val="18"/>
              </w:rPr>
              <w:t>How it will be verified</w:t>
            </w:r>
          </w:p>
        </w:tc>
        <w:tc>
          <w:tcPr>
            <w:tcW w:type="dxa" w:w="2340"/>
            <w:shd w:fill="0A2F40" w:val="clear"/>
          </w:tcPr>
          <w:p>
            <w:r>
              <w:rPr>
                <w:rFonts w:ascii="Aptos" w:hAnsi="Aptos"/>
                <w:b/>
                <w:color w:val="FFFFFF"/>
                <w:sz w:val="18"/>
              </w:rPr>
              <w:t>Review date</w:t>
            </w:r>
          </w:p>
        </w:tc>
        <w:tc>
          <w:tcPr>
            <w:tcW w:type="dxa" w:w="2340"/>
            <w:shd w:fill="0A2F40" w:val="clear"/>
          </w:tcPr>
          <w:p>
            <w:r>
              <w:rPr>
                <w:rFonts w:ascii="Aptos" w:hAnsi="Aptos"/>
                <w:b/>
                <w:color w:val="FFFFFF"/>
                <w:sz w:val="18"/>
              </w:rPr>
              <w:t>Administrator or supervisory owner</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1"/>
        <w:shd w:fill="156082" w:val="clear"/>
      </w:pPr>
      <w:r>
        <w:t>Reflection and completion prompts</w:t>
      </w:r>
    </w:p>
    <w:p>
      <w:pPr>
        <w:pStyle w:val="ListBullet"/>
        <w:spacing w:after="120"/>
        <w:ind w:left="720" w:hanging="360"/>
      </w:pPr>
      <w:r>
        <w:t>What specific limit must remain visible so no one overstates the learner’s readiness?</w:t>
      </w:r>
    </w:p>
    <w:p>
      <w:pPr>
        <w:pStyle w:val="ListBullet"/>
        <w:spacing w:after="120"/>
        <w:ind w:left="720" w:hanging="360"/>
      </w:pPr>
      <w:r>
        <w:t>How will the team verify that the supervision condition was actually maintained?</w:t>
      </w:r>
    </w:p>
    <w:p>
      <w:pPr>
        <w:pStyle w:val="ListBullet"/>
        <w:spacing w:after="120"/>
        <w:ind w:left="720" w:hanging="360"/>
      </w:pPr>
      <w:r>
        <w:t>What evidence would justify moving this person toward broader release?</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Conditional assignment approval form</dc:title>
  <dc:subject>Module 6 — Role-Based Pathways and Scope Activation — Alternate, startup-support, PRN, and restricted activation rules</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