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left"/>
      </w:pPr>
      <w:r>
        <w:t>Corrective follow-through log template</w:t>
      </w:r>
    </w:p>
    <w:p>
      <w:r>
        <w:rPr>
          <w:b/>
        </w:rPr>
        <w:t>Module 2 — Governance and Accountability</w:t>
        <w:br/>
      </w:r>
      <w:r>
        <w:t>Section 5 — Escalation, review, and corrective action loop</w:t>
        <w:br/>
      </w:r>
      <w:r>
        <w:t>Prepared for Adolbi Care — Behavioral Health Center at Cypress</w:t>
        <w:br/>
      </w:r>
      <w:r>
        <w:t>Authored by AMOS I</w:t>
      </w:r>
    </w:p>
    <w:p>
      <w:pPr>
        <w:pStyle w:val="Heading1"/>
        <w:shd w:fill="156082" w:val="clear"/>
      </w:pPr>
      <w:r>
        <w:t>Document purpose</w:t>
      </w:r>
    </w:p>
    <w:p>
      <w:r>
        <w:t>This template provides a branded structure for tracking corrective actions, responsible parties, due dates, and closure confirmation so follow-through remains visible.</w:t>
      </w:r>
    </w:p>
    <w:p>
      <w:r>
        <w:t>Supervisors or designated reviewers can use the log during issue response, follow-up meetings, and closure verification when documented accountability is required.</w:t>
      </w:r>
    </w:p>
    <w:p>
      <w:pPr>
        <w:pStyle w:val="Heading1"/>
        <w:shd w:fill="156082" w:val="clear"/>
      </w:pPr>
      <w:r>
        <w:t>Section context</w:t>
      </w:r>
    </w:p>
    <w:p>
      <w:r>
        <w:t>The final section explains how concerns are surfaced, reviewed, acted upon, and closed so that accountability produces learning rather than unresolved drift.</w:t>
      </w:r>
    </w:p>
    <w:p>
      <w:r>
        <w:t>Teach the learner how responsible organizations move from issue detection to escalation, review, corrective action, and verified follow-through.</w:t>
      </w:r>
    </w:p>
    <w:p>
      <w:pPr>
        <w:pStyle w:val="Heading2"/>
        <w:shd w:fill="C1E4F5" w:val="clear"/>
      </w:pPr>
      <w:r>
        <w:t>Why this section matters</w:t>
      </w:r>
    </w:p>
    <w:p>
      <w:r>
        <w:t>Governance is not complete once a standard is written. Staff need to know how the organization responds when expectations are missed, risks appear, or patterns suggest weakness in the system.</w:t>
      </w:r>
    </w:p>
    <w:p>
      <w:r>
        <w:t>After escalation, the issue should move into a review process that clarifies what happened, who needs to be involved, what protections are required, and what response will prevent recurrence.</w:t>
      </w:r>
    </w:p>
    <w:p>
      <w:r>
        <w:t>The loop closes only when follow-through can be verified. Corrective action is not only about fixing an isolated event; it is about strengthening the system so the same weakness is less likely to repeat.</w:t>
      </w:r>
    </w:p>
    <w:p>
      <w:pPr>
        <w:pStyle w:val="Heading2"/>
        <w:shd w:fill="C1E4F5" w:val="clear"/>
      </w:pPr>
      <w:r>
        <w:t>Core practice frame</w:t>
      </w:r>
    </w:p>
    <w:p>
      <w:pPr>
        <w:pStyle w:val="Heading3"/>
      </w:pPr>
      <w:r>
        <w:t>Operational anchors</w:t>
      </w: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4680"/>
        <w:gridCol w:w="4680"/>
      </w:tblGrid>
      <w:tr>
        <w:tc>
          <w:tcPr>
            <w:tcW w:type="dxa" w:w="4680"/>
            <w:shd w:fill="0A2F40" w:val="clear"/>
          </w:tcPr>
          <w:p>
            <w:r>
              <w:rPr>
                <w:rFonts w:ascii="Aptos" w:hAnsi="Aptos"/>
                <w:b/>
                <w:color w:val="FFFFFF"/>
                <w:sz w:val="18"/>
              </w:rPr>
              <w:t>Anchor</w:t>
            </w:r>
          </w:p>
        </w:tc>
        <w:tc>
          <w:tcPr>
            <w:tcW w:type="dxa" w:w="4680"/>
            <w:shd w:fill="0A2F40" w:val="clear"/>
          </w:tcPr>
          <w:p>
            <w:r>
              <w:rPr>
                <w:rFonts w:ascii="Aptos" w:hAnsi="Aptos"/>
                <w:b/>
                <w:color w:val="FFFFFF"/>
                <w:sz w:val="18"/>
              </w:rPr>
              <w:t>Guidance</w:t>
            </w:r>
          </w:p>
        </w:tc>
      </w:tr>
      <w:tr>
        <w:tc>
          <w:tcPr>
            <w:tcW w:type="dxa" w:w="4680"/>
          </w:tcPr>
          <w:p>
            <w:pPr>
              <w:spacing w:after="120"/>
            </w:pPr>
            <w:r>
              <w:t>Detect and surface</w:t>
            </w:r>
          </w:p>
        </w:tc>
        <w:tc>
          <w:tcPr>
            <w:tcW w:type="dxa" w:w="4680"/>
          </w:tcPr>
          <w:p>
            <w:pPr>
              <w:spacing w:after="120"/>
            </w:pPr>
            <w:r>
              <w:t>Identify concerns early and route them through the correct channel instead of allowing uncertainty or delay to build.</w:t>
            </w:r>
          </w:p>
        </w:tc>
      </w:tr>
      <w:tr>
        <w:tc>
          <w:tcPr>
            <w:tcW w:type="dxa" w:w="4680"/>
          </w:tcPr>
          <w:p>
            <w:pPr>
              <w:spacing w:after="120"/>
            </w:pPr>
            <w:r>
              <w:t>Review with discipline</w:t>
            </w:r>
          </w:p>
        </w:tc>
        <w:tc>
          <w:tcPr>
            <w:tcW w:type="dxa" w:w="4680"/>
          </w:tcPr>
          <w:p>
            <w:pPr>
              <w:spacing w:after="120"/>
            </w:pPr>
            <w:r>
              <w:t>Clarify what occurred, what risks are present, who should be involved, and what level of response is required.</w:t>
            </w:r>
          </w:p>
        </w:tc>
      </w:tr>
      <w:tr>
        <w:tc>
          <w:tcPr>
            <w:tcW w:type="dxa" w:w="4680"/>
          </w:tcPr>
          <w:p>
            <w:pPr>
              <w:spacing w:after="120"/>
            </w:pPr>
            <w:r>
              <w:t>Act and correct</w:t>
            </w:r>
          </w:p>
        </w:tc>
        <w:tc>
          <w:tcPr>
            <w:tcW w:type="dxa" w:w="4680"/>
          </w:tcPr>
          <w:p>
            <w:pPr>
              <w:spacing w:after="120"/>
            </w:pPr>
            <w:r>
              <w:t>Apply the right response, whether that means clarification, retraining, coaching, process adjustment, or formal corrective action.</w:t>
            </w:r>
          </w:p>
        </w:tc>
      </w:tr>
      <w:tr>
        <w:tc>
          <w:tcPr>
            <w:tcW w:type="dxa" w:w="4680"/>
          </w:tcPr>
          <w:p>
            <w:pPr>
              <w:spacing w:after="120"/>
            </w:pPr>
            <w:r>
              <w:t>Verify closure</w:t>
            </w:r>
          </w:p>
        </w:tc>
        <w:tc>
          <w:tcPr>
            <w:tcW w:type="dxa" w:w="4680"/>
          </w:tcPr>
          <w:p>
            <w:pPr>
              <w:spacing w:after="120"/>
            </w:pPr>
            <w:r>
              <w:t>Confirm that the issue was addressed, documented, and translated into improved practice rather than merely acknowledged.</w:t>
            </w:r>
          </w:p>
        </w:tc>
      </w:tr>
    </w:tbl>
    <w:p>
      <w:pPr>
        <w:pStyle w:val="Heading2"/>
        <w:shd w:fill="C1E4F5" w:val="clear"/>
      </w:pPr>
      <w:r>
        <w:t>Key reminders</w:t>
      </w:r>
    </w:p>
    <w:p>
      <w:pPr>
        <w:pStyle w:val="ListBullet"/>
        <w:spacing w:after="120"/>
        <w:ind w:left="720" w:hanging="360"/>
      </w:pPr>
      <w:r>
        <w:t>Escalation is an essential accountability behavior, not a sign of failure.</w:t>
      </w:r>
    </w:p>
    <w:p>
      <w:pPr>
        <w:pStyle w:val="ListBullet"/>
        <w:spacing w:after="120"/>
        <w:ind w:left="720" w:hanging="360"/>
      </w:pPr>
      <w:r>
        <w:t>Review should lead to a proportionate, evidence-based response rather than informal drift.</w:t>
      </w:r>
    </w:p>
    <w:p>
      <w:pPr>
        <w:pStyle w:val="ListBullet"/>
        <w:spacing w:after="120"/>
        <w:ind w:left="720" w:hanging="360"/>
      </w:pPr>
      <w:r>
        <w:t>The loop closes only when action and follow-through can be demonstrated.</w:t>
      </w:r>
    </w:p>
    <w:p>
      <w:r>
        <w:t>A governance system becomes stronger when it can detect concerns, respond proportionately, and carry lessons back into routine practice.</w:t>
      </w:r>
    </w:p>
    <w:p>
      <w:pPr>
        <w:pStyle w:val="Heading1"/>
        <w:shd w:fill="156082" w:val="clear"/>
      </w:pPr>
      <w:r>
        <w:t>Instructions</w:t>
      </w:r>
    </w:p>
    <w:p>
      <w:pPr>
        <w:pStyle w:val="ListBullet"/>
        <w:spacing w:after="120"/>
        <w:ind w:left="720" w:hanging="360"/>
      </w:pPr>
      <w:r>
        <w:t>Open a new row for each agreed action rather than collapsing multiple actions into one vague entry.</w:t>
      </w:r>
    </w:p>
    <w:p>
      <w:pPr>
        <w:pStyle w:val="ListBullet"/>
        <w:spacing w:after="120"/>
        <w:ind w:left="720" w:hanging="360"/>
      </w:pPr>
      <w:r>
        <w:t>Assign an owner, due date, and closure check for every follow-through item.</w:t>
      </w:r>
    </w:p>
    <w:p>
      <w:pPr>
        <w:pStyle w:val="ListBullet"/>
        <w:spacing w:after="120"/>
        <w:ind w:left="720" w:hanging="360"/>
      </w:pPr>
      <w:r>
        <w:t>Review the log regularly until all actions show verified completion or a documented reason for adjustment.</w:t>
      </w:r>
    </w:p>
    <w:p>
      <w:pPr>
        <w:pStyle w:val="Heading1"/>
        <w:shd w:fill="156082" w:val="clear"/>
      </w:pPr>
      <w:r>
        <w:t>Worksheet and record fields</w:t>
      </w:r>
    </w:p>
    <w:p>
      <w:pPr>
        <w:pStyle w:val="Heading3"/>
      </w:pPr>
      <w:r>
        <w:t>Issue summary</w:t>
      </w: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4680"/>
        <w:gridCol w:w="4680"/>
      </w:tblGrid>
      <w:tr>
        <w:tc>
          <w:tcPr>
            <w:tcW w:type="dxa" w:w="4680"/>
            <w:shd w:fill="0A2F40" w:val="clear"/>
          </w:tcPr>
          <w:p>
            <w:r>
              <w:rPr>
                <w:rFonts w:ascii="Aptos" w:hAnsi="Aptos"/>
                <w:b/>
                <w:color w:val="FFFFFF"/>
                <w:sz w:val="18"/>
              </w:rPr>
              <w:t>Field</w:t>
            </w:r>
          </w:p>
        </w:tc>
        <w:tc>
          <w:tcPr>
            <w:tcW w:type="dxa" w:w="4680"/>
            <w:shd w:fill="0A2F40" w:val="clear"/>
          </w:tcPr>
          <w:p>
            <w:r>
              <w:rPr>
                <w:rFonts w:ascii="Aptos" w:hAnsi="Aptos"/>
                <w:b/>
                <w:color w:val="FFFFFF"/>
                <w:sz w:val="18"/>
              </w:rPr>
              <w:t>Entry</w:t>
            </w:r>
          </w:p>
        </w:tc>
      </w:tr>
      <w:tr>
        <w:tc>
          <w:tcPr>
            <w:tcW w:type="dxa" w:w="4680"/>
          </w:tcPr>
          <w:p>
            <w:pPr>
              <w:spacing w:after="120"/>
            </w:pPr>
            <w:r>
              <w:t>Issue or deviation identified</w:t>
            </w:r>
          </w:p>
        </w:tc>
        <w:tc>
          <w:tcPr>
            <w:tcW w:type="dxa" w:w="4680"/>
          </w:tcPr>
          <w:p>
            <w:pPr>
              <w:spacing w:after="120"/>
            </w:pPr>
            <w:r/>
          </w:p>
        </w:tc>
      </w:tr>
      <w:tr>
        <w:tc>
          <w:tcPr>
            <w:tcW w:type="dxa" w:w="4680"/>
          </w:tcPr>
          <w:p>
            <w:pPr>
              <w:spacing w:after="120"/>
            </w:pPr>
            <w:r>
              <w:t>Date surfaced</w:t>
            </w:r>
          </w:p>
        </w:tc>
        <w:tc>
          <w:tcPr>
            <w:tcW w:type="dxa" w:w="4680"/>
          </w:tcPr>
          <w:p>
            <w:pPr>
              <w:spacing w:after="120"/>
            </w:pPr>
            <w:r/>
          </w:p>
        </w:tc>
      </w:tr>
      <w:tr>
        <w:tc>
          <w:tcPr>
            <w:tcW w:type="dxa" w:w="4680"/>
          </w:tcPr>
          <w:p>
            <w:pPr>
              <w:spacing w:after="120"/>
            </w:pPr>
            <w:r>
              <w:t>Reviewed by</w:t>
            </w:r>
          </w:p>
        </w:tc>
        <w:tc>
          <w:tcPr>
            <w:tcW w:type="dxa" w:w="4680"/>
          </w:tcPr>
          <w:p>
            <w:pPr>
              <w:spacing w:after="120"/>
            </w:pPr>
            <w:r/>
          </w:p>
        </w:tc>
      </w:tr>
      <w:tr>
        <w:tc>
          <w:tcPr>
            <w:tcW w:type="dxa" w:w="4680"/>
          </w:tcPr>
          <w:p>
            <w:pPr>
              <w:spacing w:after="120"/>
            </w:pPr>
            <w:r>
              <w:t>Immediate protections or interim actions</w:t>
            </w:r>
          </w:p>
        </w:tc>
        <w:tc>
          <w:tcPr>
            <w:tcW w:type="dxa" w:w="4680"/>
          </w:tcPr>
          <w:p>
            <w:pPr>
              <w:spacing w:after="120"/>
            </w:pPr>
            <w:r/>
          </w:p>
        </w:tc>
      </w:tr>
    </w:tbl>
    <w:p>
      <w:pPr>
        <w:pStyle w:val="Heading3"/>
      </w:pPr>
      <w:r>
        <w:t>Corrective action log</w:t>
      </w: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2340"/>
        <w:gridCol w:w="2340"/>
        <w:gridCol w:w="2340"/>
        <w:gridCol w:w="2340"/>
      </w:tblGrid>
      <w:tr>
        <w:tc>
          <w:tcPr>
            <w:tcW w:type="dxa" w:w="2340"/>
            <w:shd w:fill="0A2F40" w:val="clear"/>
          </w:tcPr>
          <w:p>
            <w:r>
              <w:rPr>
                <w:rFonts w:ascii="Aptos" w:hAnsi="Aptos"/>
                <w:b/>
                <w:color w:val="FFFFFF"/>
                <w:sz w:val="18"/>
              </w:rPr>
              <w:t>Action item</w:t>
            </w:r>
          </w:p>
        </w:tc>
        <w:tc>
          <w:tcPr>
            <w:tcW w:type="dxa" w:w="2340"/>
            <w:shd w:fill="0A2F40" w:val="clear"/>
          </w:tcPr>
          <w:p>
            <w:r>
              <w:rPr>
                <w:rFonts w:ascii="Aptos" w:hAnsi="Aptos"/>
                <w:b/>
                <w:color w:val="FFFFFF"/>
                <w:sz w:val="18"/>
              </w:rPr>
              <w:t>Responsible party</w:t>
            </w:r>
          </w:p>
        </w:tc>
        <w:tc>
          <w:tcPr>
            <w:tcW w:type="dxa" w:w="2340"/>
            <w:shd w:fill="0A2F40" w:val="clear"/>
          </w:tcPr>
          <w:p>
            <w:r>
              <w:rPr>
                <w:rFonts w:ascii="Aptos" w:hAnsi="Aptos"/>
                <w:b/>
                <w:color w:val="FFFFFF"/>
                <w:sz w:val="18"/>
              </w:rPr>
              <w:t>Due date</w:t>
            </w:r>
          </w:p>
        </w:tc>
        <w:tc>
          <w:tcPr>
            <w:tcW w:type="dxa" w:w="2340"/>
            <w:shd w:fill="0A2F40" w:val="clear"/>
          </w:tcPr>
          <w:p>
            <w:r>
              <w:rPr>
                <w:rFonts w:ascii="Aptos" w:hAnsi="Aptos"/>
                <w:b/>
                <w:color w:val="FFFFFF"/>
                <w:sz w:val="18"/>
              </w:rPr>
              <w:t>Status / closure evidence</w:t>
            </w:r>
          </w:p>
        </w:tc>
      </w:tr>
      <w:tr>
        <w:tc>
          <w:tcPr>
            <w:tcW w:type="dxa" w:w="2340"/>
          </w:tcPr>
          <w:p>
            <w:pPr>
              <w:spacing w:after="120"/>
            </w:pPr>
            <w:r/>
          </w:p>
        </w:tc>
        <w:tc>
          <w:tcPr>
            <w:tcW w:type="dxa" w:w="2340"/>
          </w:tcPr>
          <w:p>
            <w:pPr>
              <w:spacing w:after="120"/>
            </w:pPr>
            <w:r/>
          </w:p>
        </w:tc>
        <w:tc>
          <w:tcPr>
            <w:tcW w:type="dxa" w:w="2340"/>
          </w:tcPr>
          <w:p>
            <w:pPr>
              <w:spacing w:after="120"/>
            </w:pPr>
            <w:r/>
          </w:p>
        </w:tc>
        <w:tc>
          <w:tcPr>
            <w:tcW w:type="dxa" w:w="2340"/>
          </w:tcPr>
          <w:p>
            <w:pPr>
              <w:spacing w:after="120"/>
            </w:pPr>
            <w:r/>
          </w:p>
        </w:tc>
      </w:tr>
      <w:tr>
        <w:tc>
          <w:tcPr>
            <w:tcW w:type="dxa" w:w="2340"/>
          </w:tcPr>
          <w:p>
            <w:pPr>
              <w:spacing w:after="120"/>
            </w:pPr>
            <w:r/>
          </w:p>
        </w:tc>
        <w:tc>
          <w:tcPr>
            <w:tcW w:type="dxa" w:w="2340"/>
          </w:tcPr>
          <w:p>
            <w:pPr>
              <w:spacing w:after="120"/>
            </w:pPr>
            <w:r/>
          </w:p>
        </w:tc>
        <w:tc>
          <w:tcPr>
            <w:tcW w:type="dxa" w:w="2340"/>
          </w:tcPr>
          <w:p>
            <w:pPr>
              <w:spacing w:after="120"/>
            </w:pPr>
            <w:r/>
          </w:p>
        </w:tc>
        <w:tc>
          <w:tcPr>
            <w:tcW w:type="dxa" w:w="2340"/>
          </w:tcPr>
          <w:p>
            <w:pPr>
              <w:spacing w:after="120"/>
            </w:pPr>
            <w:r/>
          </w:p>
        </w:tc>
      </w:tr>
      <w:tr>
        <w:tc>
          <w:tcPr>
            <w:tcW w:type="dxa" w:w="2340"/>
          </w:tcPr>
          <w:p>
            <w:pPr>
              <w:spacing w:after="120"/>
            </w:pPr>
            <w:r/>
          </w:p>
        </w:tc>
        <w:tc>
          <w:tcPr>
            <w:tcW w:type="dxa" w:w="2340"/>
          </w:tcPr>
          <w:p>
            <w:pPr>
              <w:spacing w:after="120"/>
            </w:pPr>
            <w:r/>
          </w:p>
        </w:tc>
        <w:tc>
          <w:tcPr>
            <w:tcW w:type="dxa" w:w="2340"/>
          </w:tcPr>
          <w:p>
            <w:pPr>
              <w:spacing w:after="120"/>
            </w:pPr>
            <w:r/>
          </w:p>
        </w:tc>
        <w:tc>
          <w:tcPr>
            <w:tcW w:type="dxa" w:w="2340"/>
          </w:tcPr>
          <w:p>
            <w:pPr>
              <w:spacing w:after="120"/>
            </w:pPr>
            <w:r/>
          </w:p>
        </w:tc>
      </w:tr>
      <w:tr>
        <w:tc>
          <w:tcPr>
            <w:tcW w:type="dxa" w:w="2340"/>
          </w:tcPr>
          <w:p>
            <w:pPr>
              <w:spacing w:after="120"/>
            </w:pPr>
            <w:r/>
          </w:p>
        </w:tc>
        <w:tc>
          <w:tcPr>
            <w:tcW w:type="dxa" w:w="2340"/>
          </w:tcPr>
          <w:p>
            <w:pPr>
              <w:spacing w:after="120"/>
            </w:pPr>
            <w:r/>
          </w:p>
        </w:tc>
        <w:tc>
          <w:tcPr>
            <w:tcW w:type="dxa" w:w="2340"/>
          </w:tcPr>
          <w:p>
            <w:pPr>
              <w:spacing w:after="120"/>
            </w:pPr>
            <w:r/>
          </w:p>
        </w:tc>
        <w:tc>
          <w:tcPr>
            <w:tcW w:type="dxa" w:w="2340"/>
          </w:tcPr>
          <w:p>
            <w:pPr>
              <w:spacing w:after="120"/>
            </w:pPr>
            <w:r/>
          </w:p>
        </w:tc>
      </w:tr>
    </w:tbl>
    <w:p>
      <w:pPr>
        <w:pStyle w:val="Heading1"/>
        <w:shd w:fill="156082" w:val="clear"/>
      </w:pPr>
      <w:r>
        <w:t>Reflection and completion prompts</w:t>
      </w:r>
    </w:p>
    <w:p>
      <w:pPr>
        <w:pStyle w:val="ListBullet"/>
        <w:spacing w:after="120"/>
        <w:ind w:left="720" w:hanging="360"/>
      </w:pPr>
      <w:r>
        <w:t>What evidence will show that this issue is truly closed rather than simply acknowledged?</w:t>
      </w:r>
    </w:p>
    <w:p>
      <w:pPr>
        <w:pStyle w:val="ListBullet"/>
        <w:spacing w:after="120"/>
        <w:ind w:left="720" w:hanging="360"/>
      </w:pPr>
      <w:r>
        <w:t>What system lesson should be carried forward after closure?</w:t>
      </w:r>
    </w:p>
    <w:sectPr w:rsidR="00FC693F" w:rsidRPr="0006063C" w:rsidSect="00034616">
      <w:headerReference w:type="default" r:id="rId9"/>
      <w:pgSz w:w="12240" w:h="15840"/>
      <w:pgMar w:top="1440" w:right="1440" w:bottom="1440" w:left="1440" w:header="576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</w:p>
  <w:tbl>
    <w:tblPr>
      <w:tblW w:type="auto" w:w="0"/>
      <w:jc w:val="left"/>
      <w:tblLook w:firstColumn="1" w:firstRow="1" w:lastColumn="0" w:lastRow="0" w:noHBand="0" w:noVBand="1" w:val="04A0"/>
      <w:tblBorders>
        <w:top w:val="nil"/>
        <w:left w:val="nil"/>
        <w:bottom w:val="nil"/>
        <w:right w:val="nil"/>
        <w:insideH w:val="nil"/>
        <w:insideV w:val="nil"/>
      </w:tblBorders>
    </w:tblPr>
    <w:tblGrid>
      <w:gridCol w:w="4680"/>
      <w:gridCol w:w="4680"/>
    </w:tblGrid>
    <w:tr>
      <w:tc>
        <w:tcPr>
          <w:tcW w:type="dxa" w:w="4680"/>
          <w:vAlign w:val="center"/>
        </w:tcPr>
        <w:p>
          <w:pPr>
            <w:jc w:val="left"/>
          </w:pPr>
          <w:r>
            <w:drawing>
              <wp:inline xmlns:a="http://schemas.openxmlformats.org/drawingml/2006/main" xmlns:pic="http://schemas.openxmlformats.org/drawingml/2006/picture">
                <wp:extent cx="1417320" cy="472440"/>
                <wp:docPr id="1" name="Picture 1"/>
                <wp:cNvGraphicFramePr>
                  <a:graphicFrameLocks noChangeAspect="1"/>
                </wp:cNvGraphicFramePr>
                <a:graphic>
                  <a:graphicData uri="http://schemas.openxmlformats.org/drawingml/2006/picture">
                    <pic:pic>
                      <pic:nvPicPr>
                        <pic:cNvPr id="0" name="logo_on_white.pn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7320" cy="472440"/>
                        </a:xfrm>
                        <a:prstGeom prst="rect"/>
                      </pic:spPr>
                    </pic:pic>
                  </a:graphicData>
                </a:graphic>
              </wp:inline>
            </w:drawing>
          </w:r>
        </w:p>
      </w:tc>
      <w:tc>
        <w:tcPr>
          <w:tcW w:type="dxa" w:w="4680"/>
          <w:vAlign w:val="center"/>
          <w:shd w:fill="E97132" w:val="clear"/>
        </w:tcPr>
        <w:p>
          <w:pPr>
            <w:jc w:val="center"/>
          </w:pPr>
          <w:r>
            <w:rPr>
              <w:rFonts w:ascii="Aptos Display" w:hAnsi="Aptos Display"/>
              <w:b/>
              <w:color w:val="FFFFFF"/>
              <w:sz w:val="18"/>
            </w:rPr>
            <w:t>BEHAVIORAL HEALTH CENTER AT CYPRESS</w:t>
          </w:r>
        </w:p>
      </w:tc>
    </w:tr>
  </w:tbl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before="0" w:after="240" w:line="276" w:lineRule="auto"/>
    </w:pPr>
    <w:rPr>
      <w:rFonts w:ascii="Aptos" w:hAnsi="Aptos"/>
      <w:color w:val="000000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240" w:after="160"/>
      <w:outlineLvl w:val="0"/>
    </w:pPr>
    <w:rPr>
      <w:rFonts w:asciiTheme="majorHAnsi" w:eastAsiaTheme="majorEastAsia" w:hAnsiTheme="majorHAnsi" w:cstheme="majorBidi" w:ascii="Aptos Display" w:hAnsi="Aptos Display"/>
      <w:b/>
      <w:bCs/>
      <w:caps/>
      <w:color w:val="FFFFFF"/>
      <w:sz w:val="2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40" w:after="120"/>
      <w:outlineLvl w:val="1"/>
    </w:pPr>
    <w:rPr>
      <w:rFonts w:asciiTheme="majorHAnsi" w:eastAsiaTheme="majorEastAsia" w:hAnsiTheme="majorHAnsi" w:cstheme="majorBidi" w:ascii="Aptos Display" w:hAnsi="Aptos Display"/>
      <w:b/>
      <w:bCs/>
      <w:caps/>
      <w:color w:val="0A2F40"/>
      <w:sz w:val="20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80"/>
      <w:outlineLvl w:val="2"/>
    </w:pPr>
    <w:rPr>
      <w:rFonts w:asciiTheme="majorHAnsi" w:eastAsiaTheme="majorEastAsia" w:hAnsiTheme="majorHAnsi" w:cstheme="majorBidi" w:ascii="Aptos Display" w:hAnsi="Aptos Display"/>
      <w:b/>
      <w:bCs/>
      <w:color w:val="0A2F40"/>
      <w:sz w:val="20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 w:ascii="Aptos Display" w:hAnsi="Aptos Display"/>
      <w:color w:val="156082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/Relationships>
</file>

<file path=word/_rels/header1.xml.rels><?xml version='1.0' encoding='UTF-8' standalone='yes'?>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Corrective follow-through log template</dc:title>
  <dc:subject>Module 2 — Governance and Accountability — Escalation, review, and corrective action loop</dc:subject>
  <dc:creator>AMOS I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