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Cross-discipline coordination planner</w:t>
      </w:r>
    </w:p>
    <w:p>
      <w:pPr>
        <w:spacing w:before="0" w:after="200"/>
      </w:pPr>
      <w:r>
        <w:rPr>
          <w:b/>
        </w:rPr>
        <w:t>Module 6 — Role-Based Pathways and Scope Activation</w:t>
        <w:br/>
      </w:r>
      <w:r>
        <w:t>Section 4 — Clinical, nursing, case-coordination, and support pathways</w:t>
        <w:br/>
      </w:r>
      <w:r>
        <w:t>Prepared for Adolbi Care — Behavioral Health Center at Cypress</w:t>
        <w:br/>
      </w:r>
      <w:r>
        <w:t>Authored by AMOS I</w:t>
      </w:r>
    </w:p>
    <w:p>
      <w:pPr>
        <w:pStyle w:val="Heading1"/>
        <w:shd w:fill="156082" w:val="clear"/>
      </w:pPr>
      <w:r>
        <w:t>Document purpose</w:t>
      </w:r>
    </w:p>
    <w:p>
      <w:r>
        <w:t>This editable planning tool helps teams clarify handoffs, referral boundaries, and information flow across clinical, nursing, case, and support pathways.</w:t>
      </w:r>
    </w:p>
    <w:p>
      <w:r>
        <w:t>Teams can use the planner during case review, role clarification, or onboarding when coordination needs to be explicit before specialty activation expands.</w:t>
      </w:r>
    </w:p>
    <w:p>
      <w:pPr>
        <w:pStyle w:val="Heading1"/>
        <w:shd w:fill="156082" w:val="clear"/>
      </w:pPr>
      <w:r>
        <w:t>Section context</w:t>
      </w:r>
    </w:p>
    <w:p>
      <w:r>
        <w:t>The fourth section covers credentialed, specialty, and coordination pathways whose work depends on narrower scope limits, stronger documentation discipline, and active collaboration with other roles.</w:t>
      </w:r>
    </w:p>
    <w:p>
      <w:r>
        <w:t>Help learners recognize how clinical, nursing, case-coordination, and support roles activate through scope discipline, cross-functional coordination, and evidence tied to specialized responsibility.</w:t>
      </w:r>
    </w:p>
    <w:p>
      <w:pPr>
        <w:pStyle w:val="Heading2"/>
        <w:shd w:fill="C1E4F5" w:val="clear"/>
      </w:pPr>
      <w:r>
        <w:t>Why this section matters</w:t>
      </w:r>
    </w:p>
    <w:p>
      <w:r>
        <w:t>Not all pathways are broad resident-facing roles or formal leadership posts. Some roles activate through specialty practice, credentialed duty, or coordination work that sits at defined junction points in the care process.</w:t>
      </w:r>
    </w:p>
    <w:p>
      <w:r>
        <w:t>Because these pathways rely on specialty knowledge or role-specific interfaces, readiness depends heavily on boundary clarity. The question is not only what the person can do, but where the work begins and ends, what consultation or referral rules apply, and how the pathway interacts with the rest of the team.</w:t>
      </w:r>
    </w:p>
    <w:p>
      <w:r>
        <w:t>This section teaches specialty activation as coordinated discipline. Expertise must be paired with clear communication, appropriate handoff, defensible documentation, and respect for the wider operating system.</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Practice inside defined scope</w:t>
            </w:r>
          </w:p>
        </w:tc>
        <w:tc>
          <w:tcPr>
            <w:tcW w:type="dxa" w:w="4680"/>
          </w:tcPr>
          <w:p>
            <w:pPr>
              <w:spacing w:after="120"/>
            </w:pPr>
            <w:r>
              <w:t>Specialty and credentialed roles should be activated only for the work they are approved, prepared, and permitted to perform.</w:t>
            </w:r>
          </w:p>
        </w:tc>
      </w:tr>
      <w:tr>
        <w:tc>
          <w:tcPr>
            <w:tcW w:type="dxa" w:w="4680"/>
          </w:tcPr>
          <w:p>
            <w:pPr>
              <w:spacing w:after="120"/>
            </w:pPr>
            <w:r>
              <w:t>Coordinate across disciplines</w:t>
            </w:r>
          </w:p>
        </w:tc>
        <w:tc>
          <w:tcPr>
            <w:tcW w:type="dxa" w:w="4680"/>
          </w:tcPr>
          <w:p>
            <w:pPr>
              <w:spacing w:after="120"/>
            </w:pPr>
            <w:r>
              <w:t>These pathways depend on careful communication with direct-care, leadership, external partners, and other specialist roles.</w:t>
            </w:r>
          </w:p>
        </w:tc>
      </w:tr>
      <w:tr>
        <w:tc>
          <w:tcPr>
            <w:tcW w:type="dxa" w:w="4680"/>
          </w:tcPr>
          <w:p>
            <w:pPr>
              <w:spacing w:after="120"/>
            </w:pPr>
            <w:r>
              <w:t>Document decisions and handoffs</w:t>
            </w:r>
          </w:p>
        </w:tc>
        <w:tc>
          <w:tcPr>
            <w:tcW w:type="dxa" w:w="4680"/>
          </w:tcPr>
          <w:p>
            <w:pPr>
              <w:spacing w:after="120"/>
            </w:pPr>
            <w:r>
              <w:t>Specialty work leaves a stronger evidence trail because recommendations, interventions, and coordination steps may need close review.</w:t>
            </w:r>
          </w:p>
        </w:tc>
      </w:tr>
      <w:tr>
        <w:tc>
          <w:tcPr>
            <w:tcW w:type="dxa" w:w="4680"/>
          </w:tcPr>
          <w:p>
            <w:pPr>
              <w:spacing w:after="120"/>
            </w:pPr>
            <w:r>
              <w:t>Protect referral and escalation boundaries</w:t>
            </w:r>
          </w:p>
        </w:tc>
        <w:tc>
          <w:tcPr>
            <w:tcW w:type="dxa" w:w="4680"/>
          </w:tcPr>
          <w:p>
            <w:pPr>
              <w:spacing w:after="120"/>
            </w:pPr>
            <w:r>
              <w:t>When the issue falls outside the pathway, the role should escalate or refer rather than drift into unsupported decision-making.</w:t>
            </w:r>
          </w:p>
        </w:tc>
      </w:tr>
    </w:tbl>
    <w:p>
      <w:pPr>
        <w:pStyle w:val="Heading2"/>
        <w:shd w:fill="C1E4F5" w:val="clear"/>
      </w:pPr>
      <w:r>
        <w:t>Key reminders</w:t>
      </w:r>
    </w:p>
    <w:p>
      <w:pPr>
        <w:pStyle w:val="ListBullet"/>
        <w:spacing w:after="120"/>
        <w:ind w:left="720" w:hanging="360"/>
      </w:pPr>
      <w:r>
        <w:t>Specialty activation depends on scope clarity as much as on subject-matter knowledge.</w:t>
      </w:r>
    </w:p>
    <w:p>
      <w:pPr>
        <w:pStyle w:val="ListBullet"/>
        <w:spacing w:after="120"/>
        <w:ind w:left="720" w:hanging="360"/>
      </w:pPr>
      <w:r>
        <w:t>Coordination and documentation are core parts of the pathway, not afterthoughts.</w:t>
      </w:r>
    </w:p>
    <w:p>
      <w:pPr>
        <w:pStyle w:val="ListBullet"/>
        <w:spacing w:after="120"/>
        <w:ind w:left="720" w:hanging="360"/>
      </w:pPr>
      <w:r>
        <w:t>The same structured teaching pattern from earlier modules is preserved so complex pathway differences remain readable and teachable.</w:t>
      </w:r>
    </w:p>
    <w:p>
      <w:r>
        <w:t>When specialty roles activate without clear boundaries, teams can lose track of who owns the issue, who should document next steps, and when the concern should move to another discipline. This section is meant to prevent that drift.</w:t>
      </w:r>
    </w:p>
    <w:p>
      <w:pPr>
        <w:pStyle w:val="Heading1"/>
        <w:shd w:fill="156082" w:val="clear"/>
      </w:pPr>
      <w:r>
        <w:t>Instructions</w:t>
      </w:r>
    </w:p>
    <w:p>
      <w:pPr>
        <w:pStyle w:val="ListBullet"/>
        <w:spacing w:after="120"/>
        <w:ind w:left="720" w:hanging="360"/>
      </w:pPr>
      <w:r>
        <w:t>Use one resident-support workflow or recurring coordination situation as the discussion anchor.</w:t>
      </w:r>
    </w:p>
    <w:p>
      <w:pPr>
        <w:pStyle w:val="ListBullet"/>
        <w:spacing w:after="120"/>
        <w:ind w:left="720" w:hanging="360"/>
      </w:pPr>
      <w:r>
        <w:t>Name which role starts the action, which role receives the handoff, and what documentation should accompany the transfer.</w:t>
      </w:r>
    </w:p>
    <w:p>
      <w:pPr>
        <w:pStyle w:val="ListBullet"/>
        <w:spacing w:after="120"/>
        <w:ind w:left="720" w:hanging="360"/>
      </w:pPr>
      <w:r>
        <w:t>Finish by identifying one referral or escalation boundary that should be made more visible in practice.</w:t>
      </w:r>
    </w:p>
    <w:p>
      <w:pPr>
        <w:pStyle w:val="Heading1"/>
        <w:shd w:fill="156082" w:val="clear"/>
      </w:pPr>
      <w:r>
        <w:t>Worksheet and record fields</w:t>
      </w:r>
    </w:p>
    <w:p>
      <w:pPr>
        <w:pStyle w:val="Heading3"/>
      </w:pPr>
      <w:r>
        <w:t>Cross-discipline handoff map</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Workflow moment</w:t>
            </w:r>
          </w:p>
        </w:tc>
        <w:tc>
          <w:tcPr>
            <w:tcW w:type="dxa" w:w="2340"/>
            <w:shd w:fill="0A2F40" w:val="clear"/>
          </w:tcPr>
          <w:p>
            <w:r>
              <w:rPr>
                <w:rFonts w:ascii="Aptos" w:hAnsi="Aptos"/>
                <w:b/>
                <w:color w:val="FFFFFF"/>
                <w:sz w:val="18"/>
              </w:rPr>
              <w:t>Role initiating action</w:t>
            </w:r>
          </w:p>
        </w:tc>
        <w:tc>
          <w:tcPr>
            <w:tcW w:type="dxa" w:w="2340"/>
            <w:shd w:fill="0A2F40" w:val="clear"/>
          </w:tcPr>
          <w:p>
            <w:r>
              <w:rPr>
                <w:rFonts w:ascii="Aptos" w:hAnsi="Aptos"/>
                <w:b/>
                <w:color w:val="FFFFFF"/>
                <w:sz w:val="18"/>
              </w:rPr>
              <w:t>Role receiving handoff</w:t>
            </w:r>
          </w:p>
        </w:tc>
        <w:tc>
          <w:tcPr>
            <w:tcW w:type="dxa" w:w="2340"/>
            <w:shd w:fill="0A2F40" w:val="clear"/>
          </w:tcPr>
          <w:p>
            <w:r>
              <w:rPr>
                <w:rFonts w:ascii="Aptos" w:hAnsi="Aptos"/>
                <w:b/>
                <w:color w:val="FFFFFF"/>
                <w:sz w:val="18"/>
              </w:rPr>
              <w:t>Required documentation / message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Boundary reinforcement notes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Boundary at risk</w:t>
            </w:r>
          </w:p>
        </w:tc>
        <w:tc>
          <w:tcPr>
            <w:tcW w:type="dxa" w:w="2340"/>
            <w:shd w:fill="0A2F40" w:val="clear"/>
          </w:tcPr>
          <w:p>
            <w:r>
              <w:rPr>
                <w:rFonts w:ascii="Aptos" w:hAnsi="Aptos"/>
                <w:b/>
                <w:color w:val="FFFFFF"/>
                <w:sz w:val="18"/>
              </w:rPr>
              <w:t>Why it blurs</w:t>
            </w:r>
          </w:p>
        </w:tc>
        <w:tc>
          <w:tcPr>
            <w:tcW w:type="dxa" w:w="2340"/>
            <w:shd w:fill="0A2F40" w:val="clear"/>
          </w:tcPr>
          <w:p>
            <w:r>
              <w:rPr>
                <w:rFonts w:ascii="Aptos" w:hAnsi="Aptos"/>
                <w:b/>
                <w:color w:val="FFFFFF"/>
                <w:sz w:val="18"/>
              </w:rPr>
              <w:t>How to protect it</w:t>
            </w:r>
          </w:p>
        </w:tc>
        <w:tc>
          <w:tcPr>
            <w:tcW w:type="dxa" w:w="2340"/>
            <w:shd w:fill="0A2F40" w:val="clear"/>
          </w:tcPr>
          <w:p>
            <w:r>
              <w:rPr>
                <w:rFonts w:ascii="Aptos" w:hAnsi="Aptos"/>
                <w:b/>
                <w:color w:val="FFFFFF"/>
                <w:sz w:val="18"/>
              </w:rPr>
              <w:t>Owner for follow-up</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Where do specialty handoffs lose clarity most often?</w:t>
      </w:r>
    </w:p>
    <w:p>
      <w:pPr>
        <w:pStyle w:val="ListBullet"/>
        <w:spacing w:after="120"/>
        <w:ind w:left="720" w:hanging="360"/>
      </w:pPr>
      <w:r>
        <w:t>What documentation or communication step would make the handoff more defensible?</w:t>
      </w:r>
    </w:p>
    <w:p>
      <w:pPr>
        <w:pStyle w:val="ListBullet"/>
        <w:spacing w:after="120"/>
        <w:ind w:left="720" w:hanging="360"/>
      </w:pPr>
      <w:r>
        <w:t>How will the team know when a specialty role should refer rather than continue carrying the issue?</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Cross-discipline coordination planner</dc:title>
  <dc:subject>Module 6 — Role-Based Pathways and Scope Activation — Clinical, nursing, case-coordination, and support pathways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