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spacing w:after="120"/>
        <w:jc w:val="left"/>
      </w:pPr>
      <w:r>
        <w:t>Difficult conversation planning worksheet</w:t>
      </w:r>
    </w:p>
    <w:p>
      <w:pPr>
        <w:spacing w:before="0" w:after="200"/>
      </w:pPr>
      <w:r>
        <w:rPr>
          <w:b/>
        </w:rPr>
        <w:t>Module 5 — Professional Communication and Relational Practice</w:t>
        <w:br/>
      </w:r>
      <w:r>
        <w:t>Section 3 — Boundaries, expectations, and difficult conversations</w:t>
        <w:br/>
      </w:r>
      <w:r>
        <w:t>Prepared for Adolbi Care — Behavioral Health Center at Cypress</w:t>
        <w:br/>
      </w:r>
      <w:r>
        <w:t>Authored by AMOS I</w:t>
      </w:r>
    </w:p>
    <w:p>
      <w:pPr>
        <w:pStyle w:val="Heading1"/>
        <w:shd w:fill="156082" w:val="clear"/>
      </w:pPr>
      <w:r>
        <w:t>Document purpose</w:t>
      </w:r>
    </w:p>
    <w:p>
      <w:r>
        <w:t>This editable worksheet helps learners prepare for a difficult conversation by clarifying the issue, naming the expectation, and identifying how to stay steady if the interaction becomes uncomfortable.</w:t>
      </w:r>
    </w:p>
    <w:p>
      <w:r>
        <w:t>Supervisors can use the worksheet in coaching, return demonstration, or pre-conversation planning when a learner needs more structure before addressing a difficult issue.</w:t>
      </w:r>
    </w:p>
    <w:p>
      <w:pPr>
        <w:pStyle w:val="Heading1"/>
        <w:shd w:fill="156082" w:val="clear"/>
      </w:pPr>
      <w:r>
        <w:t>Section context</w:t>
      </w:r>
    </w:p>
    <w:p>
      <w:r>
        <w:t>The third section teaches how staff can be both supportive and clear. It focuses on naming expectations, holding limits, redirecting behavior, and staying professional when the conversation becomes uncomfortable.</w:t>
      </w:r>
    </w:p>
    <w:p>
      <w:r>
        <w:t>Help learners conduct difficult conversations with clarity, respect, and appropriate limits so expectations can be enforced without unnecessary escalation or loss of professionalism.</w:t>
      </w:r>
    </w:p>
    <w:p>
      <w:pPr>
        <w:pStyle w:val="Heading2"/>
        <w:shd w:fill="C1E4F5" w:val="clear"/>
      </w:pPr>
      <w:r>
        <w:t>Why this section matters</w:t>
      </w:r>
    </w:p>
    <w:p>
      <w:r>
        <w:t>Many communication problems emerge when staff feel forced to choose between being kind and being clear. This section rejects that false choice. It teaches that boundaries are part of good care because they make expectations visible, reduce confusion, and help protect both the person receiving support and the staff member responsible for the interaction.</w:t>
      </w:r>
    </w:p>
    <w:p>
      <w:r>
        <w:t>Difficult conversations often become harder when expectations are hinted at rather than named. Learners therefore need language for describing the issue directly, stating the expected change, and holding the line without drifting into argument, sarcasm, or emotional reactivity. The focus is not on control through forceful speech, but on calm structure that preserves dignity while still moving the situation forward.</w:t>
      </w:r>
    </w:p>
    <w:p>
      <w:r>
        <w:t>This section should leave learners better able to manage uncomfortable moments without becoming vague, avoidant, or overly sharp. Professional communication is strongest when support and accountability can be carried together in the same interaction.</w:t>
      </w:r>
    </w:p>
    <w:p>
      <w:pPr>
        <w:pStyle w:val="Heading2"/>
        <w:shd w:fill="C1E4F5" w:val="clear"/>
      </w:pPr>
      <w:r>
        <w:t>Core practice frame</w:t>
      </w:r>
    </w:p>
    <w:p>
      <w:pPr>
        <w:pStyle w:val="Heading3"/>
      </w:pPr>
      <w:r>
        <w:t>Operational anchors</w:t>
      </w:r>
    </w:p>
    <w:tbl>
      <w:tblPr>
        <w:tblStyle w:val="TableGrid"/>
        <w:tblW w:type="auto" w:w="0"/>
        <w:jc w:val="left"/>
        <w:tblLook w:firstColumn="1" w:firstRow="1" w:lastColumn="0" w:lastRow="0" w:noHBand="0" w:noVBand="1" w:val="04A0"/>
      </w:tblPr>
      <w:tblGrid>
        <w:gridCol w:w="4680"/>
        <w:gridCol w:w="4680"/>
      </w:tblGrid>
      <w:tr>
        <w:tc>
          <w:tcPr>
            <w:tcW w:type="dxa" w:w="4680"/>
            <w:shd w:fill="0A2F40" w:val="clear"/>
          </w:tcPr>
          <w:p>
            <w:r>
              <w:rPr>
                <w:rFonts w:ascii="Aptos" w:hAnsi="Aptos"/>
                <w:b/>
                <w:color w:val="FFFFFF"/>
                <w:sz w:val="18"/>
              </w:rPr>
              <w:t>Anchor</w:t>
            </w:r>
          </w:p>
        </w:tc>
        <w:tc>
          <w:tcPr>
            <w:tcW w:type="dxa" w:w="4680"/>
            <w:shd w:fill="0A2F40" w:val="clear"/>
          </w:tcPr>
          <w:p>
            <w:r>
              <w:rPr>
                <w:rFonts w:ascii="Aptos" w:hAnsi="Aptos"/>
                <w:b/>
                <w:color w:val="FFFFFF"/>
                <w:sz w:val="18"/>
              </w:rPr>
              <w:t>Guidance</w:t>
            </w:r>
          </w:p>
        </w:tc>
      </w:tr>
      <w:tr>
        <w:tc>
          <w:tcPr>
            <w:tcW w:type="dxa" w:w="4680"/>
          </w:tcPr>
          <w:p>
            <w:pPr>
              <w:spacing w:after="120"/>
            </w:pPr>
            <w:r>
              <w:t>Name the issue directly</w:t>
            </w:r>
          </w:p>
        </w:tc>
        <w:tc>
          <w:tcPr>
            <w:tcW w:type="dxa" w:w="4680"/>
          </w:tcPr>
          <w:p>
            <w:pPr>
              <w:spacing w:after="120"/>
            </w:pPr>
            <w:r>
              <w:t>Clarity prevents mixed messages and helps the other person understand what is changing, what is expected, and why it matters.</w:t>
            </w:r>
          </w:p>
        </w:tc>
      </w:tr>
      <w:tr>
        <w:tc>
          <w:tcPr>
            <w:tcW w:type="dxa" w:w="4680"/>
          </w:tcPr>
          <w:p>
            <w:pPr>
              <w:spacing w:after="120"/>
            </w:pPr>
            <w:r>
              <w:t>Hold the boundary calmly</w:t>
            </w:r>
          </w:p>
        </w:tc>
        <w:tc>
          <w:tcPr>
            <w:tcW w:type="dxa" w:w="4680"/>
          </w:tcPr>
          <w:p>
            <w:pPr>
              <w:spacing w:after="120"/>
            </w:pPr>
            <w:r>
              <w:t>Boundaries should be stated without unnecessary argument, threat, or emotional escalation from staff.</w:t>
            </w:r>
          </w:p>
        </w:tc>
      </w:tr>
      <w:tr>
        <w:tc>
          <w:tcPr>
            <w:tcW w:type="dxa" w:w="4680"/>
          </w:tcPr>
          <w:p>
            <w:pPr>
              <w:spacing w:after="120"/>
            </w:pPr>
            <w:r>
              <w:t>Offer the next workable path</w:t>
            </w:r>
          </w:p>
        </w:tc>
        <w:tc>
          <w:tcPr>
            <w:tcW w:type="dxa" w:w="4680"/>
          </w:tcPr>
          <w:p>
            <w:pPr>
              <w:spacing w:after="120"/>
            </w:pPr>
            <w:r>
              <w:t>After naming the limit, staff should redirect the interaction toward a concrete next step the other person can understand.</w:t>
            </w:r>
          </w:p>
        </w:tc>
      </w:tr>
      <w:tr>
        <w:tc>
          <w:tcPr>
            <w:tcW w:type="dxa" w:w="4680"/>
          </w:tcPr>
          <w:p>
            <w:pPr>
              <w:spacing w:after="120"/>
            </w:pPr>
            <w:r>
              <w:t>Stay professional when challenged</w:t>
            </w:r>
          </w:p>
        </w:tc>
        <w:tc>
          <w:tcPr>
            <w:tcW w:type="dxa" w:w="4680"/>
          </w:tcPr>
          <w:p>
            <w:pPr>
              <w:spacing w:after="120"/>
            </w:pPr>
            <w:r>
              <w:t>Difficulty in the conversation should not pull staff away from steady tone, respect, or role clarity.</w:t>
            </w:r>
          </w:p>
        </w:tc>
      </w:tr>
    </w:tbl>
    <w:p>
      <w:pPr>
        <w:pStyle w:val="Heading2"/>
        <w:shd w:fill="C1E4F5" w:val="clear"/>
      </w:pPr>
      <w:r>
        <w:t>Key reminders</w:t>
      </w:r>
    </w:p>
    <w:p>
      <w:pPr>
        <w:pStyle w:val="ListBullet"/>
        <w:spacing w:after="120"/>
        <w:ind w:left="720" w:hanging="360"/>
      </w:pPr>
      <w:r>
        <w:t>Support and limits can coexist in the same conversation.</w:t>
      </w:r>
    </w:p>
    <w:p>
      <w:pPr>
        <w:pStyle w:val="ListBullet"/>
        <w:spacing w:after="120"/>
        <w:ind w:left="720" w:hanging="360"/>
      </w:pPr>
      <w:r>
        <w:t>Hard conversations become safer when the next step is visible.</w:t>
      </w:r>
    </w:p>
    <w:p>
      <w:pPr>
        <w:pStyle w:val="ListBullet"/>
        <w:spacing w:after="120"/>
        <w:ind w:left="720" w:hanging="360"/>
      </w:pPr>
      <w:r>
        <w:t>Clear expectations reduce the need for repeated correction later.</w:t>
      </w:r>
    </w:p>
    <w:p>
      <w:r>
        <w:t>By the end of this section, learners should understand that boundary-setting is not the opposite of supportive communication. Done well, it is one of the clearest forms of care and professionalism.</w:t>
      </w:r>
    </w:p>
    <w:p>
      <w:pPr>
        <w:pStyle w:val="Heading1"/>
        <w:shd w:fill="156082" w:val="clear"/>
      </w:pPr>
      <w:r>
        <w:t>Instructions</w:t>
      </w:r>
    </w:p>
    <w:p>
      <w:pPr>
        <w:pStyle w:val="ListBullet"/>
        <w:spacing w:after="120"/>
        <w:ind w:left="720" w:hanging="360"/>
      </w:pPr>
      <w:r>
        <w:t>Ask the learner to identify a real conversation they need to have, not a hypothetical topic with no current relevance.</w:t>
      </w:r>
    </w:p>
    <w:p>
      <w:pPr>
        <w:pStyle w:val="ListBullet"/>
        <w:spacing w:after="120"/>
        <w:ind w:left="720" w:hanging="360"/>
      </w:pPr>
      <w:r>
        <w:t>Use the worksheet to separate the issue, the boundary, the exact next step, and the emotional risks that could pull the conversation off course.</w:t>
      </w:r>
    </w:p>
    <w:p>
      <w:pPr>
        <w:pStyle w:val="ListBullet"/>
        <w:spacing w:after="120"/>
        <w:ind w:left="720" w:hanging="360"/>
      </w:pPr>
      <w:r>
        <w:t>End by practicing one boundary statement and one recovery statement the learner can use if challenged.</w:t>
      </w:r>
    </w:p>
    <w:p>
      <w:pPr>
        <w:pStyle w:val="Heading1"/>
        <w:shd w:fill="156082" w:val="clear"/>
      </w:pPr>
      <w:r>
        <w:t>Worksheet and record fields</w:t>
      </w:r>
    </w:p>
    <w:p>
      <w:pPr>
        <w:pStyle w:val="Heading3"/>
      </w:pPr>
      <w:r>
        <w:t>Conversation structure planner</w:t>
      </w:r>
    </w:p>
    <w:tbl>
      <w:tblPr>
        <w:tblStyle w:val="TableGrid"/>
        <w:tblW w:type="auto" w:w="0"/>
        <w:jc w:val="left"/>
        <w:tblLook w:firstColumn="1" w:firstRow="1" w:lastColumn="0" w:lastRow="0" w:noHBand="0" w:noVBand="1" w:val="04A0"/>
      </w:tblPr>
      <w:tblGrid>
        <w:gridCol w:w="3120"/>
        <w:gridCol w:w="3120"/>
        <w:gridCol w:w="3120"/>
      </w:tblGrid>
      <w:tr>
        <w:tc>
          <w:tcPr>
            <w:tcW w:type="dxa" w:w="3120"/>
            <w:shd w:fill="0A2F40" w:val="clear"/>
          </w:tcPr>
          <w:p>
            <w:r>
              <w:rPr>
                <w:rFonts w:ascii="Aptos" w:hAnsi="Aptos"/>
                <w:b/>
                <w:color w:val="FFFFFF"/>
                <w:sz w:val="18"/>
              </w:rPr>
              <w:t>Issue to name</w:t>
            </w:r>
          </w:p>
        </w:tc>
        <w:tc>
          <w:tcPr>
            <w:tcW w:type="dxa" w:w="3120"/>
            <w:shd w:fill="0A2F40" w:val="clear"/>
          </w:tcPr>
          <w:p>
            <w:r>
              <w:rPr>
                <w:rFonts w:ascii="Aptos" w:hAnsi="Aptos"/>
                <w:b/>
                <w:color w:val="FFFFFF"/>
                <w:sz w:val="18"/>
              </w:rPr>
              <w:t>Expectation or limit</w:t>
            </w:r>
          </w:p>
        </w:tc>
        <w:tc>
          <w:tcPr>
            <w:tcW w:type="dxa" w:w="3120"/>
            <w:shd w:fill="0A2F40" w:val="clear"/>
          </w:tcPr>
          <w:p>
            <w:r>
              <w:rPr>
                <w:rFonts w:ascii="Aptos" w:hAnsi="Aptos"/>
                <w:b/>
                <w:color w:val="FFFFFF"/>
                <w:sz w:val="18"/>
              </w:rPr>
              <w:t>Next step I will offer</w:t>
            </w:r>
          </w:p>
        </w:tc>
      </w:tr>
      <w:tr>
        <w:tc>
          <w:tcPr>
            <w:tcW w:type="dxa" w:w="3120"/>
          </w:tcPr>
          <w:p>
            <w:pPr>
              <w:spacing w:after="120"/>
            </w:pPr>
            <w:r/>
          </w:p>
        </w:tc>
        <w:tc>
          <w:tcPr>
            <w:tcW w:type="dxa" w:w="3120"/>
          </w:tcPr>
          <w:p>
            <w:pPr>
              <w:spacing w:after="120"/>
            </w:pPr>
            <w:r/>
          </w:p>
        </w:tc>
        <w:tc>
          <w:tcPr>
            <w:tcW w:type="dxa" w:w="3120"/>
          </w:tcPr>
          <w:p>
            <w:pPr>
              <w:spacing w:after="120"/>
            </w:pPr>
            <w:r/>
          </w:p>
        </w:tc>
      </w:tr>
      <w:tr>
        <w:tc>
          <w:tcPr>
            <w:tcW w:type="dxa" w:w="3120"/>
          </w:tcPr>
          <w:p>
            <w:pPr>
              <w:spacing w:after="120"/>
            </w:pPr>
            <w:r/>
          </w:p>
        </w:tc>
        <w:tc>
          <w:tcPr>
            <w:tcW w:type="dxa" w:w="3120"/>
          </w:tcPr>
          <w:p>
            <w:pPr>
              <w:spacing w:after="120"/>
            </w:pPr>
            <w:r/>
          </w:p>
        </w:tc>
        <w:tc>
          <w:tcPr>
            <w:tcW w:type="dxa" w:w="3120"/>
          </w:tcPr>
          <w:p>
            <w:pPr>
              <w:spacing w:after="120"/>
            </w:pPr>
            <w:r/>
          </w:p>
        </w:tc>
      </w:tr>
      <w:tr>
        <w:tc>
          <w:tcPr>
            <w:tcW w:type="dxa" w:w="3120"/>
          </w:tcPr>
          <w:p>
            <w:pPr>
              <w:spacing w:after="120"/>
            </w:pPr>
            <w:r/>
          </w:p>
        </w:tc>
        <w:tc>
          <w:tcPr>
            <w:tcW w:type="dxa" w:w="3120"/>
          </w:tcPr>
          <w:p>
            <w:pPr>
              <w:spacing w:after="120"/>
            </w:pPr>
            <w:r/>
          </w:p>
        </w:tc>
        <w:tc>
          <w:tcPr>
            <w:tcW w:type="dxa" w:w="3120"/>
          </w:tcPr>
          <w:p>
            <w:pPr>
              <w:spacing w:after="120"/>
            </w:pPr>
            <w:r/>
          </w:p>
        </w:tc>
      </w:tr>
    </w:tbl>
    <w:p>
      <w:pPr>
        <w:pStyle w:val="Heading3"/>
      </w:pPr>
      <w:r>
        <w:t>Professional steadiness check</w:t>
      </w:r>
    </w:p>
    <w:tbl>
      <w:tblPr>
        <w:tblStyle w:val="TableGrid"/>
        <w:tblW w:type="auto" w:w="0"/>
        <w:jc w:val="left"/>
        <w:tblLook w:firstColumn="1" w:firstRow="1" w:lastColumn="0" w:lastRow="0" w:noHBand="0" w:noVBand="1" w:val="04A0"/>
      </w:tblPr>
      <w:tblGrid>
        <w:gridCol w:w="3120"/>
        <w:gridCol w:w="3120"/>
        <w:gridCol w:w="3120"/>
      </w:tblGrid>
      <w:tr>
        <w:tc>
          <w:tcPr>
            <w:tcW w:type="dxa" w:w="3120"/>
            <w:shd w:fill="0A2F40" w:val="clear"/>
          </w:tcPr>
          <w:p>
            <w:r>
              <w:rPr>
                <w:rFonts w:ascii="Aptos" w:hAnsi="Aptos"/>
                <w:b/>
                <w:color w:val="FFFFFF"/>
                <w:sz w:val="18"/>
              </w:rPr>
              <w:t>Trigger I need to manage</w:t>
            </w:r>
          </w:p>
        </w:tc>
        <w:tc>
          <w:tcPr>
            <w:tcW w:type="dxa" w:w="3120"/>
            <w:shd w:fill="0A2F40" w:val="clear"/>
          </w:tcPr>
          <w:p>
            <w:r>
              <w:rPr>
                <w:rFonts w:ascii="Aptos" w:hAnsi="Aptos"/>
                <w:b/>
                <w:color w:val="FFFFFF"/>
                <w:sz w:val="18"/>
              </w:rPr>
              <w:t>How I will stay calm and clear</w:t>
            </w:r>
          </w:p>
        </w:tc>
        <w:tc>
          <w:tcPr>
            <w:tcW w:type="dxa" w:w="3120"/>
            <w:shd w:fill="0A2F40" w:val="clear"/>
          </w:tcPr>
          <w:p>
            <w:r>
              <w:rPr>
                <w:rFonts w:ascii="Aptos" w:hAnsi="Aptos"/>
                <w:b/>
                <w:color w:val="FFFFFF"/>
                <w:sz w:val="18"/>
              </w:rPr>
              <w:t>How I will know the conversation stayed professional</w:t>
            </w:r>
          </w:p>
        </w:tc>
      </w:tr>
      <w:tr>
        <w:tc>
          <w:tcPr>
            <w:tcW w:type="dxa" w:w="3120"/>
          </w:tcPr>
          <w:p>
            <w:pPr>
              <w:spacing w:after="120"/>
            </w:pPr>
            <w:r/>
          </w:p>
        </w:tc>
        <w:tc>
          <w:tcPr>
            <w:tcW w:type="dxa" w:w="3120"/>
          </w:tcPr>
          <w:p>
            <w:pPr>
              <w:spacing w:after="120"/>
            </w:pPr>
            <w:r/>
          </w:p>
        </w:tc>
        <w:tc>
          <w:tcPr>
            <w:tcW w:type="dxa" w:w="3120"/>
          </w:tcPr>
          <w:p>
            <w:pPr>
              <w:spacing w:after="120"/>
            </w:pPr>
            <w:r/>
          </w:p>
        </w:tc>
      </w:tr>
      <w:tr>
        <w:tc>
          <w:tcPr>
            <w:tcW w:type="dxa" w:w="3120"/>
          </w:tcPr>
          <w:p>
            <w:pPr>
              <w:spacing w:after="120"/>
            </w:pPr>
            <w:r/>
          </w:p>
        </w:tc>
        <w:tc>
          <w:tcPr>
            <w:tcW w:type="dxa" w:w="3120"/>
          </w:tcPr>
          <w:p>
            <w:pPr>
              <w:spacing w:after="120"/>
            </w:pPr>
            <w:r/>
          </w:p>
        </w:tc>
        <w:tc>
          <w:tcPr>
            <w:tcW w:type="dxa" w:w="3120"/>
          </w:tcPr>
          <w:p>
            <w:pPr>
              <w:spacing w:after="120"/>
            </w:pPr>
            <w:r/>
          </w:p>
        </w:tc>
      </w:tr>
      <w:tr>
        <w:tc>
          <w:tcPr>
            <w:tcW w:type="dxa" w:w="3120"/>
          </w:tcPr>
          <w:p>
            <w:pPr>
              <w:spacing w:after="120"/>
            </w:pPr>
            <w:r/>
          </w:p>
        </w:tc>
        <w:tc>
          <w:tcPr>
            <w:tcW w:type="dxa" w:w="3120"/>
          </w:tcPr>
          <w:p>
            <w:pPr>
              <w:spacing w:after="120"/>
            </w:pPr>
            <w:r/>
          </w:p>
        </w:tc>
        <w:tc>
          <w:tcPr>
            <w:tcW w:type="dxa" w:w="3120"/>
          </w:tcPr>
          <w:p>
            <w:pPr>
              <w:spacing w:after="120"/>
            </w:pPr>
            <w:r/>
          </w:p>
        </w:tc>
      </w:tr>
    </w:tbl>
    <w:p>
      <w:pPr>
        <w:pStyle w:val="Heading1"/>
        <w:shd w:fill="156082" w:val="clear"/>
      </w:pPr>
      <w:r>
        <w:t>Reflection and completion prompts</w:t>
      </w:r>
    </w:p>
    <w:p>
      <w:pPr>
        <w:pStyle w:val="ListBullet"/>
        <w:spacing w:after="120"/>
        <w:ind w:left="720" w:hanging="360"/>
      </w:pPr>
      <w:r>
        <w:t>What is the real issue you need to name without drifting into overexplaining or avoidance?</w:t>
      </w:r>
    </w:p>
    <w:p>
      <w:pPr>
        <w:pStyle w:val="ListBullet"/>
        <w:spacing w:after="120"/>
        <w:ind w:left="720" w:hanging="360"/>
      </w:pPr>
      <w:r>
        <w:t>How will you make the expectation visible enough for the other person to understand it clearly?</w:t>
      </w:r>
    </w:p>
    <w:p>
      <w:pPr>
        <w:pStyle w:val="ListBullet"/>
        <w:spacing w:after="120"/>
        <w:ind w:left="720" w:hanging="360"/>
      </w:pPr>
      <w:r>
        <w:t>What usually challenges your professionalism during difficult conversations, and how will you protect against it?</w:t>
      </w:r>
    </w:p>
    <w:sectPr w:rsidR="00FC693F" w:rsidRPr="0006063C" w:rsidSect="00034616">
      <w:headerReference w:type="default" r:id="rId9"/>
      <w:pgSz w:w="12240" w:h="15840"/>
      <w:pgMar w:top="1440" w:right="1440" w:bottom="1440" w:left="1440" w:header="288"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tbl>
    <w:tblPr>
      <w:tblW w:type="auto" w:w="0"/>
      <w:jc w:val="left"/>
      <w:tblLayout w:type="fixed"/>
      <w:tblLook w:firstColumn="1" w:firstRow="1" w:lastColumn="0" w:lastRow="0" w:noHBand="0" w:noVBand="1" w:val="04A0"/>
      <w:tblBorders>
        <w:top w:val="nil"/>
        <w:left w:val="nil"/>
        <w:bottom w:val="nil"/>
        <w:right w:val="nil"/>
        <w:insideH w:val="nil"/>
        <w:insideV w:val="nil"/>
      </w:tblBorders>
    </w:tblPr>
    <w:tblGrid>
      <w:gridCol w:w="4680"/>
      <w:gridCol w:w="4680"/>
    </w:tblGrid>
    <w:tr>
      <w:tc>
        <w:tcPr>
          <w:tcW w:type="dxa" w:w="3024"/>
          <w:vAlign w:val="center"/>
        </w:tcPr>
        <w:p>
          <w:pPr>
            <w:spacing w:before="0" w:after="0"/>
            <w:jc w:val="left"/>
          </w:pPr>
          <w:r>
            <w:drawing>
              <wp:inline xmlns:a="http://schemas.openxmlformats.org/drawingml/2006/main" xmlns:pic="http://schemas.openxmlformats.org/drawingml/2006/picture">
                <wp:extent cx="1463040" cy="487680"/>
                <wp:docPr id="1" name="Picture 1"/>
                <wp:cNvGraphicFramePr>
                  <a:graphicFrameLocks noChangeAspect="1"/>
                </wp:cNvGraphicFramePr>
                <a:graphic>
                  <a:graphicData uri="http://schemas.openxmlformats.org/drawingml/2006/picture">
                    <pic:pic>
                      <pic:nvPicPr>
                        <pic:cNvPr id="0" name="logo_on_white.png"/>
                        <pic:cNvPicPr/>
                      </pic:nvPicPr>
                      <pic:blipFill>
                        <a:blip r:embed="rId1"/>
                        <a:stretch>
                          <a:fillRect/>
                        </a:stretch>
                      </pic:blipFill>
                      <pic:spPr>
                        <a:xfrm>
                          <a:off x="0" y="0"/>
                          <a:ext cx="1463040" cy="487680"/>
                        </a:xfrm>
                        <a:prstGeom prst="rect"/>
                      </pic:spPr>
                    </pic:pic>
                  </a:graphicData>
                </a:graphic>
              </wp:inline>
            </w:drawing>
          </w:r>
        </w:p>
      </w:tc>
      <w:tc>
        <w:tcPr>
          <w:tcW w:type="dxa" w:w="6336"/>
          <w:vAlign w:val="center"/>
          <w:shd w:fill="E97132" w:val="clear"/>
        </w:tcPr>
        <w:p>
          <w:pPr>
            <w:spacing w:before="0" w:after="0"/>
            <w:jc w:val="center"/>
          </w:pPr>
          <w:r>
            <w:rPr>
              <w:rFonts w:ascii="Aptos Display" w:hAnsi="Aptos Display"/>
              <w:b/>
              <w:color w:val="FFFFFF"/>
              <w:sz w:val="18"/>
            </w:rPr>
            <w:t>BEHAVIORAL HEALTH CENTER AT CYPRESS</w:t>
          </w:r>
        </w:p>
      </w:tc>
    </w:tr>
  </w:tbl>
  <w:p>
    <w:pPr>
      <w:spacing w:before="40" w:after="0"/>
      <w:pBdr>
        <w:bottom w:val="single" w:sz="12" w:space="1" w:color="156082"/>
      </w:pBd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before="0" w:after="240" w:line="276" w:lineRule="auto"/>
    </w:pPr>
    <w:rPr>
      <w:rFonts w:ascii="Aptos" w:hAnsi="Aptos"/>
      <w:color w:val="000000"/>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120" w:after="160"/>
      <w:outlineLvl w:val="0"/>
    </w:pPr>
    <w:rPr>
      <w:rFonts w:asciiTheme="majorHAnsi" w:eastAsiaTheme="majorEastAsia" w:hAnsiTheme="majorHAnsi" w:cstheme="majorBidi" w:ascii="Aptos Display" w:hAnsi="Aptos Display"/>
      <w:b/>
      <w:bCs/>
      <w:caps/>
      <w:color w:val="FFFFFF"/>
      <w:sz w:val="22"/>
      <w:szCs w:val="28"/>
    </w:rPr>
  </w:style>
  <w:style w:type="paragraph" w:styleId="Heading2">
    <w:name w:val="heading 2"/>
    <w:basedOn w:val="Normal"/>
    <w:next w:val="Normal"/>
    <w:link w:val="Heading2Char"/>
    <w:uiPriority w:val="9"/>
    <w:unhideWhenUsed/>
    <w:qFormat/>
    <w:rsid w:val="00FC693F"/>
    <w:pPr>
      <w:keepNext/>
      <w:keepLines/>
      <w:spacing w:before="120" w:after="120"/>
      <w:outlineLvl w:val="1"/>
    </w:pPr>
    <w:rPr>
      <w:rFonts w:asciiTheme="majorHAnsi" w:eastAsiaTheme="majorEastAsia" w:hAnsiTheme="majorHAnsi" w:cstheme="majorBidi" w:ascii="Aptos Display" w:hAnsi="Aptos Display"/>
      <w:b/>
      <w:bCs/>
      <w:caps/>
      <w:color w:val="0A2F40"/>
      <w:sz w:val="20"/>
      <w:szCs w:val="26"/>
    </w:rPr>
  </w:style>
  <w:style w:type="paragraph" w:styleId="Heading3">
    <w:name w:val="heading 3"/>
    <w:basedOn w:val="Normal"/>
    <w:next w:val="Normal"/>
    <w:link w:val="Heading3Char"/>
    <w:uiPriority w:val="9"/>
    <w:unhideWhenUsed/>
    <w:qFormat/>
    <w:rsid w:val="00FC693F"/>
    <w:pPr>
      <w:keepNext/>
      <w:keepLines/>
      <w:spacing w:before="160" w:after="80"/>
      <w:outlineLvl w:val="2"/>
    </w:pPr>
    <w:rPr>
      <w:rFonts w:asciiTheme="majorHAnsi" w:eastAsiaTheme="majorEastAsia" w:hAnsiTheme="majorHAnsi" w:cstheme="majorBidi" w:ascii="Aptos Display" w:hAnsi="Aptos Display"/>
      <w:b/>
      <w:bCs/>
      <w:color w:val="0A2F40"/>
      <w:sz w:val="20"/>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Aptos Display" w:hAnsi="Aptos Display"/>
      <w:color w:val="156082"/>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Difficult conversation planning worksheet</dc:title>
  <dc:subject>Module 5 — Professional Communication and Relational Practice — Boundaries, expectations, and difficult conversations</dc:subject>
  <dc:creator>AMOS I</dc:creator>
  <cp:keywords/>
  <dc:description>generated by python-docx</dc:description>
  <cp:lastModifiedBy/>
  <cp:revision>1</cp:revision>
  <dcterms:created xsi:type="dcterms:W3CDTF">2013-12-23T23:15:00Z</dcterms:created>
  <dcterms:modified xsi:type="dcterms:W3CDTF">2013-12-23T23:15:00Z</dcterms:modified>
  <cp:category/>
</cp:coreProperties>
</file>