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t>Document use reflection worksheet</w:t>
      </w:r>
    </w:p>
    <w:p>
      <w:r>
        <w:rPr>
          <w:b/>
        </w:rPr>
        <w:t>Module 2 — Governance and Accountability</w:t>
        <w:br/>
      </w:r>
      <w:r>
        <w:t>Section 3 — Policies, procedures, and controlled guidance</w:t>
        <w:br/>
      </w:r>
      <w:r>
        <w:t>Prepared for Adolbi Care — Behavioral Health Center at Cypress</w:t>
        <w:br/>
      </w:r>
      <w:r>
        <w:t>Authored by AMOS I</w:t>
      </w:r>
    </w:p>
    <w:p>
      <w:pPr>
        <w:pStyle w:val="Heading1"/>
        <w:shd w:fill="156082" w:val="clear"/>
      </w:pPr>
      <w:r>
        <w:t>Document purpose</w:t>
      </w:r>
    </w:p>
    <w:p>
      <w:r>
        <w:t>This worksheet helps learners practice choosing the right source of guidance for real work examples so document control becomes a habit rather than a theory.</w:t>
      </w:r>
    </w:p>
    <w:p>
      <w:r>
        <w:t>It can be used during facilitated training, supervision review, or competency follow-up when staff need to demonstrate document judgment using realistic examples.</w:t>
      </w:r>
    </w:p>
    <w:p>
      <w:pPr>
        <w:pStyle w:val="Heading1"/>
        <w:shd w:fill="156082" w:val="clear"/>
      </w:pPr>
      <w:r>
        <w:t>Section context</w:t>
      </w:r>
    </w:p>
    <w:p>
      <w:r>
        <w:t>This section explains how staff should distinguish high-level policy direction from procedures, forms, and practical job aids used in day-to-day operations.</w:t>
      </w:r>
    </w:p>
    <w:p>
      <w:r>
        <w:t>Teach learners how controlled documents work together so they can rely on the correct source, follow approved practice, and avoid outdated or informal guidance.</w:t>
      </w:r>
    </w:p>
    <w:p>
      <w:pPr>
        <w:pStyle w:val="Heading2"/>
        <w:shd w:fill="C1E4F5" w:val="clear"/>
      </w:pPr>
      <w:r>
        <w:t>Why this section matters</w:t>
      </w:r>
    </w:p>
    <w:p>
      <w:r>
        <w:t>Policies establish organizational expectations and boundaries. Procedures explain how approved work should be carried out. Forms, templates, and job aids support execution, but they do not replace policy direction or procedural requirements.</w:t>
      </w:r>
    </w:p>
    <w:p>
      <w:r>
        <w:t>Controlled guidance also depends on version discipline. Staff should not rely on memory, personal copies, or outdated examples when approved sources are available.</w:t>
      </w:r>
    </w:p>
    <w:p>
      <w:r>
        <w:t>This section teaches document judgment so staff know where to look, what type of guidance they are using, and when uncertainty about a document should trigger clarification before work continues.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Policy sets expectation</w:t>
            </w:r>
          </w:p>
        </w:tc>
        <w:tc>
          <w:tcPr>
            <w:tcW w:type="dxa" w:w="4680"/>
          </w:tcPr>
          <w:p>
            <w:pPr>
              <w:spacing w:after="120"/>
            </w:pPr>
            <w:r>
              <w:t>Use policy to understand the governing rule, required boundary, or organizational requirement behind the work.</w:t>
            </w:r>
          </w:p>
        </w:tc>
      </w:tr>
      <w:tr>
        <w:tc>
          <w:tcPr>
            <w:tcW w:type="dxa" w:w="4680"/>
          </w:tcPr>
          <w:p>
            <w:pPr>
              <w:spacing w:after="120"/>
            </w:pPr>
            <w:r>
              <w:t>Procedure guides action</w:t>
            </w:r>
          </w:p>
        </w:tc>
        <w:tc>
          <w:tcPr>
            <w:tcW w:type="dxa" w:w="4680"/>
          </w:tcPr>
          <w:p>
            <w:pPr>
              <w:spacing w:after="120"/>
            </w:pPr>
            <w:r>
              <w:t>Use procedures to understand the approved sequence of steps and operational responsibilities.</w:t>
            </w:r>
          </w:p>
        </w:tc>
      </w:tr>
      <w:tr>
        <w:tc>
          <w:tcPr>
            <w:tcW w:type="dxa" w:w="4680"/>
          </w:tcPr>
          <w:p>
            <w:pPr>
              <w:spacing w:after="120"/>
            </w:pPr>
            <w:r>
              <w:t>Tools support execution</w:t>
            </w:r>
          </w:p>
        </w:tc>
        <w:tc>
          <w:tcPr>
            <w:tcW w:type="dxa" w:w="4680"/>
          </w:tcPr>
          <w:p>
            <w:pPr>
              <w:spacing w:after="120"/>
            </w:pPr>
            <w:r>
              <w:t>Use forms, checklists, and job aids to complete work accurately without treating them as substitutes for formal direction.</w:t>
            </w:r>
          </w:p>
        </w:tc>
      </w:tr>
      <w:tr>
        <w:tc>
          <w:tcPr>
            <w:tcW w:type="dxa" w:w="4680"/>
          </w:tcPr>
          <w:p>
            <w:pPr>
              <w:spacing w:after="120"/>
            </w:pPr>
            <w:r>
              <w:t>Version control protects reliability</w:t>
            </w:r>
          </w:p>
        </w:tc>
        <w:tc>
          <w:tcPr>
            <w:tcW w:type="dxa" w:w="4680"/>
          </w:tcPr>
          <w:p>
            <w:pPr>
              <w:spacing w:after="120"/>
            </w:pPr>
            <w:r>
              <w:t>Confirm that the document in use is current, approved, and appropriate to the situation before relying on it.</w:t>
            </w:r>
          </w:p>
        </w:tc>
      </w:tr>
    </w:tbl>
    <w:p>
      <w:pPr>
        <w:pStyle w:val="Heading2"/>
        <w:shd w:fill="C1E4F5" w:val="clear"/>
      </w:pPr>
      <w:r>
        <w:t>Key reminders</w:t>
      </w:r>
    </w:p>
    <w:p>
      <w:pPr>
        <w:pStyle w:val="ListBullet"/>
        <w:spacing w:after="120"/>
        <w:ind w:left="720" w:hanging="360"/>
      </w:pPr>
      <w:r>
        <w:t>Not every document carries the same authority, so staff must recognize document type and purpose.</w:t>
      </w:r>
    </w:p>
    <w:p>
      <w:pPr>
        <w:pStyle w:val="ListBullet"/>
        <w:spacing w:after="120"/>
        <w:ind w:left="720" w:hanging="360"/>
      </w:pPr>
      <w:r>
        <w:t>Current approved guidance should always outrank memory, habit, or unofficial examples.</w:t>
      </w:r>
    </w:p>
    <w:p>
      <w:pPr>
        <w:pStyle w:val="ListBullet"/>
        <w:spacing w:after="120"/>
        <w:ind w:left="720" w:hanging="360"/>
      </w:pPr>
      <w:r>
        <w:t>When a source is unclear or outdated, clarification is part of accountable practice.</w:t>
      </w:r>
    </w:p>
    <w:p>
      <w:r>
        <w:t>Reliable service depends on using the right guidance at the right level. Governance becomes fragile when staff improvise from memory or outdated materials.</w:t>
      </w:r>
    </w:p>
    <w:p>
      <w:pPr>
        <w:pStyle w:val="Heading1"/>
        <w:shd w:fill="156082" w:val="clear"/>
      </w:pPr>
      <w:r>
        <w:t>Instructions</w:t>
      </w:r>
    </w:p>
    <w:p>
      <w:pPr>
        <w:pStyle w:val="ListBullet"/>
        <w:spacing w:after="120"/>
        <w:ind w:left="720" w:hanging="360"/>
      </w:pPr>
      <w:r>
        <w:t>Read each scenario and decide which document type should govern the response.</w:t>
      </w:r>
    </w:p>
    <w:p>
      <w:pPr>
        <w:pStyle w:val="ListBullet"/>
        <w:spacing w:after="120"/>
        <w:ind w:left="720" w:hanging="360"/>
      </w:pPr>
      <w:r>
        <w:t>Record why that document type is primary and what supporting tool may also be needed.</w:t>
      </w:r>
    </w:p>
    <w:p>
      <w:pPr>
        <w:pStyle w:val="ListBullet"/>
        <w:spacing w:after="120"/>
        <w:ind w:left="720" w:hanging="360"/>
      </w:pPr>
      <w:r>
        <w:t>Review any disagreements with a supervisor so document hierarchy is clarified before independent work continues.</w:t>
      </w:r>
    </w:p>
    <w:p>
      <w:pPr>
        <w:pStyle w:val="Heading1"/>
        <w:shd w:fill="156082" w:val="clear"/>
      </w:pPr>
      <w:r>
        <w:t>Worksheet and record fields</w:t>
      </w:r>
    </w:p>
    <w:p>
      <w:pPr>
        <w:pStyle w:val="Heading3"/>
      </w:pPr>
      <w:r>
        <w:t>Scenario review table</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Work example</w:t>
            </w:r>
          </w:p>
        </w:tc>
        <w:tc>
          <w:tcPr>
            <w:tcW w:type="dxa" w:w="3120"/>
            <w:shd w:fill="0A2F40" w:val="clear"/>
          </w:tcPr>
          <w:p>
            <w:r>
              <w:rPr>
                <w:rFonts w:ascii="Aptos" w:hAnsi="Aptos"/>
                <w:b/>
                <w:color w:val="FFFFFF"/>
                <w:sz w:val="18"/>
              </w:rPr>
              <w:t>Document type that should govern</w:t>
            </w:r>
          </w:p>
        </w:tc>
        <w:tc>
          <w:tcPr>
            <w:tcW w:type="dxa" w:w="3120"/>
            <w:shd w:fill="0A2F40" w:val="clear"/>
          </w:tcPr>
          <w:p>
            <w:r>
              <w:rPr>
                <w:rFonts w:ascii="Aptos" w:hAnsi="Aptos"/>
                <w:b/>
                <w:color w:val="FFFFFF"/>
                <w:sz w:val="18"/>
              </w:rPr>
              <w:t>Supporting tool or follow-up needed</w:t>
            </w:r>
          </w:p>
        </w:tc>
      </w:tr>
      <w:tr>
        <w:tc>
          <w:tcPr>
            <w:tcW w:type="dxa" w:w="3120"/>
          </w:tcPr>
          <w:p>
            <w:pPr>
              <w:spacing w:after="120"/>
            </w:pPr>
            <w:r>
              <w:t>A staff member needs to complete a recurring shift process accurately.</w:t>
            </w:r>
          </w:p>
        </w:tc>
        <w:tc>
          <w:tcPr>
            <w:tcW w:type="dxa" w:w="3120"/>
          </w:tcPr>
          <w:p>
            <w:pPr>
              <w:spacing w:after="120"/>
            </w:pPr>
            <w:r/>
          </w:p>
        </w:tc>
        <w:tc>
          <w:tcPr>
            <w:tcW w:type="dxa" w:w="3120"/>
          </w:tcPr>
          <w:p>
            <w:pPr>
              <w:spacing w:after="120"/>
            </w:pPr>
            <w:r/>
          </w:p>
        </w:tc>
      </w:tr>
      <w:tr>
        <w:tc>
          <w:tcPr>
            <w:tcW w:type="dxa" w:w="3120"/>
          </w:tcPr>
          <w:p>
            <w:pPr>
              <w:spacing w:after="120"/>
            </w:pPr>
            <w:r>
              <w:t>A learner finds two different versions of the same instruction in circulation.</w:t>
            </w:r>
          </w:p>
        </w:tc>
        <w:tc>
          <w:tcPr>
            <w:tcW w:type="dxa" w:w="3120"/>
          </w:tcPr>
          <w:p>
            <w:pPr>
              <w:spacing w:after="120"/>
            </w:pPr>
            <w:r/>
          </w:p>
        </w:tc>
        <w:tc>
          <w:tcPr>
            <w:tcW w:type="dxa" w:w="3120"/>
          </w:tcPr>
          <w:p>
            <w:pPr>
              <w:spacing w:after="120"/>
            </w:pPr>
            <w:r/>
          </w:p>
        </w:tc>
      </w:tr>
      <w:tr>
        <w:tc>
          <w:tcPr>
            <w:tcW w:type="dxa" w:w="3120"/>
          </w:tcPr>
          <w:p>
            <w:pPr>
              <w:spacing w:after="120"/>
            </w:pPr>
            <w:r>
              <w:t>A supervisor asks for evidence that a process was completed correctly.</w:t>
            </w:r>
          </w:p>
        </w:tc>
        <w:tc>
          <w:tcPr>
            <w:tcW w:type="dxa" w:w="3120"/>
          </w:tcPr>
          <w:p>
            <w:pPr>
              <w:spacing w:after="120"/>
            </w:pPr>
            <w:r/>
          </w:p>
        </w:tc>
        <w:tc>
          <w:tcPr>
            <w:tcW w:type="dxa" w:w="3120"/>
          </w:tcPr>
          <w:p>
            <w:pPr>
              <w:spacing w:after="120"/>
            </w:pPr>
            <w:r/>
          </w:p>
        </w:tc>
      </w:tr>
      <w:tr>
        <w:tc>
          <w:tcPr>
            <w:tcW w:type="dxa" w:w="3120"/>
          </w:tcPr>
          <w:p>
            <w:pPr>
              <w:spacing w:after="120"/>
            </w:pPr>
            <w:r>
              <w:t>A new staff member wants a quick reminder while performing a familiar task.</w:t>
            </w:r>
          </w:p>
        </w:tc>
        <w:tc>
          <w:tcPr>
            <w:tcW w:type="dxa" w:w="3120"/>
          </w:tcPr>
          <w:p>
            <w:pPr>
              <w:spacing w:after="120"/>
            </w:pPr>
            <w:r/>
          </w:p>
        </w:tc>
        <w:tc>
          <w:tcPr>
            <w:tcW w:type="dxa" w:w="3120"/>
          </w:tcPr>
          <w:p>
            <w:pPr>
              <w:spacing w:after="120"/>
            </w:pPr>
            <w:r/>
          </w:p>
        </w:tc>
      </w:tr>
    </w:tbl>
    <w:p>
      <w:pPr>
        <w:pStyle w:val="Heading3"/>
      </w:pPr>
      <w:r>
        <w:t>Document discipline reflection</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Prompt</w:t>
            </w:r>
          </w:p>
        </w:tc>
        <w:tc>
          <w:tcPr>
            <w:tcW w:type="dxa" w:w="4680"/>
            <w:shd w:fill="0A2F40" w:val="clear"/>
          </w:tcPr>
          <w:p>
            <w:r>
              <w:rPr>
                <w:rFonts w:ascii="Aptos" w:hAnsi="Aptos"/>
                <w:b/>
                <w:color w:val="FFFFFF"/>
                <w:sz w:val="18"/>
              </w:rPr>
              <w:t>Learner notes</w:t>
            </w:r>
          </w:p>
        </w:tc>
      </w:tr>
      <w:tr>
        <w:tc>
          <w:tcPr>
            <w:tcW w:type="dxa" w:w="4680"/>
          </w:tcPr>
          <w:p>
            <w:pPr>
              <w:spacing w:after="120"/>
            </w:pPr>
            <w:r>
              <w:t>What habits could cause staff to rely on unofficial guidance?</w:t>
            </w:r>
          </w:p>
        </w:tc>
        <w:tc>
          <w:tcPr>
            <w:tcW w:type="dxa" w:w="4680"/>
          </w:tcPr>
          <w:p>
            <w:pPr>
              <w:spacing w:after="120"/>
            </w:pPr>
            <w:r/>
          </w:p>
        </w:tc>
      </w:tr>
      <w:tr>
        <w:tc>
          <w:tcPr>
            <w:tcW w:type="dxa" w:w="4680"/>
          </w:tcPr>
          <w:p>
            <w:pPr>
              <w:spacing w:after="120"/>
            </w:pPr>
            <w:r>
              <w:t>What should happen when a document appears outdated or contradictory?</w:t>
            </w:r>
          </w:p>
        </w:tc>
        <w:tc>
          <w:tcPr>
            <w:tcW w:type="dxa" w:w="4680"/>
          </w:tcPr>
          <w:p>
            <w:pPr>
              <w:spacing w:after="120"/>
            </w:pPr>
            <w:r/>
          </w:p>
        </w:tc>
      </w:tr>
      <w:tr>
        <w:tc>
          <w:tcPr>
            <w:tcW w:type="dxa" w:w="4680"/>
          </w:tcPr>
          <w:p>
            <w:pPr>
              <w:spacing w:after="120"/>
            </w:pPr>
            <w:r>
              <w:t>What controlled source do you need easiest access to in your role?</w:t>
            </w:r>
          </w:p>
        </w:tc>
        <w:tc>
          <w:tcPr>
            <w:tcW w:type="dxa" w:w="4680"/>
          </w:tcPr>
          <w:p>
            <w:pPr>
              <w:spacing w:after="120"/>
            </w:pPr>
            <w:r/>
          </w:p>
        </w:tc>
      </w:tr>
    </w:tbl>
    <w:p>
      <w:pPr>
        <w:pStyle w:val="Heading1"/>
        <w:shd w:fill="156082" w:val="clear"/>
      </w:pPr>
      <w:r>
        <w:t>Reflection and completion prompts</w:t>
      </w:r>
    </w:p>
    <w:p>
      <w:pPr>
        <w:pStyle w:val="ListBullet"/>
        <w:spacing w:after="120"/>
        <w:ind w:left="720" w:hanging="360"/>
      </w:pPr>
      <w:r>
        <w:t>Identify one task in your role where document hierarchy matters most.</w:t>
      </w:r>
    </w:p>
    <w:p>
      <w:pPr>
        <w:pStyle w:val="ListBullet"/>
        <w:spacing w:after="120"/>
        <w:ind w:left="720" w:hanging="360"/>
      </w:pPr>
      <w:r>
        <w:t>What would better version control look like from the learner's perspective?</w:t>
      </w:r>
    </w:p>
    <w:sectPr w:rsidR="00FC693F" w:rsidRPr="0006063C" w:rsidSect="00034616">
      <w:headerReference w:type="default" r:id="rId9"/>
      <w:pgSz w:w="12240" w:h="15840"/>
      <w:pgMar w:top="1440" w:right="1440" w:bottom="1440" w:left="1440" w:header="576"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4680"/>
          <w:vAlign w:val="center"/>
        </w:tcPr>
        <w:p>
          <w:pPr>
            <w:jc w:val="left"/>
          </w:pPr>
          <w:r>
            <w:drawing>
              <wp:inline xmlns:a="http://schemas.openxmlformats.org/drawingml/2006/main" xmlns:pic="http://schemas.openxmlformats.org/drawingml/2006/picture">
                <wp:extent cx="1417320" cy="47244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17320" cy="472440"/>
                        </a:xfrm>
                        <a:prstGeom prst="rect"/>
                      </pic:spPr>
                    </pic:pic>
                  </a:graphicData>
                </a:graphic>
              </wp:inline>
            </w:drawing>
          </w:r>
        </w:p>
      </w:tc>
      <w:tc>
        <w:tcPr>
          <w:tcW w:type="dxa" w:w="4680"/>
          <w:vAlign w:val="center"/>
          <w:shd w:fill="E97132" w:val="clear"/>
        </w:tcPr>
        <w:p>
          <w:pPr>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use reflection worksheet</dc:title>
  <dc:subject>Module 2 — Governance and Accountability — Policies, procedures, and controlled guidance</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