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spacing w:after="120"/>
        <w:jc w:val="left"/>
      </w:pPr>
      <w:r>
        <w:t>Documentation coaching worksheet</w:t>
      </w:r>
    </w:p>
    <w:p>
      <w:pPr>
        <w:spacing w:before="0" w:after="200"/>
      </w:pPr>
      <w:r>
        <w:rPr>
          <w:b/>
        </w:rPr>
        <w:t>Module 7 — Competency Verification and Multi-Method Evidence</w:t>
        <w:br/>
      </w:r>
      <w:r>
        <w:t>Section 4 — Documentation and note-quality review</w:t>
        <w:br/>
      </w:r>
      <w:r>
        <w:t>Prepared for Adolbi Care — Behavioral Health Center at Cypress</w:t>
        <w:br/>
      </w:r>
      <w:r>
        <w:t>Authored by AMOS I</w:t>
      </w:r>
    </w:p>
    <w:p>
      <w:pPr>
        <w:pStyle w:val="Heading1"/>
        <w:shd w:fill="156082" w:val="clear"/>
      </w:pPr>
      <w:r>
        <w:t>Document purpose</w:t>
      </w:r>
    </w:p>
    <w:p>
      <w:r>
        <w:t>This editable worksheet supports feedback and coaching when documentation quality needs improvement before competency sign-off.</w:t>
      </w:r>
    </w:p>
    <w:p>
      <w:r>
        <w:t>Use the worksheet in supervision or debrief meetings to review note samples, identify repeated errors, and set the next documentation improvement target.</w:t>
      </w:r>
    </w:p>
    <w:p>
      <w:pPr>
        <w:pStyle w:val="Heading1"/>
        <w:shd w:fill="156082" w:val="clear"/>
      </w:pPr>
      <w:r>
        <w:t>Section context</w:t>
      </w:r>
    </w:p>
    <w:p>
      <w:r>
        <w:t>This section shows how charting, incident narratives, handoff records, and chronology quality become direct evidence of competency rather than administrative afterthoughts.</w:t>
      </w:r>
    </w:p>
    <w:p>
      <w:r>
        <w:t>Help learners understand that documentation quality is itself a competency signal and a major part of readiness validation.</w:t>
      </w:r>
    </w:p>
    <w:p>
      <w:pPr>
        <w:pStyle w:val="Heading2"/>
        <w:shd w:fill="C1E4F5" w:val="clear"/>
      </w:pPr>
      <w:r>
        <w:t>Why this section matters</w:t>
      </w:r>
    </w:p>
    <w:p>
      <w:r>
        <w:t>In a regulated care setting, competency cannot be judged only by what happens face to face. The quality of the written record also shows whether the learner understands chronology, escalation, observation, follow-through, and the difference between objective reporting and unsupported opinion.</w:t>
      </w:r>
    </w:p>
    <w:p>
      <w:r>
        <w:t>Poor documentation weakens the organization’s evidence spine even when the work was performed correctly. Missing dates, unclear timelines, vague descriptions, omitted escalation details, and incomplete follow-up language all make it harder to prove that the standard was met and reviewed properly.</w:t>
      </w:r>
    </w:p>
    <w:p>
      <w:r>
        <w:t>This section therefore treats documentation as a direct competency method. The learner should know that note quality, narrative discipline, and record completeness are not separate from readiness; they are visible proof of how the person thinks and performs under the organization’s standard.</w:t>
      </w:r>
    </w:p>
    <w:p>
      <w:pPr>
        <w:pStyle w:val="Heading2"/>
        <w:shd w:fill="C1E4F5" w:val="clear"/>
      </w:pPr>
      <w:r>
        <w:t>Core practice frame</w:t>
      </w:r>
    </w:p>
    <w:p>
      <w:pPr>
        <w:pStyle w:val="Heading3"/>
      </w:pPr>
      <w:r>
        <w:t>Operational anchors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Anchor</w:t>
            </w:r>
          </w:p>
        </w:tc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Guidance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Documentation proves the work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The record should show what happened, what action was taken, who was notified, and what follow-through still remains.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Narrative quality reflects judgment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Clear chronology, objective phrasing, and accurate escalation detail reveal how well the learner understands professional documentation.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Review should be structured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Supervisors should use defined note-quality checks rather than vague impressions when evaluating documentation competency.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Documentation affects readiness status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A learner who cannot document reliably may need coaching, repeat review, or delayed release even if other duties appear stronger.</w:t>
            </w:r>
          </w:p>
        </w:tc>
      </w:tr>
    </w:tbl>
    <w:p>
      <w:pPr>
        <w:pStyle w:val="Heading2"/>
        <w:shd w:fill="C1E4F5" w:val="clear"/>
      </w:pPr>
      <w:r>
        <w:t>Key reminders</w:t>
      </w:r>
    </w:p>
    <w:p>
      <w:pPr>
        <w:pStyle w:val="ListBullet"/>
        <w:spacing w:after="120"/>
        <w:ind w:left="720" w:hanging="360"/>
      </w:pPr>
      <w:r>
        <w:t>The written record is part of the evidence, not a side task.</w:t>
      </w:r>
    </w:p>
    <w:p>
      <w:pPr>
        <w:pStyle w:val="ListBullet"/>
        <w:spacing w:after="120"/>
        <w:ind w:left="720" w:hanging="360"/>
      </w:pPr>
      <w:r>
        <w:t>Note-quality review helps the organization see judgment, chronology, and escalation discipline clearly.</w:t>
      </w:r>
    </w:p>
    <w:p>
      <w:pPr>
        <w:pStyle w:val="ListBullet"/>
        <w:spacing w:after="120"/>
        <w:ind w:left="720" w:hanging="360"/>
      </w:pPr>
      <w:r>
        <w:t>Documentation gaps can delay release because they weaken both safety proof and file defensibility.</w:t>
      </w:r>
    </w:p>
    <w:p>
      <w:r>
        <w:t>A learner who performs well but documents poorly still creates risk. Module 7 treats documentation quality as a competency standard because the record is part of how the work is proven.</w:t>
      </w:r>
    </w:p>
    <w:p>
      <w:pPr>
        <w:pStyle w:val="Heading1"/>
        <w:shd w:fill="156082" w:val="clear"/>
      </w:pPr>
      <w:r>
        <w:t>Instructions</w:t>
      </w:r>
    </w:p>
    <w:p>
      <w:pPr>
        <w:pStyle w:val="ListBullet"/>
        <w:spacing w:after="120"/>
        <w:ind w:left="720" w:hanging="360"/>
      </w:pPr>
      <w:r>
        <w:t>Identify the record types reviewed and the documentation standard expected for the learner’s role.</w:t>
      </w:r>
    </w:p>
    <w:p>
      <w:pPr>
        <w:pStyle w:val="ListBullet"/>
        <w:spacing w:after="120"/>
        <w:ind w:left="720" w:hanging="360"/>
      </w:pPr>
      <w:r>
        <w:t>Summarize the strongest element of the learner’s writing and the most important quality gap still affecting readiness.</w:t>
      </w:r>
    </w:p>
    <w:p>
      <w:pPr>
        <w:pStyle w:val="ListBullet"/>
        <w:spacing w:after="120"/>
        <w:ind w:left="720" w:hanging="360"/>
      </w:pPr>
      <w:r>
        <w:t>Assign a corrective practice plan and the date for repeat documentation review.</w:t>
      </w:r>
    </w:p>
    <w:p>
      <w:pPr>
        <w:pStyle w:val="Heading1"/>
        <w:shd w:fill="156082" w:val="clear"/>
      </w:pPr>
      <w:r>
        <w:t>Worksheet and record fields</w:t>
      </w:r>
    </w:p>
    <w:p>
      <w:pPr>
        <w:pStyle w:val="Heading3"/>
      </w:pPr>
      <w:r>
        <w:t>Documentation improvement plan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72"/>
        <w:gridCol w:w="1872"/>
        <w:gridCol w:w="1872"/>
        <w:gridCol w:w="1872"/>
        <w:gridCol w:w="1872"/>
      </w:tblGrid>
      <w:tr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Review area</w:t>
            </w:r>
          </w:p>
        </w:tc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What was done well</w:t>
            </w:r>
          </w:p>
        </w:tc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Gap identified</w:t>
            </w:r>
          </w:p>
        </w:tc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Coaching instruction</w:t>
            </w:r>
          </w:p>
        </w:tc>
        <w:tc>
          <w:tcPr>
            <w:tcW w:type="dxa" w:w="1872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Repeat-check date</w:t>
            </w:r>
          </w:p>
        </w:tc>
      </w:tr>
      <w:tr>
        <w:tc>
          <w:tcPr>
            <w:tcW w:type="dxa" w:w="1872"/>
          </w:tcPr>
          <w:p>
            <w:pPr>
              <w:spacing w:after="120"/>
            </w:pPr>
            <w:r>
              <w:t>Chronology</w:t>
            </w:r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</w:tr>
      <w:tr>
        <w:tc>
          <w:tcPr>
            <w:tcW w:type="dxa" w:w="1872"/>
          </w:tcPr>
          <w:p>
            <w:pPr>
              <w:spacing w:after="120"/>
            </w:pPr>
            <w:r>
              <w:t>Objectivity</w:t>
            </w:r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</w:tr>
      <w:tr>
        <w:tc>
          <w:tcPr>
            <w:tcW w:type="dxa" w:w="1872"/>
          </w:tcPr>
          <w:p>
            <w:pPr>
              <w:spacing w:after="120"/>
            </w:pPr>
            <w:r>
              <w:t>Escalation detail</w:t>
            </w:r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</w:tr>
      <w:tr>
        <w:tc>
          <w:tcPr>
            <w:tcW w:type="dxa" w:w="1872"/>
          </w:tcPr>
          <w:p>
            <w:pPr>
              <w:spacing w:after="120"/>
            </w:pPr>
            <w:r>
              <w:t>Completion and follow-through</w:t>
            </w:r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  <w:tc>
          <w:tcPr>
            <w:tcW w:type="dxa" w:w="1872"/>
          </w:tcPr>
          <w:p>
            <w:pPr>
              <w:spacing w:after="120"/>
            </w:pPr>
            <w:r/>
          </w:p>
        </w:tc>
      </w:tr>
    </w:tbl>
    <w:p>
      <w:pPr>
        <w:pStyle w:val="Heading1"/>
        <w:shd w:fill="156082" w:val="clear"/>
      </w:pPr>
      <w:r>
        <w:t>Reflection and completion prompts</w:t>
      </w:r>
    </w:p>
    <w:p>
      <w:pPr>
        <w:pStyle w:val="ListBullet"/>
        <w:spacing w:after="120"/>
        <w:ind w:left="720" w:hanging="360"/>
      </w:pPr>
      <w:r>
        <w:t>What note-quality error most threatens continuity or defensibility?</w:t>
      </w:r>
    </w:p>
    <w:p>
      <w:pPr>
        <w:pStyle w:val="ListBullet"/>
        <w:spacing w:after="120"/>
        <w:ind w:left="720" w:hanging="360"/>
      </w:pPr>
      <w:r>
        <w:t>Which coaching instruction should be repeated until it becomes routine?</w:t>
      </w:r>
    </w:p>
    <w:p>
      <w:pPr>
        <w:pStyle w:val="ListBullet"/>
        <w:spacing w:after="120"/>
        <w:ind w:left="720" w:hanging="360"/>
      </w:pPr>
      <w:r>
        <w:t>What improvement would show that the learner is ready for another review?</w:t>
      </w:r>
    </w:p>
    <w:sectPr w:rsidR="00FC693F" w:rsidRPr="0006063C" w:rsidSect="00034616">
      <w:headerReference w:type="default" r:id="rId9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left"/>
      <w:tblLayout w:type="fixed"/>
      <w:tblLook w:firstColumn="1" w:firstRow="1" w:lastColumn="0" w:lastRow="0" w:noHBand="0" w:noVBand="1" w:val="04A0"/>
      <w:tblBorders>
        <w:top w:val="nil"/>
        <w:left w:val="nil"/>
        <w:bottom w:val="nil"/>
        <w:right w:val="nil"/>
        <w:insideH w:val="nil"/>
        <w:insideV w:val="nil"/>
      </w:tblBorders>
    </w:tblPr>
    <w:tblGrid>
      <w:gridCol w:w="4680"/>
      <w:gridCol w:w="4680"/>
    </w:tblGrid>
    <w:tr>
      <w:tc>
        <w:tcPr>
          <w:tcW w:type="dxa" w:w="3024"/>
          <w:vAlign w:val="center"/>
        </w:tcPr>
        <w:p>
          <w:pPr>
            <w:spacing w:before="0" w:after="0"/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463040" cy="48768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on_whit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040" cy="48768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336"/>
          <w:vAlign w:val="center"/>
          <w:shd w:fill="E97132" w:val="clear"/>
        </w:tcPr>
        <w:p>
          <w:pPr>
            <w:spacing w:before="0" w:after="0"/>
            <w:jc w:val="center"/>
          </w:pPr>
          <w:r>
            <w:rPr>
              <w:rFonts w:ascii="Aptos Display" w:hAnsi="Aptos Display"/>
              <w:b/>
              <w:color w:val="FFFFFF"/>
              <w:sz w:val="18"/>
            </w:rPr>
            <w:t>BEHAVIORAL HEALTH CENTER AT CYPRESS</w:t>
          </w:r>
        </w:p>
      </w:tc>
    </w:tr>
  </w:tbl>
  <w:p>
    <w:pPr>
      <w:spacing w:before="40" w:after="0"/>
      <w:pBdr>
        <w:bottom w:val="single" w:sz="12" w:space="1" w:color="156082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240" w:line="276" w:lineRule="auto"/>
    </w:pPr>
    <w:rPr>
      <w:rFonts w:ascii="Aptos" w:hAnsi="Aptos"/>
      <w:color w:val="000000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120" w:after="160"/>
      <w:outlineLvl w:val="0"/>
    </w:pPr>
    <w:rPr>
      <w:rFonts w:asciiTheme="majorHAnsi" w:eastAsiaTheme="majorEastAsia" w:hAnsiTheme="majorHAnsi" w:cstheme="majorBidi" w:ascii="Aptos Display" w:hAnsi="Aptos Display"/>
      <w:b/>
      <w:bCs/>
      <w:caps/>
      <w:color w:val="FFFFFF"/>
      <w:sz w:val="2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 w:ascii="Aptos Display" w:hAnsi="Aptos Display"/>
      <w:b/>
      <w:bCs/>
      <w:caps/>
      <w:color w:val="0A2F40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 w:ascii="Aptos Display" w:hAnsi="Aptos Display"/>
      <w:b/>
      <w:bCs/>
      <w:color w:val="0A2F40"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/>
      <w:color w:val="15608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Documentation coaching worksheet</dc:title>
  <dc:subject>Module 7 — Competency Verification and Multi-Method Evidence — Documentation and note-quality review</dc:subject>
  <dc:creator>AMOS I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