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Title"/>
        <w:jc w:val="left"/>
      </w:pPr>
      <w:r>
        <w:t>Documentation self-audit worksheet</w:t>
      </w:r>
    </w:p>
    <w:p>
      <w:r>
        <w:rPr>
          <w:b/>
        </w:rPr>
        <w:t>Module 2 — Governance and Accountability</w:t>
        <w:br/>
      </w:r>
      <w:r>
        <w:t>Section 4 — Documentation and evidence of accountability</w:t>
        <w:br/>
      </w:r>
      <w:r>
        <w:t>Prepared for Adolbi Care — Behavioral Health Center at Cypress</w:t>
        <w:br/>
      </w:r>
      <w:r>
        <w:t>Authored by AMOS I</w:t>
      </w:r>
    </w:p>
    <w:p>
      <w:pPr>
        <w:pStyle w:val="Heading1"/>
        <w:shd w:fill="156082" w:val="clear"/>
      </w:pPr>
      <w:r>
        <w:t>Document purpose</w:t>
      </w:r>
    </w:p>
    <w:p>
      <w:r>
        <w:t>This worksheet gives learners a structured way to score sample notes and explain how they would strengthen them before independent documentation habits become fixed.</w:t>
      </w:r>
    </w:p>
    <w:p>
      <w:r>
        <w:t>It is suited to guided training sessions, one-on-one coaching, or remediation plans where documentation quality needs concrete practice.</w:t>
      </w:r>
    </w:p>
    <w:p>
      <w:pPr>
        <w:pStyle w:val="Heading1"/>
        <w:shd w:fill="156082" w:val="clear"/>
      </w:pPr>
      <w:r>
        <w:t>Section context</w:t>
      </w:r>
    </w:p>
    <w:p>
      <w:r>
        <w:t>This section shows how documentation functions as proof that required actions were completed, decisions were made appropriately, and services can be reviewed with confidence.</w:t>
      </w:r>
    </w:p>
    <w:p>
      <w:r>
        <w:t>Help staff understand documentation as operational evidence rather than a routine clerical task, linking record quality directly to accountability and review readiness.</w:t>
      </w:r>
    </w:p>
    <w:p>
      <w:pPr>
        <w:pStyle w:val="Heading2"/>
        <w:shd w:fill="C1E4F5" w:val="clear"/>
      </w:pPr>
      <w:r>
        <w:t>Why this section matters</w:t>
      </w:r>
    </w:p>
    <w:p>
      <w:r>
        <w:t>Documentation shows whether expectations were met, whether required actions were completed on time, whether communication occurred, and whether decisions can be understood after the fact.</w:t>
      </w:r>
    </w:p>
    <w:p>
      <w:r>
        <w:t>Records should be treated as communication tools, evidence tools, and review tools. Weak records can obscure good work, while strong records make it easier to confirm that responsibilities were carried out properly.</w:t>
      </w:r>
    </w:p>
    <w:p>
      <w:r>
        <w:t>Accountable documentation is timely, complete, relevant, and understandable. It avoids vague entries, missing context, and unsupported assumptions.</w:t>
      </w:r>
    </w:p>
    <w:p>
      <w:pPr>
        <w:pStyle w:val="Heading2"/>
        <w:shd w:fill="C1E4F5" w:val="clear"/>
      </w:pPr>
      <w:r>
        <w:t>Core practice frame</w:t>
      </w:r>
    </w:p>
    <w:p>
      <w:pPr>
        <w:pStyle w:val="Heading3"/>
      </w:pPr>
      <w:r>
        <w:t>Operational anchors</w:t>
      </w:r>
    </w:p>
    <w:tbl>
      <w:tblPr>
        <w:tblStyle w:val="TableGrid"/>
        <w:tblW w:type="auto" w:w="0"/>
        <w:jc w:val="left"/>
        <w:tblLook w:firstColumn="1" w:firstRow="1" w:lastColumn="0" w:lastRow="0" w:noHBand="0" w:noVBand="1" w:val="04A0"/>
      </w:tblPr>
      <w:tblGrid>
        <w:gridCol w:w="4680"/>
        <w:gridCol w:w="4680"/>
      </w:tblGrid>
      <w:tr>
        <w:tc>
          <w:tcPr>
            <w:tcW w:type="dxa" w:w="4680"/>
            <w:shd w:fill="0A2F40" w:val="clear"/>
          </w:tcPr>
          <w:p>
            <w:r>
              <w:rPr>
                <w:rFonts w:ascii="Aptos" w:hAnsi="Aptos"/>
                <w:b/>
                <w:color w:val="FFFFFF"/>
                <w:sz w:val="18"/>
              </w:rPr>
              <w:t>Anchor</w:t>
            </w:r>
          </w:p>
        </w:tc>
        <w:tc>
          <w:tcPr>
            <w:tcW w:type="dxa" w:w="4680"/>
            <w:shd w:fill="0A2F40" w:val="clear"/>
          </w:tcPr>
          <w:p>
            <w:r>
              <w:rPr>
                <w:rFonts w:ascii="Aptos" w:hAnsi="Aptos"/>
                <w:b/>
                <w:color w:val="FFFFFF"/>
                <w:sz w:val="18"/>
              </w:rPr>
              <w:t>Guidance</w:t>
            </w:r>
          </w:p>
        </w:tc>
      </w:tr>
      <w:tr>
        <w:tc>
          <w:tcPr>
            <w:tcW w:type="dxa" w:w="4680"/>
          </w:tcPr>
          <w:p>
            <w:pPr>
              <w:spacing w:after="120"/>
            </w:pPr>
            <w:r>
              <w:t>Record promptly</w:t>
            </w:r>
          </w:p>
        </w:tc>
        <w:tc>
          <w:tcPr>
            <w:tcW w:type="dxa" w:w="4680"/>
          </w:tcPr>
          <w:p>
            <w:pPr>
              <w:spacing w:after="120"/>
            </w:pPr>
            <w:r>
              <w:t>Timely documentation supports continuity, reduces memory error, and strengthens record reliability.</w:t>
            </w:r>
          </w:p>
        </w:tc>
      </w:tr>
      <w:tr>
        <w:tc>
          <w:tcPr>
            <w:tcW w:type="dxa" w:w="4680"/>
          </w:tcPr>
          <w:p>
            <w:pPr>
              <w:spacing w:after="120"/>
            </w:pPr>
            <w:r>
              <w:t>Write what matters</w:t>
            </w:r>
          </w:p>
        </w:tc>
        <w:tc>
          <w:tcPr>
            <w:tcW w:type="dxa" w:w="4680"/>
          </w:tcPr>
          <w:p>
            <w:pPr>
              <w:spacing w:after="120"/>
            </w:pPr>
            <w:r>
              <w:t>Capture material facts, actions taken, communications made, and next steps clearly enough for another reviewer to understand.</w:t>
            </w:r>
          </w:p>
        </w:tc>
      </w:tr>
      <w:tr>
        <w:tc>
          <w:tcPr>
            <w:tcW w:type="dxa" w:w="4680"/>
          </w:tcPr>
          <w:p>
            <w:pPr>
              <w:spacing w:after="120"/>
            </w:pPr>
            <w:r>
              <w:t>Support reviewability</w:t>
            </w:r>
          </w:p>
        </w:tc>
        <w:tc>
          <w:tcPr>
            <w:tcW w:type="dxa" w:w="4680"/>
          </w:tcPr>
          <w:p>
            <w:pPr>
              <w:spacing w:after="120"/>
            </w:pPr>
            <w:r>
              <w:t>Create records that can withstand supervision, audit, quality review, and operational follow-up without confusion.</w:t>
            </w:r>
          </w:p>
        </w:tc>
      </w:tr>
      <w:tr>
        <w:tc>
          <w:tcPr>
            <w:tcW w:type="dxa" w:w="4680"/>
          </w:tcPr>
          <w:p>
            <w:pPr>
              <w:spacing w:after="120"/>
            </w:pPr>
            <w:r>
              <w:t>Avoid unsupported language</w:t>
            </w:r>
          </w:p>
        </w:tc>
        <w:tc>
          <w:tcPr>
            <w:tcW w:type="dxa" w:w="4680"/>
          </w:tcPr>
          <w:p>
            <w:pPr>
              <w:spacing w:after="120"/>
            </w:pPr>
            <w:r>
              <w:t>Use precise, professional language instead of vague conclusions or undocumented assumptions.</w:t>
            </w:r>
          </w:p>
        </w:tc>
      </w:tr>
    </w:tbl>
    <w:p>
      <w:pPr>
        <w:pStyle w:val="Heading2"/>
        <w:shd w:fill="C1E4F5" w:val="clear"/>
      </w:pPr>
      <w:r>
        <w:t>Key reminders</w:t>
      </w:r>
    </w:p>
    <w:p>
      <w:pPr>
        <w:pStyle w:val="ListBullet"/>
        <w:spacing w:after="120"/>
        <w:ind w:left="720" w:hanging="360"/>
      </w:pPr>
      <w:r>
        <w:t>A strong record is part of service quality, not separate from it.</w:t>
      </w:r>
    </w:p>
    <w:p>
      <w:pPr>
        <w:pStyle w:val="ListBullet"/>
        <w:spacing w:after="120"/>
        <w:ind w:left="720" w:hanging="360"/>
      </w:pPr>
      <w:r>
        <w:t>Documentation should help another person understand what happened and why.</w:t>
      </w:r>
    </w:p>
    <w:p>
      <w:pPr>
        <w:pStyle w:val="ListBullet"/>
        <w:spacing w:after="120"/>
        <w:ind w:left="720" w:hanging="360"/>
      </w:pPr>
      <w:r>
        <w:t>If a record cannot support review, accountability becomes difficult to demonstrate.</w:t>
      </w:r>
    </w:p>
    <w:p>
      <w:r>
        <w:t>Good documentation protects continuity, supports supervision, and gives the organization proof that required work was completed as expected.</w:t>
      </w:r>
    </w:p>
    <w:p>
      <w:pPr>
        <w:pStyle w:val="Heading1"/>
        <w:shd w:fill="156082" w:val="clear"/>
      </w:pPr>
      <w:r>
        <w:t>Instructions</w:t>
      </w:r>
    </w:p>
    <w:p>
      <w:pPr>
        <w:pStyle w:val="ListBullet"/>
        <w:spacing w:after="120"/>
        <w:ind w:left="720" w:hanging="360"/>
      </w:pPr>
      <w:r>
        <w:t>Read each sample note and score it against the quality categories before proposing revisions.</w:t>
      </w:r>
    </w:p>
    <w:p>
      <w:pPr>
        <w:pStyle w:val="ListBullet"/>
        <w:spacing w:after="120"/>
        <w:ind w:left="720" w:hanging="360"/>
      </w:pPr>
      <w:r>
        <w:t>Explain what missing detail prevents strong review readiness.</w:t>
      </w:r>
    </w:p>
    <w:p>
      <w:pPr>
        <w:pStyle w:val="ListBullet"/>
        <w:spacing w:after="120"/>
        <w:ind w:left="720" w:hanging="360"/>
      </w:pPr>
      <w:r>
        <w:t>Use the improvement section to rewrite the note in a clearer, more accountable form.</w:t>
      </w:r>
    </w:p>
    <w:p>
      <w:pPr>
        <w:pStyle w:val="Heading1"/>
        <w:shd w:fill="156082" w:val="clear"/>
      </w:pPr>
      <w:r>
        <w:t>Worksheet and record fields</w:t>
      </w:r>
    </w:p>
    <w:p>
      <w:pPr>
        <w:pStyle w:val="Heading3"/>
      </w:pPr>
      <w:r>
        <w:t>Sample note audit</w:t>
      </w:r>
    </w:p>
    <w:tbl>
      <w:tblPr>
        <w:tblStyle w:val="TableGrid"/>
        <w:tblW w:type="auto" w:w="0"/>
        <w:jc w:val="left"/>
        <w:tblLook w:firstColumn="1" w:firstRow="1" w:lastColumn="0" w:lastRow="0" w:noHBand="0" w:noVBand="1" w:val="04A0"/>
      </w:tblPr>
      <w:tblGrid>
        <w:gridCol w:w="3120"/>
        <w:gridCol w:w="3120"/>
        <w:gridCol w:w="3120"/>
      </w:tblGrid>
      <w:tr>
        <w:tc>
          <w:tcPr>
            <w:tcW w:type="dxa" w:w="3120"/>
            <w:shd w:fill="0A2F40" w:val="clear"/>
          </w:tcPr>
          <w:p>
            <w:r>
              <w:rPr>
                <w:rFonts w:ascii="Aptos" w:hAnsi="Aptos"/>
                <w:b/>
                <w:color w:val="FFFFFF"/>
                <w:sz w:val="18"/>
              </w:rPr>
              <w:t>Category</w:t>
            </w:r>
          </w:p>
        </w:tc>
        <w:tc>
          <w:tcPr>
            <w:tcW w:type="dxa" w:w="3120"/>
            <w:shd w:fill="0A2F40" w:val="clear"/>
          </w:tcPr>
          <w:p>
            <w:r>
              <w:rPr>
                <w:rFonts w:ascii="Aptos" w:hAnsi="Aptos"/>
                <w:b/>
                <w:color w:val="FFFFFF"/>
                <w:sz w:val="18"/>
              </w:rPr>
              <w:t>Score (1-5)</w:t>
            </w:r>
          </w:p>
        </w:tc>
        <w:tc>
          <w:tcPr>
            <w:tcW w:type="dxa" w:w="3120"/>
            <w:shd w:fill="0A2F40" w:val="clear"/>
          </w:tcPr>
          <w:p>
            <w:r>
              <w:rPr>
                <w:rFonts w:ascii="Aptos" w:hAnsi="Aptos"/>
                <w:b/>
                <w:color w:val="FFFFFF"/>
                <w:sz w:val="18"/>
              </w:rPr>
              <w:t>Reason for score</w:t>
            </w:r>
          </w:p>
        </w:tc>
      </w:tr>
      <w:tr>
        <w:tc>
          <w:tcPr>
            <w:tcW w:type="dxa" w:w="3120"/>
          </w:tcPr>
          <w:p>
            <w:pPr>
              <w:spacing w:after="120"/>
            </w:pPr>
            <w:r>
              <w:t>Timeliness</w:t>
            </w:r>
          </w:p>
        </w:tc>
        <w:tc>
          <w:tcPr>
            <w:tcW w:type="dxa" w:w="3120"/>
          </w:tcPr>
          <w:p>
            <w:pPr>
              <w:spacing w:after="120"/>
            </w:pPr>
            <w:r/>
          </w:p>
        </w:tc>
        <w:tc>
          <w:tcPr>
            <w:tcW w:type="dxa" w:w="3120"/>
          </w:tcPr>
          <w:p>
            <w:pPr>
              <w:spacing w:after="120"/>
            </w:pPr>
            <w:r/>
          </w:p>
        </w:tc>
      </w:tr>
      <w:tr>
        <w:tc>
          <w:tcPr>
            <w:tcW w:type="dxa" w:w="3120"/>
          </w:tcPr>
          <w:p>
            <w:pPr>
              <w:spacing w:after="120"/>
            </w:pPr>
            <w:r>
              <w:t>Completeness</w:t>
            </w:r>
          </w:p>
        </w:tc>
        <w:tc>
          <w:tcPr>
            <w:tcW w:type="dxa" w:w="3120"/>
          </w:tcPr>
          <w:p>
            <w:pPr>
              <w:spacing w:after="120"/>
            </w:pPr>
            <w:r/>
          </w:p>
        </w:tc>
        <w:tc>
          <w:tcPr>
            <w:tcW w:type="dxa" w:w="3120"/>
          </w:tcPr>
          <w:p>
            <w:pPr>
              <w:spacing w:after="120"/>
            </w:pPr>
            <w:r/>
          </w:p>
        </w:tc>
      </w:tr>
      <w:tr>
        <w:tc>
          <w:tcPr>
            <w:tcW w:type="dxa" w:w="3120"/>
          </w:tcPr>
          <w:p>
            <w:pPr>
              <w:spacing w:after="120"/>
            </w:pPr>
            <w:r>
              <w:t>Clarity</w:t>
            </w:r>
          </w:p>
        </w:tc>
        <w:tc>
          <w:tcPr>
            <w:tcW w:type="dxa" w:w="3120"/>
          </w:tcPr>
          <w:p>
            <w:pPr>
              <w:spacing w:after="120"/>
            </w:pPr>
            <w:r/>
          </w:p>
        </w:tc>
        <w:tc>
          <w:tcPr>
            <w:tcW w:type="dxa" w:w="3120"/>
          </w:tcPr>
          <w:p>
            <w:pPr>
              <w:spacing w:after="120"/>
            </w:pPr>
            <w:r/>
          </w:p>
        </w:tc>
      </w:tr>
      <w:tr>
        <w:tc>
          <w:tcPr>
            <w:tcW w:type="dxa" w:w="3120"/>
          </w:tcPr>
          <w:p>
            <w:pPr>
              <w:spacing w:after="120"/>
            </w:pPr>
            <w:r>
              <w:t>Review readiness</w:t>
            </w:r>
          </w:p>
        </w:tc>
        <w:tc>
          <w:tcPr>
            <w:tcW w:type="dxa" w:w="3120"/>
          </w:tcPr>
          <w:p>
            <w:pPr>
              <w:spacing w:after="120"/>
            </w:pPr>
            <w:r/>
          </w:p>
        </w:tc>
        <w:tc>
          <w:tcPr>
            <w:tcW w:type="dxa" w:w="3120"/>
          </w:tcPr>
          <w:p>
            <w:pPr>
              <w:spacing w:after="120"/>
            </w:pPr>
            <w:r/>
          </w:p>
        </w:tc>
      </w:tr>
    </w:tbl>
    <w:p>
      <w:pPr>
        <w:pStyle w:val="Heading3"/>
      </w:pPr>
      <w:r>
        <w:t>Improvement rewrite</w:t>
      </w:r>
    </w:p>
    <w:tbl>
      <w:tblPr>
        <w:tblStyle w:val="TableGrid"/>
        <w:tblW w:type="auto" w:w="0"/>
        <w:jc w:val="left"/>
        <w:tblLook w:firstColumn="1" w:firstRow="1" w:lastColumn="0" w:lastRow="0" w:noHBand="0" w:noVBand="1" w:val="04A0"/>
      </w:tblPr>
      <w:tblGrid>
        <w:gridCol w:w="4680"/>
        <w:gridCol w:w="4680"/>
      </w:tblGrid>
      <w:tr>
        <w:tc>
          <w:tcPr>
            <w:tcW w:type="dxa" w:w="4680"/>
            <w:shd w:fill="0A2F40" w:val="clear"/>
          </w:tcPr>
          <w:p>
            <w:r>
              <w:rPr>
                <w:rFonts w:ascii="Aptos" w:hAnsi="Aptos"/>
                <w:b/>
                <w:color w:val="FFFFFF"/>
                <w:sz w:val="18"/>
              </w:rPr>
              <w:t>What should be added or clarified?</w:t>
            </w:r>
          </w:p>
        </w:tc>
        <w:tc>
          <w:tcPr>
            <w:tcW w:type="dxa" w:w="4680"/>
            <w:shd w:fill="0A2F40" w:val="clear"/>
          </w:tcPr>
          <w:p>
            <w:r>
              <w:rPr>
                <w:rFonts w:ascii="Aptos" w:hAnsi="Aptos"/>
                <w:b/>
                <w:color w:val="FFFFFF"/>
                <w:sz w:val="18"/>
              </w:rPr>
              <w:t>Rewritten note or stronger wording</w:t>
            </w:r>
          </w:p>
        </w:tc>
      </w:tr>
      <w:tr>
        <w:tc>
          <w:tcPr>
            <w:tcW w:type="dxa" w:w="4680"/>
          </w:tcPr>
          <w:p>
            <w:pPr>
              <w:spacing w:after="120"/>
            </w:pPr>
            <w:r/>
          </w:p>
        </w:tc>
        <w:tc>
          <w:tcPr>
            <w:tcW w:type="dxa" w:w="4680"/>
          </w:tcPr>
          <w:p>
            <w:pPr>
              <w:spacing w:after="120"/>
            </w:pPr>
            <w:r/>
          </w:p>
        </w:tc>
      </w:tr>
      <w:tr>
        <w:tc>
          <w:tcPr>
            <w:tcW w:type="dxa" w:w="4680"/>
          </w:tcPr>
          <w:p>
            <w:pPr>
              <w:spacing w:after="120"/>
            </w:pPr>
            <w:r/>
          </w:p>
        </w:tc>
        <w:tc>
          <w:tcPr>
            <w:tcW w:type="dxa" w:w="4680"/>
          </w:tcPr>
          <w:p>
            <w:pPr>
              <w:spacing w:after="120"/>
            </w:pPr>
            <w:r/>
          </w:p>
        </w:tc>
      </w:tr>
      <w:tr>
        <w:tc>
          <w:tcPr>
            <w:tcW w:type="dxa" w:w="4680"/>
          </w:tcPr>
          <w:p>
            <w:pPr>
              <w:spacing w:after="120"/>
            </w:pPr>
            <w:r/>
          </w:p>
        </w:tc>
        <w:tc>
          <w:tcPr>
            <w:tcW w:type="dxa" w:w="4680"/>
          </w:tcPr>
          <w:p>
            <w:pPr>
              <w:spacing w:after="120"/>
            </w:pPr>
            <w:r/>
          </w:p>
        </w:tc>
      </w:tr>
    </w:tbl>
    <w:p>
      <w:pPr>
        <w:pStyle w:val="Heading1"/>
        <w:shd w:fill="156082" w:val="clear"/>
      </w:pPr>
      <w:r>
        <w:t>Reflection and completion prompts</w:t>
      </w:r>
    </w:p>
    <w:p>
      <w:pPr>
        <w:pStyle w:val="ListBullet"/>
        <w:spacing w:after="120"/>
        <w:ind w:left="720" w:hanging="360"/>
      </w:pPr>
      <w:r>
        <w:t>What habit would help you write a stronger first draft note?</w:t>
      </w:r>
    </w:p>
    <w:p>
      <w:pPr>
        <w:pStyle w:val="ListBullet"/>
        <w:spacing w:after="120"/>
        <w:ind w:left="720" w:hanging="360"/>
      </w:pPr>
      <w:r>
        <w:t>What signs suggest a note is not yet ready for supervisor review?</w:t>
      </w:r>
    </w:p>
    <w:sectPr w:rsidR="00FC693F" w:rsidRPr="0006063C" w:rsidSect="00034616">
      <w:headerReference w:type="default" r:id="rId9"/>
      <w:pgSz w:w="12240" w:h="15840"/>
      <w:pgMar w:top="1440" w:right="1440" w:bottom="1440" w:left="1440" w:header="576"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pPr>
  </w:p>
  <w:tbl>
    <w:tblPr>
      <w:tblW w:type="auto" w:w="0"/>
      <w:jc w:val="left"/>
      <w:tblLook w:firstColumn="1" w:firstRow="1" w:lastColumn="0" w:lastRow="0" w:noHBand="0" w:noVBand="1" w:val="04A0"/>
      <w:tblBorders>
        <w:top w:val="nil"/>
        <w:left w:val="nil"/>
        <w:bottom w:val="nil"/>
        <w:right w:val="nil"/>
        <w:insideH w:val="nil"/>
        <w:insideV w:val="nil"/>
      </w:tblBorders>
    </w:tblPr>
    <w:tblGrid>
      <w:gridCol w:w="4680"/>
      <w:gridCol w:w="4680"/>
    </w:tblGrid>
    <w:tr>
      <w:tc>
        <w:tcPr>
          <w:tcW w:type="dxa" w:w="4680"/>
          <w:vAlign w:val="center"/>
        </w:tcPr>
        <w:p>
          <w:pPr>
            <w:jc w:val="left"/>
          </w:pPr>
          <w:r>
            <w:drawing>
              <wp:inline xmlns:a="http://schemas.openxmlformats.org/drawingml/2006/main" xmlns:pic="http://schemas.openxmlformats.org/drawingml/2006/picture">
                <wp:extent cx="1417320" cy="472440"/>
                <wp:docPr id="1" name="Picture 1"/>
                <wp:cNvGraphicFramePr>
                  <a:graphicFrameLocks noChangeAspect="1"/>
                </wp:cNvGraphicFramePr>
                <a:graphic>
                  <a:graphicData uri="http://schemas.openxmlformats.org/drawingml/2006/picture">
                    <pic:pic>
                      <pic:nvPicPr>
                        <pic:cNvPr id="0" name="logo_on_white.png"/>
                        <pic:cNvPicPr/>
                      </pic:nvPicPr>
                      <pic:blipFill>
                        <a:blip r:embed="rId1"/>
                        <a:stretch>
                          <a:fillRect/>
                        </a:stretch>
                      </pic:blipFill>
                      <pic:spPr>
                        <a:xfrm>
                          <a:off x="0" y="0"/>
                          <a:ext cx="1417320" cy="472440"/>
                        </a:xfrm>
                        <a:prstGeom prst="rect"/>
                      </pic:spPr>
                    </pic:pic>
                  </a:graphicData>
                </a:graphic>
              </wp:inline>
            </w:drawing>
          </w:r>
        </w:p>
      </w:tc>
      <w:tc>
        <w:tcPr>
          <w:tcW w:type="dxa" w:w="4680"/>
          <w:vAlign w:val="center"/>
          <w:shd w:fill="E97132" w:val="clear"/>
        </w:tcPr>
        <w:p>
          <w:pPr>
            <w:jc w:val="center"/>
          </w:pPr>
          <w:r>
            <w:rPr>
              <w:rFonts w:ascii="Aptos Display" w:hAnsi="Aptos Display"/>
              <w:b/>
              <w:color w:val="FFFFFF"/>
              <w:sz w:val="18"/>
            </w:rPr>
            <w:t>BEHAVIORAL HEALTH CENTER AT CYPRESS</w:t>
          </w:r>
        </w:p>
      </w:tc>
    </w:tr>
  </w:tbl>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pPr>
      <w:spacing w:before="0" w:after="240" w:line="276" w:lineRule="auto"/>
    </w:pPr>
    <w:rPr>
      <w:rFonts w:ascii="Aptos" w:hAnsi="Aptos"/>
      <w:color w:val="000000"/>
      <w:sz w:val="20"/>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240" w:after="160"/>
      <w:outlineLvl w:val="0"/>
    </w:pPr>
    <w:rPr>
      <w:rFonts w:asciiTheme="majorHAnsi" w:eastAsiaTheme="majorEastAsia" w:hAnsiTheme="majorHAnsi" w:cstheme="majorBidi" w:ascii="Aptos Display" w:hAnsi="Aptos Display"/>
      <w:b/>
      <w:bCs/>
      <w:caps/>
      <w:color w:val="FFFFFF"/>
      <w:sz w:val="22"/>
      <w:szCs w:val="28"/>
    </w:rPr>
  </w:style>
  <w:style w:type="paragraph" w:styleId="Heading2">
    <w:name w:val="heading 2"/>
    <w:basedOn w:val="Normal"/>
    <w:next w:val="Normal"/>
    <w:link w:val="Heading2Char"/>
    <w:uiPriority w:val="9"/>
    <w:unhideWhenUsed/>
    <w:qFormat/>
    <w:rsid w:val="00FC693F"/>
    <w:pPr>
      <w:keepNext/>
      <w:keepLines/>
      <w:spacing w:before="240" w:after="120"/>
      <w:outlineLvl w:val="1"/>
    </w:pPr>
    <w:rPr>
      <w:rFonts w:asciiTheme="majorHAnsi" w:eastAsiaTheme="majorEastAsia" w:hAnsiTheme="majorHAnsi" w:cstheme="majorBidi" w:ascii="Aptos Display" w:hAnsi="Aptos Display"/>
      <w:b/>
      <w:bCs/>
      <w:caps/>
      <w:color w:val="0A2F40"/>
      <w:sz w:val="20"/>
      <w:szCs w:val="26"/>
    </w:rPr>
  </w:style>
  <w:style w:type="paragraph" w:styleId="Heading3">
    <w:name w:val="heading 3"/>
    <w:basedOn w:val="Normal"/>
    <w:next w:val="Normal"/>
    <w:link w:val="Heading3Char"/>
    <w:uiPriority w:val="9"/>
    <w:unhideWhenUsed/>
    <w:qFormat/>
    <w:rsid w:val="00FC693F"/>
    <w:pPr>
      <w:keepNext/>
      <w:keepLines/>
      <w:spacing w:before="200" w:after="80"/>
      <w:outlineLvl w:val="2"/>
    </w:pPr>
    <w:rPr>
      <w:rFonts w:asciiTheme="majorHAnsi" w:eastAsiaTheme="majorEastAsia" w:hAnsiTheme="majorHAnsi" w:cstheme="majorBidi" w:ascii="Aptos Display" w:hAnsi="Aptos Display"/>
      <w:b/>
      <w:bCs/>
      <w:color w:val="0A2F40"/>
      <w:sz w:val="20"/>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ascii="Aptos Display" w:hAnsi="Aptos Display"/>
      <w:color w:val="156082"/>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Documentation self-audit worksheet</dc:title>
  <dc:subject>Module 2 — Governance and Accountability — Documentation and evidence of accountability</dc:subject>
  <dc:creator>AMOS I</dc:creator>
  <cp:keywords/>
  <dc:description>generated by python-docx</dc:description>
  <cp:lastModifiedBy/>
  <cp:revision>1</cp:revision>
  <dcterms:created xsi:type="dcterms:W3CDTF">2013-12-23T23:15:00Z</dcterms:created>
  <dcterms:modified xsi:type="dcterms:W3CDTF">2013-12-23T23:15:00Z</dcterms:modified>
  <cp:category/>
</cp:coreProperties>
</file>